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drawings/drawing2.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Default Extension="tiff" ContentType="image/tiff"/>
  <Override PartName="/word/charts/chart15.xml" ContentType="application/vnd.openxmlformats-officedocument.drawingml.chart+xml"/>
  <Override PartName="/word/charts/chart16.xml" ContentType="application/vnd.openxmlformats-officedocument.drawingml.chart+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B53" w:rsidRPr="00E83DA2" w:rsidRDefault="00103702" w:rsidP="00756B53">
      <w:pPr>
        <w:pStyle w:val="Heading1"/>
        <w:rPr>
          <w:rFonts w:ascii="Gill Sans MT" w:hAnsi="Gill Sans MT"/>
          <w:sz w:val="96"/>
          <w:szCs w:val="96"/>
        </w:rPr>
      </w:pPr>
      <w:bookmarkStart w:id="0" w:name="_Toc332114070"/>
      <w:bookmarkStart w:id="1" w:name="_Toc332115645"/>
      <w:bookmarkStart w:id="2" w:name="_Toc332115736"/>
      <w:r>
        <w:rPr>
          <w:rFonts w:ascii="Gill Sans MT" w:hAnsi="Gill Sans MT"/>
          <w:noProof/>
          <w:sz w:val="96"/>
          <w:szCs w:val="96"/>
          <w:lang w:eastAsia="en-AU"/>
        </w:rPr>
        <w:drawing>
          <wp:anchor distT="0" distB="0" distL="114300" distR="114300" simplePos="0" relativeHeight="251698688" behindDoc="1" locked="0" layoutInCell="0" allowOverlap="1">
            <wp:simplePos x="0" y="0"/>
            <wp:positionH relativeFrom="page">
              <wp:posOffset>-16576</wp:posOffset>
            </wp:positionH>
            <wp:positionV relativeFrom="page">
              <wp:posOffset>-16576</wp:posOffset>
            </wp:positionV>
            <wp:extent cx="7584464" cy="10716244"/>
            <wp:effectExtent l="19050" t="19050" r="16486" b="27956"/>
            <wp:wrapNone/>
            <wp:docPr id="70" name="Picture 70" descr="M:\Studio Production\For Archiving\DPC\0061_StyleGuide_Staff use\DPC_Word\Images\internaldoc_co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Studio Production\For Archiving\DPC\0061_StyleGuide_Staff use\DPC_Word\Images\internaldoc_col2.jpg"/>
                    <pic:cNvPicPr>
                      <a:picLocks noChangeAspect="1" noChangeArrowheads="1"/>
                    </pic:cNvPicPr>
                  </pic:nvPicPr>
                  <pic:blipFill>
                    <a:blip r:embed="rId8" cstate="print"/>
                    <a:srcRect/>
                    <a:stretch>
                      <a:fillRect/>
                    </a:stretch>
                  </pic:blipFill>
                  <pic:spPr bwMode="auto">
                    <a:xfrm>
                      <a:off x="0" y="0"/>
                      <a:ext cx="7587763" cy="10720905"/>
                    </a:xfrm>
                    <a:prstGeom prst="rect">
                      <a:avLst/>
                    </a:prstGeom>
                    <a:noFill/>
                    <a:ln w="12700">
                      <a:solidFill>
                        <a:schemeClr val="tx1"/>
                      </a:solidFill>
                      <a:miter lim="800000"/>
                      <a:headEnd/>
                      <a:tailEnd/>
                    </a:ln>
                  </pic:spPr>
                </pic:pic>
              </a:graphicData>
            </a:graphic>
          </wp:anchor>
        </w:drawing>
      </w:r>
    </w:p>
    <w:p w:rsidR="00756B53" w:rsidRPr="00103702" w:rsidRDefault="00756B53" w:rsidP="00756B53">
      <w:pPr>
        <w:pStyle w:val="Heading1"/>
        <w:jc w:val="right"/>
        <w:rPr>
          <w:rFonts w:ascii="Gill Sans MT" w:hAnsi="Gill Sans MT"/>
          <w:color w:val="FFFFFF" w:themeColor="background1"/>
          <w:sz w:val="72"/>
          <w:szCs w:val="72"/>
        </w:rPr>
      </w:pPr>
      <w:r w:rsidRPr="00103702">
        <w:rPr>
          <w:rFonts w:ascii="Gill Sans MT" w:hAnsi="Gill Sans MT"/>
          <w:color w:val="FFFFFF" w:themeColor="background1"/>
          <w:sz w:val="72"/>
          <w:szCs w:val="72"/>
        </w:rPr>
        <w:t>NORTHERN INTEGRATED TRANSPORT PLAN</w:t>
      </w:r>
    </w:p>
    <w:p w:rsidR="00756B53" w:rsidRPr="00E83DA2" w:rsidRDefault="00756B53" w:rsidP="00756B53">
      <w:pPr>
        <w:pStyle w:val="Heading1"/>
        <w:jc w:val="right"/>
        <w:rPr>
          <w:rFonts w:ascii="Gill Sans MT" w:hAnsi="Gill Sans MT"/>
          <w:sz w:val="72"/>
          <w:szCs w:val="72"/>
        </w:rPr>
      </w:pPr>
    </w:p>
    <w:p w:rsidR="00103702" w:rsidRDefault="00103702" w:rsidP="00756B53">
      <w:pPr>
        <w:pStyle w:val="Heading1"/>
        <w:jc w:val="right"/>
        <w:rPr>
          <w:rFonts w:ascii="Gill Sans MT" w:hAnsi="Gill Sans MT"/>
          <w:color w:val="FFFFFF" w:themeColor="background1"/>
          <w:sz w:val="72"/>
          <w:szCs w:val="72"/>
        </w:rPr>
      </w:pPr>
    </w:p>
    <w:p w:rsidR="00756B53" w:rsidRPr="00103702" w:rsidRDefault="008F0359" w:rsidP="00756B53">
      <w:pPr>
        <w:pStyle w:val="Heading1"/>
        <w:jc w:val="right"/>
        <w:rPr>
          <w:rFonts w:ascii="Gill Sans MT" w:hAnsi="Gill Sans MT"/>
          <w:color w:val="FFFFFF" w:themeColor="background1"/>
          <w:sz w:val="72"/>
          <w:szCs w:val="72"/>
        </w:rPr>
        <w:sectPr w:rsidR="00756B53" w:rsidRPr="00103702" w:rsidSect="00103702">
          <w:footerReference w:type="default" r:id="rId9"/>
          <w:pgSz w:w="11906" w:h="16838"/>
          <w:pgMar w:top="1440" w:right="1440" w:bottom="1440" w:left="1440" w:header="708" w:footer="708" w:gutter="0"/>
          <w:cols w:space="708"/>
          <w:titlePg/>
          <w:docGrid w:linePitch="360"/>
        </w:sectPr>
      </w:pPr>
      <w:r>
        <w:rPr>
          <w:rFonts w:ascii="Gill Sans MT" w:hAnsi="Gill Sans MT"/>
          <w:noProof/>
          <w:color w:val="FFFFFF" w:themeColor="background1"/>
          <w:sz w:val="72"/>
          <w:szCs w:val="72"/>
          <w:lang w:eastAsia="en-AU"/>
        </w:rPr>
        <w:pict>
          <v:shapetype id="_x0000_t32" coordsize="21600,21600" o:spt="32" o:oned="t" path="m,l21600,21600e" filled="f">
            <v:path arrowok="t" fillok="f" o:connecttype="none"/>
            <o:lock v:ext="edit" shapetype="t"/>
          </v:shapetype>
          <v:shape id="_x0000_s1228" type="#_x0000_t32" style="position:absolute;left:0;text-align:left;margin-left:0;margin-top:113.4pt;width:450.7pt;height:0;z-index:251700736;mso-position-vertical:absolute" o:connectortype="straight" strokecolor="#1f497d [3215]" strokeweight="2pt"/>
        </w:pict>
      </w:r>
      <w:r w:rsidR="00756B53" w:rsidRPr="00103702">
        <w:rPr>
          <w:rFonts w:ascii="Gill Sans MT" w:hAnsi="Gill Sans MT"/>
          <w:color w:val="FFFFFF" w:themeColor="background1"/>
          <w:sz w:val="72"/>
          <w:szCs w:val="72"/>
        </w:rPr>
        <w:t>BACKGROUND REPORT 2012</w:t>
      </w:r>
      <w:bookmarkEnd w:id="0"/>
      <w:bookmarkEnd w:id="1"/>
      <w:bookmarkEnd w:id="2"/>
    </w:p>
    <w:sdt>
      <w:sdtPr>
        <w:rPr>
          <w:rFonts w:ascii="Gill Sans MT" w:eastAsiaTheme="minorHAnsi" w:hAnsi="Gill Sans MT" w:cstheme="minorBidi"/>
          <w:b w:val="0"/>
          <w:bCs w:val="0"/>
          <w:color w:val="auto"/>
          <w:sz w:val="22"/>
          <w:szCs w:val="22"/>
          <w:lang w:val="en-AU"/>
        </w:rPr>
        <w:id w:val="20897640"/>
        <w:docPartObj>
          <w:docPartGallery w:val="Table of Contents"/>
          <w:docPartUnique/>
        </w:docPartObj>
      </w:sdtPr>
      <w:sdtContent>
        <w:p w:rsidR="00756B53" w:rsidRPr="00E83DA2" w:rsidRDefault="00756B53" w:rsidP="00756B53">
          <w:pPr>
            <w:pStyle w:val="TOCHeading"/>
            <w:rPr>
              <w:rFonts w:ascii="Gill Sans MT" w:hAnsi="Gill Sans MT"/>
            </w:rPr>
          </w:pPr>
          <w:r w:rsidRPr="00E83DA2">
            <w:rPr>
              <w:rFonts w:ascii="Gill Sans MT" w:hAnsi="Gill Sans MT"/>
              <w:szCs w:val="52"/>
            </w:rPr>
            <w:t>Table of Contents</w:t>
          </w:r>
        </w:p>
        <w:p w:rsidR="00756B53" w:rsidRPr="00E83DA2" w:rsidRDefault="00756B53" w:rsidP="00756B53">
          <w:pPr>
            <w:pStyle w:val="TOC1"/>
            <w:tabs>
              <w:tab w:val="right" w:leader="dot" w:pos="9016"/>
            </w:tabs>
            <w:rPr>
              <w:rFonts w:ascii="Gill Sans MT" w:hAnsi="Gill Sans MT"/>
              <w:b/>
            </w:rPr>
          </w:pPr>
        </w:p>
        <w:p w:rsidR="00756B53" w:rsidRPr="00E83DA2" w:rsidRDefault="008F0359" w:rsidP="00756B53">
          <w:pPr>
            <w:pStyle w:val="TOC1"/>
            <w:tabs>
              <w:tab w:val="right" w:leader="dot" w:pos="9016"/>
            </w:tabs>
            <w:rPr>
              <w:rFonts w:ascii="Gill Sans MT" w:eastAsiaTheme="minorEastAsia" w:hAnsi="Gill Sans MT"/>
              <w:b/>
              <w:i/>
              <w:noProof/>
              <w:sz w:val="28"/>
              <w:szCs w:val="28"/>
              <w:lang w:eastAsia="en-AU"/>
            </w:rPr>
          </w:pPr>
          <w:r w:rsidRPr="00E83DA2">
            <w:rPr>
              <w:rFonts w:ascii="Gill Sans MT" w:hAnsi="Gill Sans MT"/>
              <w:b/>
            </w:rPr>
            <w:fldChar w:fldCharType="begin"/>
          </w:r>
          <w:r w:rsidR="00756B53" w:rsidRPr="00E83DA2">
            <w:rPr>
              <w:rFonts w:ascii="Gill Sans MT" w:hAnsi="Gill Sans MT"/>
              <w:b/>
            </w:rPr>
            <w:instrText xml:space="preserve"> TOC \o "1-3" \h \z \u </w:instrText>
          </w:r>
          <w:r w:rsidRPr="00E83DA2">
            <w:rPr>
              <w:rFonts w:ascii="Gill Sans MT" w:hAnsi="Gill Sans MT"/>
              <w:b/>
            </w:rPr>
            <w:fldChar w:fldCharType="separate"/>
          </w:r>
          <w:hyperlink w:anchor="_Toc332115737" w:history="1">
            <w:r w:rsidR="00756B53" w:rsidRPr="00E83DA2">
              <w:rPr>
                <w:rStyle w:val="Hyperlink"/>
                <w:rFonts w:ascii="Gill Sans MT" w:hAnsi="Gill Sans MT"/>
                <w:b/>
                <w:i/>
                <w:noProof/>
                <w:sz w:val="28"/>
                <w:szCs w:val="28"/>
              </w:rPr>
              <w:t>Introduction</w:t>
            </w:r>
            <w:r w:rsidR="00756B53" w:rsidRPr="00E83DA2">
              <w:rPr>
                <w:rFonts w:ascii="Gill Sans MT" w:hAnsi="Gill Sans MT"/>
                <w:b/>
                <w:i/>
                <w:noProof/>
                <w:webHidden/>
                <w:sz w:val="28"/>
                <w:szCs w:val="28"/>
              </w:rPr>
              <w:tab/>
            </w:r>
            <w:r w:rsidRPr="00E83DA2">
              <w:rPr>
                <w:rFonts w:ascii="Gill Sans MT" w:hAnsi="Gill Sans MT"/>
                <w:b/>
                <w:i/>
                <w:noProof/>
                <w:webHidden/>
                <w:sz w:val="28"/>
                <w:szCs w:val="28"/>
              </w:rPr>
              <w:fldChar w:fldCharType="begin"/>
            </w:r>
            <w:r w:rsidR="00756B53" w:rsidRPr="00E83DA2">
              <w:rPr>
                <w:rFonts w:ascii="Gill Sans MT" w:hAnsi="Gill Sans MT"/>
                <w:b/>
                <w:i/>
                <w:noProof/>
                <w:webHidden/>
                <w:sz w:val="28"/>
                <w:szCs w:val="28"/>
              </w:rPr>
              <w:instrText xml:space="preserve"> PAGEREF _Toc332115737 \h </w:instrText>
            </w:r>
            <w:r w:rsidRPr="00E83DA2">
              <w:rPr>
                <w:rFonts w:ascii="Gill Sans MT" w:hAnsi="Gill Sans MT"/>
                <w:b/>
                <w:i/>
                <w:noProof/>
                <w:webHidden/>
                <w:sz w:val="28"/>
                <w:szCs w:val="28"/>
              </w:rPr>
            </w:r>
            <w:r w:rsidRPr="00E83DA2">
              <w:rPr>
                <w:rFonts w:ascii="Gill Sans MT" w:hAnsi="Gill Sans MT"/>
                <w:b/>
                <w:i/>
                <w:noProof/>
                <w:webHidden/>
                <w:sz w:val="28"/>
                <w:szCs w:val="28"/>
              </w:rPr>
              <w:fldChar w:fldCharType="separate"/>
            </w:r>
            <w:r w:rsidR="008351A4">
              <w:rPr>
                <w:rFonts w:ascii="Gill Sans MT" w:hAnsi="Gill Sans MT"/>
                <w:b/>
                <w:i/>
                <w:noProof/>
                <w:webHidden/>
                <w:sz w:val="28"/>
                <w:szCs w:val="28"/>
              </w:rPr>
              <w:t>3</w:t>
            </w:r>
            <w:r w:rsidRPr="00E83DA2">
              <w:rPr>
                <w:rFonts w:ascii="Gill Sans MT" w:hAnsi="Gill Sans MT"/>
                <w:b/>
                <w:i/>
                <w:noProof/>
                <w:webHidden/>
                <w:sz w:val="28"/>
                <w:szCs w:val="28"/>
              </w:rPr>
              <w:fldChar w:fldCharType="end"/>
            </w:r>
          </w:hyperlink>
        </w:p>
        <w:p w:rsidR="00756B53" w:rsidRPr="00E83DA2" w:rsidRDefault="008F0359" w:rsidP="00756B53">
          <w:pPr>
            <w:pStyle w:val="TOC1"/>
            <w:tabs>
              <w:tab w:val="right" w:leader="dot" w:pos="9016"/>
            </w:tabs>
            <w:rPr>
              <w:rFonts w:ascii="Gill Sans MT" w:eastAsiaTheme="minorEastAsia" w:hAnsi="Gill Sans MT"/>
              <w:b/>
              <w:i/>
              <w:noProof/>
              <w:sz w:val="28"/>
              <w:szCs w:val="28"/>
              <w:lang w:eastAsia="en-AU"/>
            </w:rPr>
          </w:pPr>
          <w:hyperlink w:anchor="_Toc332115738" w:history="1">
            <w:r w:rsidR="00756B53" w:rsidRPr="00E83DA2">
              <w:rPr>
                <w:rStyle w:val="Hyperlink"/>
                <w:rFonts w:ascii="Gill Sans MT" w:hAnsi="Gill Sans MT"/>
                <w:b/>
                <w:i/>
                <w:noProof/>
                <w:sz w:val="28"/>
                <w:szCs w:val="28"/>
              </w:rPr>
              <w:t>Moving People</w:t>
            </w:r>
            <w:r w:rsidR="00756B53" w:rsidRPr="00E83DA2">
              <w:rPr>
                <w:rFonts w:ascii="Gill Sans MT" w:hAnsi="Gill Sans MT"/>
                <w:b/>
                <w:i/>
                <w:noProof/>
                <w:webHidden/>
                <w:sz w:val="28"/>
                <w:szCs w:val="28"/>
              </w:rPr>
              <w:tab/>
            </w:r>
            <w:r w:rsidRPr="00E83DA2">
              <w:rPr>
                <w:rFonts w:ascii="Gill Sans MT" w:hAnsi="Gill Sans MT"/>
                <w:b/>
                <w:i/>
                <w:noProof/>
                <w:webHidden/>
                <w:sz w:val="28"/>
                <w:szCs w:val="28"/>
              </w:rPr>
              <w:fldChar w:fldCharType="begin"/>
            </w:r>
            <w:r w:rsidR="00756B53" w:rsidRPr="00E83DA2">
              <w:rPr>
                <w:rFonts w:ascii="Gill Sans MT" w:hAnsi="Gill Sans MT"/>
                <w:b/>
                <w:i/>
                <w:noProof/>
                <w:webHidden/>
                <w:sz w:val="28"/>
                <w:szCs w:val="28"/>
              </w:rPr>
              <w:instrText xml:space="preserve"> PAGEREF _Toc332115738 \h </w:instrText>
            </w:r>
            <w:r w:rsidRPr="00E83DA2">
              <w:rPr>
                <w:rFonts w:ascii="Gill Sans MT" w:hAnsi="Gill Sans MT"/>
                <w:b/>
                <w:i/>
                <w:noProof/>
                <w:webHidden/>
                <w:sz w:val="28"/>
                <w:szCs w:val="28"/>
              </w:rPr>
            </w:r>
            <w:r w:rsidRPr="00E83DA2">
              <w:rPr>
                <w:rFonts w:ascii="Gill Sans MT" w:hAnsi="Gill Sans MT"/>
                <w:b/>
                <w:i/>
                <w:noProof/>
                <w:webHidden/>
                <w:sz w:val="28"/>
                <w:szCs w:val="28"/>
              </w:rPr>
              <w:fldChar w:fldCharType="separate"/>
            </w:r>
            <w:r w:rsidR="008351A4">
              <w:rPr>
                <w:rFonts w:ascii="Gill Sans MT" w:hAnsi="Gill Sans MT"/>
                <w:b/>
                <w:i/>
                <w:noProof/>
                <w:webHidden/>
                <w:sz w:val="28"/>
                <w:szCs w:val="28"/>
              </w:rPr>
              <w:t>36</w:t>
            </w:r>
            <w:r w:rsidRPr="00E83DA2">
              <w:rPr>
                <w:rFonts w:ascii="Gill Sans MT" w:hAnsi="Gill Sans MT"/>
                <w:b/>
                <w:i/>
                <w:noProof/>
                <w:webHidden/>
                <w:sz w:val="28"/>
                <w:szCs w:val="28"/>
              </w:rPr>
              <w:fldChar w:fldCharType="end"/>
            </w:r>
          </w:hyperlink>
        </w:p>
        <w:p w:rsidR="00756B53" w:rsidRPr="00E83DA2" w:rsidRDefault="008F0359" w:rsidP="00756B53">
          <w:pPr>
            <w:pStyle w:val="TOC1"/>
            <w:tabs>
              <w:tab w:val="right" w:leader="dot" w:pos="9016"/>
            </w:tabs>
            <w:rPr>
              <w:rFonts w:ascii="Gill Sans MT" w:eastAsiaTheme="minorEastAsia" w:hAnsi="Gill Sans MT"/>
              <w:b/>
              <w:i/>
              <w:noProof/>
              <w:sz w:val="28"/>
              <w:szCs w:val="28"/>
              <w:lang w:eastAsia="en-AU"/>
            </w:rPr>
          </w:pPr>
          <w:hyperlink w:anchor="_Toc332115743" w:history="1">
            <w:r w:rsidR="00756B53" w:rsidRPr="00E83DA2">
              <w:rPr>
                <w:rStyle w:val="Hyperlink"/>
                <w:rFonts w:ascii="Gill Sans MT" w:hAnsi="Gill Sans MT"/>
                <w:b/>
                <w:i/>
                <w:noProof/>
                <w:sz w:val="28"/>
                <w:szCs w:val="28"/>
              </w:rPr>
              <w:t>People - Accessibility</w:t>
            </w:r>
            <w:r w:rsidR="00756B53" w:rsidRPr="00E83DA2">
              <w:rPr>
                <w:rFonts w:ascii="Gill Sans MT" w:hAnsi="Gill Sans MT"/>
                <w:b/>
                <w:i/>
                <w:noProof/>
                <w:webHidden/>
                <w:sz w:val="28"/>
                <w:szCs w:val="28"/>
              </w:rPr>
              <w:tab/>
            </w:r>
            <w:r w:rsidRPr="00E83DA2">
              <w:rPr>
                <w:rFonts w:ascii="Gill Sans MT" w:hAnsi="Gill Sans MT"/>
                <w:b/>
                <w:i/>
                <w:noProof/>
                <w:webHidden/>
                <w:sz w:val="28"/>
                <w:szCs w:val="28"/>
              </w:rPr>
              <w:fldChar w:fldCharType="begin"/>
            </w:r>
            <w:r w:rsidR="00756B53" w:rsidRPr="00E83DA2">
              <w:rPr>
                <w:rFonts w:ascii="Gill Sans MT" w:hAnsi="Gill Sans MT"/>
                <w:b/>
                <w:i/>
                <w:noProof/>
                <w:webHidden/>
                <w:sz w:val="28"/>
                <w:szCs w:val="28"/>
              </w:rPr>
              <w:instrText xml:space="preserve"> PAGEREF _Toc332115743 \h </w:instrText>
            </w:r>
            <w:r w:rsidRPr="00E83DA2">
              <w:rPr>
                <w:rFonts w:ascii="Gill Sans MT" w:hAnsi="Gill Sans MT"/>
                <w:b/>
                <w:i/>
                <w:noProof/>
                <w:webHidden/>
                <w:sz w:val="28"/>
                <w:szCs w:val="28"/>
              </w:rPr>
            </w:r>
            <w:r w:rsidRPr="00E83DA2">
              <w:rPr>
                <w:rFonts w:ascii="Gill Sans MT" w:hAnsi="Gill Sans MT"/>
                <w:b/>
                <w:i/>
                <w:noProof/>
                <w:webHidden/>
                <w:sz w:val="28"/>
                <w:szCs w:val="28"/>
              </w:rPr>
              <w:fldChar w:fldCharType="separate"/>
            </w:r>
            <w:r w:rsidR="008351A4">
              <w:rPr>
                <w:rFonts w:ascii="Gill Sans MT" w:hAnsi="Gill Sans MT"/>
                <w:b/>
                <w:i/>
                <w:noProof/>
                <w:webHidden/>
                <w:sz w:val="28"/>
                <w:szCs w:val="28"/>
              </w:rPr>
              <w:t>50</w:t>
            </w:r>
            <w:r w:rsidRPr="00E83DA2">
              <w:rPr>
                <w:rFonts w:ascii="Gill Sans MT" w:hAnsi="Gill Sans MT"/>
                <w:b/>
                <w:i/>
                <w:noProof/>
                <w:webHidden/>
                <w:sz w:val="28"/>
                <w:szCs w:val="28"/>
              </w:rPr>
              <w:fldChar w:fldCharType="end"/>
            </w:r>
          </w:hyperlink>
        </w:p>
        <w:p w:rsidR="00756B53" w:rsidRPr="00E83DA2" w:rsidRDefault="008F0359" w:rsidP="00756B53">
          <w:pPr>
            <w:pStyle w:val="TOC1"/>
            <w:tabs>
              <w:tab w:val="right" w:leader="dot" w:pos="9016"/>
            </w:tabs>
            <w:rPr>
              <w:rFonts w:ascii="Gill Sans MT" w:eastAsiaTheme="minorEastAsia" w:hAnsi="Gill Sans MT"/>
              <w:b/>
              <w:i/>
              <w:noProof/>
              <w:sz w:val="28"/>
              <w:szCs w:val="28"/>
              <w:lang w:eastAsia="en-AU"/>
            </w:rPr>
          </w:pPr>
          <w:hyperlink w:anchor="_Toc332115752" w:history="1">
            <w:r w:rsidR="00756B53" w:rsidRPr="00E83DA2">
              <w:rPr>
                <w:rStyle w:val="Hyperlink"/>
                <w:rFonts w:ascii="Gill Sans MT" w:hAnsi="Gill Sans MT"/>
                <w:b/>
                <w:i/>
                <w:noProof/>
                <w:sz w:val="28"/>
                <w:szCs w:val="28"/>
              </w:rPr>
              <w:t>People - Integrated transport and land use planning</w:t>
            </w:r>
            <w:r w:rsidR="00756B53" w:rsidRPr="00E83DA2">
              <w:rPr>
                <w:rFonts w:ascii="Gill Sans MT" w:hAnsi="Gill Sans MT"/>
                <w:b/>
                <w:i/>
                <w:noProof/>
                <w:webHidden/>
                <w:sz w:val="28"/>
                <w:szCs w:val="28"/>
              </w:rPr>
              <w:tab/>
            </w:r>
            <w:r w:rsidRPr="00E83DA2">
              <w:rPr>
                <w:rFonts w:ascii="Gill Sans MT" w:hAnsi="Gill Sans MT"/>
                <w:b/>
                <w:i/>
                <w:noProof/>
                <w:webHidden/>
                <w:sz w:val="28"/>
                <w:szCs w:val="28"/>
              </w:rPr>
              <w:fldChar w:fldCharType="begin"/>
            </w:r>
            <w:r w:rsidR="00756B53" w:rsidRPr="00E83DA2">
              <w:rPr>
                <w:rFonts w:ascii="Gill Sans MT" w:hAnsi="Gill Sans MT"/>
                <w:b/>
                <w:i/>
                <w:noProof/>
                <w:webHidden/>
                <w:sz w:val="28"/>
                <w:szCs w:val="28"/>
              </w:rPr>
              <w:instrText xml:space="preserve"> PAGEREF _Toc332115752 \h </w:instrText>
            </w:r>
            <w:r w:rsidRPr="00E83DA2">
              <w:rPr>
                <w:rFonts w:ascii="Gill Sans MT" w:hAnsi="Gill Sans MT"/>
                <w:b/>
                <w:i/>
                <w:noProof/>
                <w:webHidden/>
                <w:sz w:val="28"/>
                <w:szCs w:val="28"/>
              </w:rPr>
            </w:r>
            <w:r w:rsidRPr="00E83DA2">
              <w:rPr>
                <w:rFonts w:ascii="Gill Sans MT" w:hAnsi="Gill Sans MT"/>
                <w:b/>
                <w:i/>
                <w:noProof/>
                <w:webHidden/>
                <w:sz w:val="28"/>
                <w:szCs w:val="28"/>
              </w:rPr>
              <w:fldChar w:fldCharType="separate"/>
            </w:r>
            <w:r w:rsidR="008351A4">
              <w:rPr>
                <w:rFonts w:ascii="Gill Sans MT" w:hAnsi="Gill Sans MT"/>
                <w:b/>
                <w:i/>
                <w:noProof/>
                <w:webHidden/>
                <w:sz w:val="28"/>
                <w:szCs w:val="28"/>
              </w:rPr>
              <w:t>64</w:t>
            </w:r>
            <w:r w:rsidRPr="00E83DA2">
              <w:rPr>
                <w:rFonts w:ascii="Gill Sans MT" w:hAnsi="Gill Sans MT"/>
                <w:b/>
                <w:i/>
                <w:noProof/>
                <w:webHidden/>
                <w:sz w:val="28"/>
                <w:szCs w:val="28"/>
              </w:rPr>
              <w:fldChar w:fldCharType="end"/>
            </w:r>
          </w:hyperlink>
        </w:p>
        <w:p w:rsidR="00756B53" w:rsidRPr="00E83DA2" w:rsidRDefault="008F0359" w:rsidP="00756B53">
          <w:pPr>
            <w:pStyle w:val="TOC1"/>
            <w:tabs>
              <w:tab w:val="right" w:leader="dot" w:pos="9016"/>
            </w:tabs>
            <w:rPr>
              <w:rFonts w:ascii="Gill Sans MT" w:eastAsiaTheme="minorEastAsia" w:hAnsi="Gill Sans MT"/>
              <w:b/>
              <w:i/>
              <w:noProof/>
              <w:sz w:val="28"/>
              <w:szCs w:val="28"/>
              <w:lang w:eastAsia="en-AU"/>
            </w:rPr>
          </w:pPr>
          <w:hyperlink w:anchor="_Toc332115756" w:history="1">
            <w:r w:rsidR="00756B53" w:rsidRPr="00E83DA2">
              <w:rPr>
                <w:rStyle w:val="Hyperlink"/>
                <w:rFonts w:ascii="Gill Sans MT" w:hAnsi="Gill Sans MT"/>
                <w:b/>
                <w:i/>
                <w:noProof/>
                <w:sz w:val="28"/>
                <w:szCs w:val="28"/>
              </w:rPr>
              <w:t>Freight - Infrastructure</w:t>
            </w:r>
            <w:r w:rsidR="00756B53" w:rsidRPr="00E83DA2">
              <w:rPr>
                <w:rFonts w:ascii="Gill Sans MT" w:hAnsi="Gill Sans MT"/>
                <w:b/>
                <w:i/>
                <w:noProof/>
                <w:webHidden/>
                <w:sz w:val="28"/>
                <w:szCs w:val="28"/>
              </w:rPr>
              <w:tab/>
            </w:r>
            <w:r w:rsidRPr="00E83DA2">
              <w:rPr>
                <w:rFonts w:ascii="Gill Sans MT" w:hAnsi="Gill Sans MT"/>
                <w:b/>
                <w:i/>
                <w:noProof/>
                <w:webHidden/>
                <w:sz w:val="28"/>
                <w:szCs w:val="28"/>
              </w:rPr>
              <w:fldChar w:fldCharType="begin"/>
            </w:r>
            <w:r w:rsidR="00756B53" w:rsidRPr="00E83DA2">
              <w:rPr>
                <w:rFonts w:ascii="Gill Sans MT" w:hAnsi="Gill Sans MT"/>
                <w:b/>
                <w:i/>
                <w:noProof/>
                <w:webHidden/>
                <w:sz w:val="28"/>
                <w:szCs w:val="28"/>
              </w:rPr>
              <w:instrText xml:space="preserve"> PAGEREF _Toc332115756 \h </w:instrText>
            </w:r>
            <w:r w:rsidRPr="00E83DA2">
              <w:rPr>
                <w:rFonts w:ascii="Gill Sans MT" w:hAnsi="Gill Sans MT"/>
                <w:b/>
                <w:i/>
                <w:noProof/>
                <w:webHidden/>
                <w:sz w:val="28"/>
                <w:szCs w:val="28"/>
              </w:rPr>
            </w:r>
            <w:r w:rsidRPr="00E83DA2">
              <w:rPr>
                <w:rFonts w:ascii="Gill Sans MT" w:hAnsi="Gill Sans MT"/>
                <w:b/>
                <w:i/>
                <w:noProof/>
                <w:webHidden/>
                <w:sz w:val="28"/>
                <w:szCs w:val="28"/>
              </w:rPr>
              <w:fldChar w:fldCharType="separate"/>
            </w:r>
            <w:r w:rsidR="008351A4">
              <w:rPr>
                <w:rFonts w:ascii="Gill Sans MT" w:hAnsi="Gill Sans MT"/>
                <w:b/>
                <w:i/>
                <w:noProof/>
                <w:webHidden/>
                <w:sz w:val="28"/>
                <w:szCs w:val="28"/>
              </w:rPr>
              <w:t>64</w:t>
            </w:r>
            <w:r w:rsidRPr="00E83DA2">
              <w:rPr>
                <w:rFonts w:ascii="Gill Sans MT" w:hAnsi="Gill Sans MT"/>
                <w:b/>
                <w:i/>
                <w:noProof/>
                <w:webHidden/>
                <w:sz w:val="28"/>
                <w:szCs w:val="28"/>
              </w:rPr>
              <w:fldChar w:fldCharType="end"/>
            </w:r>
          </w:hyperlink>
        </w:p>
        <w:p w:rsidR="00756B53" w:rsidRPr="00E83DA2" w:rsidRDefault="008F0359" w:rsidP="00756B53">
          <w:pPr>
            <w:pStyle w:val="TOC1"/>
            <w:tabs>
              <w:tab w:val="right" w:leader="dot" w:pos="9016"/>
            </w:tabs>
            <w:rPr>
              <w:rFonts w:ascii="Gill Sans MT" w:eastAsiaTheme="minorEastAsia" w:hAnsi="Gill Sans MT"/>
              <w:b/>
              <w:i/>
              <w:noProof/>
              <w:sz w:val="28"/>
              <w:szCs w:val="28"/>
              <w:lang w:eastAsia="en-AU"/>
            </w:rPr>
          </w:pPr>
          <w:hyperlink w:anchor="_Toc332115764" w:history="1">
            <w:r w:rsidR="00756B53" w:rsidRPr="00E83DA2">
              <w:rPr>
                <w:rStyle w:val="Hyperlink"/>
                <w:rFonts w:ascii="Gill Sans MT" w:hAnsi="Gill Sans MT"/>
                <w:b/>
                <w:i/>
                <w:noProof/>
                <w:sz w:val="28"/>
                <w:szCs w:val="28"/>
              </w:rPr>
              <w:t>Freight - Industrial areas and transport</w:t>
            </w:r>
            <w:r w:rsidR="00756B53" w:rsidRPr="00E83DA2">
              <w:rPr>
                <w:rFonts w:ascii="Gill Sans MT" w:hAnsi="Gill Sans MT"/>
                <w:b/>
                <w:i/>
                <w:noProof/>
                <w:webHidden/>
                <w:sz w:val="28"/>
                <w:szCs w:val="28"/>
              </w:rPr>
              <w:tab/>
            </w:r>
            <w:r w:rsidRPr="00E83DA2">
              <w:rPr>
                <w:rFonts w:ascii="Gill Sans MT" w:hAnsi="Gill Sans MT"/>
                <w:b/>
                <w:i/>
                <w:noProof/>
                <w:webHidden/>
                <w:sz w:val="28"/>
                <w:szCs w:val="28"/>
              </w:rPr>
              <w:fldChar w:fldCharType="begin"/>
            </w:r>
            <w:r w:rsidR="00756B53" w:rsidRPr="00E83DA2">
              <w:rPr>
                <w:rFonts w:ascii="Gill Sans MT" w:hAnsi="Gill Sans MT"/>
                <w:b/>
                <w:i/>
                <w:noProof/>
                <w:webHidden/>
                <w:sz w:val="28"/>
                <w:szCs w:val="28"/>
              </w:rPr>
              <w:instrText xml:space="preserve"> PAGEREF _Toc332115764 \h </w:instrText>
            </w:r>
            <w:r w:rsidRPr="00E83DA2">
              <w:rPr>
                <w:rFonts w:ascii="Gill Sans MT" w:hAnsi="Gill Sans MT"/>
                <w:b/>
                <w:i/>
                <w:noProof/>
                <w:webHidden/>
                <w:sz w:val="28"/>
                <w:szCs w:val="28"/>
              </w:rPr>
            </w:r>
            <w:r w:rsidRPr="00E83DA2">
              <w:rPr>
                <w:rFonts w:ascii="Gill Sans MT" w:hAnsi="Gill Sans MT"/>
                <w:b/>
                <w:i/>
                <w:noProof/>
                <w:webHidden/>
                <w:sz w:val="28"/>
                <w:szCs w:val="28"/>
              </w:rPr>
              <w:fldChar w:fldCharType="separate"/>
            </w:r>
            <w:r w:rsidR="008351A4">
              <w:rPr>
                <w:rFonts w:ascii="Gill Sans MT" w:hAnsi="Gill Sans MT"/>
                <w:b/>
                <w:i/>
                <w:noProof/>
                <w:webHidden/>
                <w:sz w:val="28"/>
                <w:szCs w:val="28"/>
              </w:rPr>
              <w:t>90</w:t>
            </w:r>
            <w:r w:rsidRPr="00E83DA2">
              <w:rPr>
                <w:rFonts w:ascii="Gill Sans MT" w:hAnsi="Gill Sans MT"/>
                <w:b/>
                <w:i/>
                <w:noProof/>
                <w:webHidden/>
                <w:sz w:val="28"/>
                <w:szCs w:val="28"/>
              </w:rPr>
              <w:fldChar w:fldCharType="end"/>
            </w:r>
          </w:hyperlink>
        </w:p>
        <w:p w:rsidR="00756B53" w:rsidRPr="00E83DA2" w:rsidRDefault="008F0359" w:rsidP="00756B53">
          <w:pPr>
            <w:pStyle w:val="TOC1"/>
            <w:tabs>
              <w:tab w:val="right" w:leader="dot" w:pos="9016"/>
            </w:tabs>
            <w:rPr>
              <w:rFonts w:ascii="Gill Sans MT" w:eastAsiaTheme="minorEastAsia" w:hAnsi="Gill Sans MT"/>
              <w:b/>
              <w:i/>
              <w:noProof/>
              <w:sz w:val="28"/>
              <w:szCs w:val="28"/>
              <w:lang w:eastAsia="en-AU"/>
            </w:rPr>
          </w:pPr>
          <w:hyperlink w:anchor="_Toc332115770" w:history="1">
            <w:r w:rsidR="00756B53" w:rsidRPr="00E83DA2">
              <w:rPr>
                <w:rStyle w:val="Hyperlink"/>
                <w:rFonts w:ascii="Gill Sans MT" w:hAnsi="Gill Sans MT"/>
                <w:b/>
                <w:i/>
                <w:noProof/>
                <w:sz w:val="28"/>
                <w:szCs w:val="28"/>
              </w:rPr>
              <w:t>Transport and safety</w:t>
            </w:r>
            <w:r w:rsidR="00756B53" w:rsidRPr="00E83DA2">
              <w:rPr>
                <w:rFonts w:ascii="Gill Sans MT" w:hAnsi="Gill Sans MT"/>
                <w:b/>
                <w:i/>
                <w:noProof/>
                <w:webHidden/>
                <w:sz w:val="28"/>
                <w:szCs w:val="28"/>
              </w:rPr>
              <w:tab/>
            </w:r>
            <w:r w:rsidRPr="00E83DA2">
              <w:rPr>
                <w:rFonts w:ascii="Gill Sans MT" w:hAnsi="Gill Sans MT"/>
                <w:b/>
                <w:i/>
                <w:noProof/>
                <w:webHidden/>
                <w:sz w:val="28"/>
                <w:szCs w:val="28"/>
              </w:rPr>
              <w:fldChar w:fldCharType="begin"/>
            </w:r>
            <w:r w:rsidR="00756B53" w:rsidRPr="00E83DA2">
              <w:rPr>
                <w:rFonts w:ascii="Gill Sans MT" w:hAnsi="Gill Sans MT"/>
                <w:b/>
                <w:i/>
                <w:noProof/>
                <w:webHidden/>
                <w:sz w:val="28"/>
                <w:szCs w:val="28"/>
              </w:rPr>
              <w:instrText xml:space="preserve"> PAGEREF _Toc332115770 \h </w:instrText>
            </w:r>
            <w:r w:rsidRPr="00E83DA2">
              <w:rPr>
                <w:rFonts w:ascii="Gill Sans MT" w:hAnsi="Gill Sans MT"/>
                <w:b/>
                <w:i/>
                <w:noProof/>
                <w:webHidden/>
                <w:sz w:val="28"/>
                <w:szCs w:val="28"/>
              </w:rPr>
            </w:r>
            <w:r w:rsidRPr="00E83DA2">
              <w:rPr>
                <w:rFonts w:ascii="Gill Sans MT" w:hAnsi="Gill Sans MT"/>
                <w:b/>
                <w:i/>
                <w:noProof/>
                <w:webHidden/>
                <w:sz w:val="28"/>
                <w:szCs w:val="28"/>
              </w:rPr>
              <w:fldChar w:fldCharType="separate"/>
            </w:r>
            <w:r w:rsidR="008351A4">
              <w:rPr>
                <w:rFonts w:ascii="Gill Sans MT" w:hAnsi="Gill Sans MT"/>
                <w:b/>
                <w:i/>
                <w:noProof/>
                <w:webHidden/>
                <w:sz w:val="28"/>
                <w:szCs w:val="28"/>
              </w:rPr>
              <w:t>94</w:t>
            </w:r>
            <w:r w:rsidRPr="00E83DA2">
              <w:rPr>
                <w:rFonts w:ascii="Gill Sans MT" w:hAnsi="Gill Sans MT"/>
                <w:b/>
                <w:i/>
                <w:noProof/>
                <w:webHidden/>
                <w:sz w:val="28"/>
                <w:szCs w:val="28"/>
              </w:rPr>
              <w:fldChar w:fldCharType="end"/>
            </w:r>
          </w:hyperlink>
        </w:p>
        <w:p w:rsidR="00756B53" w:rsidRPr="00E83DA2" w:rsidRDefault="008F0359" w:rsidP="00756B53">
          <w:pPr>
            <w:pStyle w:val="TOC1"/>
            <w:tabs>
              <w:tab w:val="right" w:leader="dot" w:pos="9016"/>
            </w:tabs>
            <w:rPr>
              <w:rFonts w:ascii="Gill Sans MT" w:eastAsiaTheme="minorEastAsia" w:hAnsi="Gill Sans MT"/>
              <w:b/>
              <w:i/>
              <w:noProof/>
              <w:sz w:val="28"/>
              <w:szCs w:val="28"/>
              <w:lang w:eastAsia="en-AU"/>
            </w:rPr>
          </w:pPr>
          <w:hyperlink w:anchor="_Toc332115793" w:history="1">
            <w:r w:rsidR="00756B53" w:rsidRPr="00E83DA2">
              <w:rPr>
                <w:rStyle w:val="Hyperlink"/>
                <w:rFonts w:ascii="Gill Sans MT" w:hAnsi="Gill Sans MT"/>
                <w:b/>
                <w:i/>
                <w:noProof/>
                <w:sz w:val="28"/>
                <w:szCs w:val="28"/>
              </w:rPr>
              <w:t>Transport and the environment</w:t>
            </w:r>
            <w:r w:rsidR="00756B53" w:rsidRPr="00E83DA2">
              <w:rPr>
                <w:rFonts w:ascii="Gill Sans MT" w:hAnsi="Gill Sans MT"/>
                <w:b/>
                <w:i/>
                <w:noProof/>
                <w:webHidden/>
                <w:sz w:val="28"/>
                <w:szCs w:val="28"/>
              </w:rPr>
              <w:tab/>
            </w:r>
            <w:r w:rsidRPr="00E83DA2">
              <w:rPr>
                <w:rFonts w:ascii="Gill Sans MT" w:hAnsi="Gill Sans MT"/>
                <w:b/>
                <w:i/>
                <w:noProof/>
                <w:webHidden/>
                <w:sz w:val="28"/>
                <w:szCs w:val="28"/>
              </w:rPr>
              <w:fldChar w:fldCharType="begin"/>
            </w:r>
            <w:r w:rsidR="00756B53" w:rsidRPr="00E83DA2">
              <w:rPr>
                <w:rFonts w:ascii="Gill Sans MT" w:hAnsi="Gill Sans MT"/>
                <w:b/>
                <w:i/>
                <w:noProof/>
                <w:webHidden/>
                <w:sz w:val="28"/>
                <w:szCs w:val="28"/>
              </w:rPr>
              <w:instrText xml:space="preserve"> PAGEREF _Toc332115793 \h </w:instrText>
            </w:r>
            <w:r w:rsidRPr="00E83DA2">
              <w:rPr>
                <w:rFonts w:ascii="Gill Sans MT" w:hAnsi="Gill Sans MT"/>
                <w:b/>
                <w:i/>
                <w:noProof/>
                <w:webHidden/>
                <w:sz w:val="28"/>
                <w:szCs w:val="28"/>
              </w:rPr>
            </w:r>
            <w:r w:rsidRPr="00E83DA2">
              <w:rPr>
                <w:rFonts w:ascii="Gill Sans MT" w:hAnsi="Gill Sans MT"/>
                <w:b/>
                <w:i/>
                <w:noProof/>
                <w:webHidden/>
                <w:sz w:val="28"/>
                <w:szCs w:val="28"/>
              </w:rPr>
              <w:fldChar w:fldCharType="separate"/>
            </w:r>
            <w:r w:rsidR="008351A4">
              <w:rPr>
                <w:rFonts w:ascii="Gill Sans MT" w:hAnsi="Gill Sans MT"/>
                <w:b/>
                <w:i/>
                <w:noProof/>
                <w:webHidden/>
                <w:sz w:val="28"/>
                <w:szCs w:val="28"/>
              </w:rPr>
              <w:t>94</w:t>
            </w:r>
            <w:r w:rsidRPr="00E83DA2">
              <w:rPr>
                <w:rFonts w:ascii="Gill Sans MT" w:hAnsi="Gill Sans MT"/>
                <w:b/>
                <w:i/>
                <w:noProof/>
                <w:webHidden/>
                <w:sz w:val="28"/>
                <w:szCs w:val="28"/>
              </w:rPr>
              <w:fldChar w:fldCharType="end"/>
            </w:r>
          </w:hyperlink>
        </w:p>
        <w:p w:rsidR="00756B53" w:rsidRPr="00E83DA2" w:rsidRDefault="008F0359" w:rsidP="00756B53">
          <w:pPr>
            <w:pStyle w:val="TOC1"/>
            <w:tabs>
              <w:tab w:val="right" w:leader="dot" w:pos="9016"/>
            </w:tabs>
            <w:rPr>
              <w:rFonts w:ascii="Gill Sans MT" w:eastAsiaTheme="minorEastAsia" w:hAnsi="Gill Sans MT"/>
              <w:b/>
              <w:i/>
              <w:noProof/>
              <w:sz w:val="28"/>
              <w:szCs w:val="28"/>
              <w:lang w:eastAsia="en-AU"/>
            </w:rPr>
          </w:pPr>
          <w:hyperlink w:anchor="_Toc332115808" w:history="1">
            <w:r w:rsidR="00756B53" w:rsidRPr="00E83DA2">
              <w:rPr>
                <w:rStyle w:val="Hyperlink"/>
                <w:rFonts w:ascii="Gill Sans MT" w:hAnsi="Gill Sans MT"/>
                <w:b/>
                <w:i/>
                <w:noProof/>
                <w:sz w:val="28"/>
                <w:szCs w:val="28"/>
              </w:rPr>
              <w:t>Transport and tourism</w:t>
            </w:r>
            <w:r w:rsidR="00756B53" w:rsidRPr="00E83DA2">
              <w:rPr>
                <w:rFonts w:ascii="Gill Sans MT" w:hAnsi="Gill Sans MT"/>
                <w:b/>
                <w:i/>
                <w:noProof/>
                <w:webHidden/>
                <w:sz w:val="28"/>
                <w:szCs w:val="28"/>
              </w:rPr>
              <w:tab/>
            </w:r>
            <w:r w:rsidRPr="00E83DA2">
              <w:rPr>
                <w:rFonts w:ascii="Gill Sans MT" w:hAnsi="Gill Sans MT"/>
                <w:b/>
                <w:i/>
                <w:noProof/>
                <w:webHidden/>
                <w:sz w:val="28"/>
                <w:szCs w:val="28"/>
              </w:rPr>
              <w:fldChar w:fldCharType="begin"/>
            </w:r>
            <w:r w:rsidR="00756B53" w:rsidRPr="00E83DA2">
              <w:rPr>
                <w:rFonts w:ascii="Gill Sans MT" w:hAnsi="Gill Sans MT"/>
                <w:b/>
                <w:i/>
                <w:noProof/>
                <w:webHidden/>
                <w:sz w:val="28"/>
                <w:szCs w:val="28"/>
              </w:rPr>
              <w:instrText xml:space="preserve"> PAGEREF _Toc332115808 \h </w:instrText>
            </w:r>
            <w:r w:rsidRPr="00E83DA2">
              <w:rPr>
                <w:rFonts w:ascii="Gill Sans MT" w:hAnsi="Gill Sans MT"/>
                <w:b/>
                <w:i/>
                <w:noProof/>
                <w:webHidden/>
                <w:sz w:val="28"/>
                <w:szCs w:val="28"/>
              </w:rPr>
            </w:r>
            <w:r w:rsidRPr="00E83DA2">
              <w:rPr>
                <w:rFonts w:ascii="Gill Sans MT" w:hAnsi="Gill Sans MT"/>
                <w:b/>
                <w:i/>
                <w:noProof/>
                <w:webHidden/>
                <w:sz w:val="28"/>
                <w:szCs w:val="28"/>
              </w:rPr>
              <w:fldChar w:fldCharType="separate"/>
            </w:r>
            <w:r w:rsidR="008351A4">
              <w:rPr>
                <w:rFonts w:ascii="Gill Sans MT" w:hAnsi="Gill Sans MT"/>
                <w:b/>
                <w:i/>
                <w:noProof/>
                <w:webHidden/>
                <w:sz w:val="28"/>
                <w:szCs w:val="28"/>
              </w:rPr>
              <w:t>113</w:t>
            </w:r>
            <w:r w:rsidRPr="00E83DA2">
              <w:rPr>
                <w:rFonts w:ascii="Gill Sans MT" w:hAnsi="Gill Sans MT"/>
                <w:b/>
                <w:i/>
                <w:noProof/>
                <w:webHidden/>
                <w:sz w:val="28"/>
                <w:szCs w:val="28"/>
              </w:rPr>
              <w:fldChar w:fldCharType="end"/>
            </w:r>
          </w:hyperlink>
        </w:p>
        <w:p w:rsidR="00756B53" w:rsidRPr="00E83DA2" w:rsidRDefault="008F0359" w:rsidP="00756B53">
          <w:pPr>
            <w:pStyle w:val="TOC1"/>
            <w:tabs>
              <w:tab w:val="right" w:leader="dot" w:pos="9016"/>
            </w:tabs>
            <w:rPr>
              <w:rFonts w:ascii="Gill Sans MT" w:eastAsiaTheme="minorEastAsia" w:hAnsi="Gill Sans MT"/>
              <w:noProof/>
              <w:lang w:eastAsia="en-AU"/>
            </w:rPr>
          </w:pPr>
          <w:hyperlink w:anchor="_Toc332115824" w:history="1">
            <w:r w:rsidR="00756B53" w:rsidRPr="00E83DA2">
              <w:rPr>
                <w:rStyle w:val="Hyperlink"/>
                <w:rFonts w:ascii="Gill Sans MT" w:hAnsi="Gill Sans MT"/>
                <w:b/>
                <w:i/>
                <w:noProof/>
                <w:sz w:val="28"/>
                <w:szCs w:val="28"/>
              </w:rPr>
              <w:t>Socio-economic profile</w:t>
            </w:r>
            <w:r w:rsidR="00756B53" w:rsidRPr="00E83DA2">
              <w:rPr>
                <w:rFonts w:ascii="Gill Sans MT" w:hAnsi="Gill Sans MT"/>
                <w:b/>
                <w:i/>
                <w:noProof/>
                <w:webHidden/>
                <w:sz w:val="28"/>
                <w:szCs w:val="28"/>
              </w:rPr>
              <w:tab/>
            </w:r>
            <w:r w:rsidRPr="00E83DA2">
              <w:rPr>
                <w:rFonts w:ascii="Gill Sans MT" w:hAnsi="Gill Sans MT"/>
                <w:b/>
                <w:i/>
                <w:noProof/>
                <w:webHidden/>
                <w:sz w:val="28"/>
                <w:szCs w:val="28"/>
              </w:rPr>
              <w:fldChar w:fldCharType="begin"/>
            </w:r>
            <w:r w:rsidR="00756B53" w:rsidRPr="00E83DA2">
              <w:rPr>
                <w:rFonts w:ascii="Gill Sans MT" w:hAnsi="Gill Sans MT"/>
                <w:b/>
                <w:i/>
                <w:noProof/>
                <w:webHidden/>
                <w:sz w:val="28"/>
                <w:szCs w:val="28"/>
              </w:rPr>
              <w:instrText xml:space="preserve"> PAGEREF _Toc332115824 \h </w:instrText>
            </w:r>
            <w:r w:rsidRPr="00E83DA2">
              <w:rPr>
                <w:rFonts w:ascii="Gill Sans MT" w:hAnsi="Gill Sans MT"/>
                <w:b/>
                <w:i/>
                <w:noProof/>
                <w:webHidden/>
                <w:sz w:val="28"/>
                <w:szCs w:val="28"/>
              </w:rPr>
            </w:r>
            <w:r w:rsidRPr="00E83DA2">
              <w:rPr>
                <w:rFonts w:ascii="Gill Sans MT" w:hAnsi="Gill Sans MT"/>
                <w:b/>
                <w:i/>
                <w:noProof/>
                <w:webHidden/>
                <w:sz w:val="28"/>
                <w:szCs w:val="28"/>
              </w:rPr>
              <w:fldChar w:fldCharType="separate"/>
            </w:r>
            <w:r w:rsidR="008351A4">
              <w:rPr>
                <w:rFonts w:ascii="Gill Sans MT" w:hAnsi="Gill Sans MT"/>
                <w:b/>
                <w:i/>
                <w:noProof/>
                <w:webHidden/>
                <w:sz w:val="28"/>
                <w:szCs w:val="28"/>
              </w:rPr>
              <w:t>121</w:t>
            </w:r>
            <w:r w:rsidRPr="00E83DA2">
              <w:rPr>
                <w:rFonts w:ascii="Gill Sans MT" w:hAnsi="Gill Sans MT"/>
                <w:b/>
                <w:i/>
                <w:noProof/>
                <w:webHidden/>
                <w:sz w:val="28"/>
                <w:szCs w:val="28"/>
              </w:rPr>
              <w:fldChar w:fldCharType="end"/>
            </w:r>
          </w:hyperlink>
        </w:p>
        <w:p w:rsidR="00756B53" w:rsidRPr="00E83DA2" w:rsidRDefault="008F0359" w:rsidP="00756B53">
          <w:pPr>
            <w:rPr>
              <w:rFonts w:ascii="Gill Sans MT" w:hAnsi="Gill Sans MT"/>
            </w:rPr>
          </w:pPr>
          <w:r w:rsidRPr="00E83DA2">
            <w:rPr>
              <w:rFonts w:ascii="Gill Sans MT" w:hAnsi="Gill Sans MT"/>
              <w:b/>
            </w:rPr>
            <w:fldChar w:fldCharType="end"/>
          </w:r>
        </w:p>
      </w:sdtContent>
    </w:sdt>
    <w:p w:rsidR="00756B53" w:rsidRPr="00E83DA2" w:rsidRDefault="008F0359" w:rsidP="00756B53">
      <w:pPr>
        <w:rPr>
          <w:rFonts w:ascii="Gill Sans MT" w:hAnsi="Gill Sans MT"/>
        </w:rPr>
      </w:pPr>
      <w:r>
        <w:rPr>
          <w:rFonts w:ascii="Gill Sans MT" w:hAnsi="Gill Sans MT"/>
          <w:noProof/>
          <w:lang w:eastAsia="en-AU"/>
        </w:rPr>
        <w:pict>
          <v:rect id="_x0000_s1227" style="position:absolute;margin-left:-29pt;margin-top:308.85pt;width:518.05pt;height:89.75pt;z-index:251699712" stroked="f"/>
        </w:pict>
      </w:r>
    </w:p>
    <w:p w:rsidR="00756B53" w:rsidRPr="00E83DA2" w:rsidRDefault="00756B53" w:rsidP="00756B53">
      <w:pPr>
        <w:pStyle w:val="Heading1"/>
        <w:rPr>
          <w:rFonts w:ascii="Gill Sans MT" w:hAnsi="Gill Sans MT"/>
        </w:rPr>
        <w:sectPr w:rsidR="00756B53" w:rsidRPr="00E83DA2" w:rsidSect="00103702">
          <w:pgSz w:w="11906" w:h="16838"/>
          <w:pgMar w:top="1440" w:right="1440" w:bottom="1440" w:left="1440" w:header="708" w:footer="708" w:gutter="0"/>
          <w:cols w:space="708"/>
          <w:docGrid w:linePitch="360"/>
        </w:sectPr>
      </w:pPr>
    </w:p>
    <w:p w:rsidR="00756B53" w:rsidRPr="00E83DA2" w:rsidRDefault="00756B53" w:rsidP="00756B53">
      <w:pPr>
        <w:pStyle w:val="Heading1"/>
        <w:rPr>
          <w:rFonts w:ascii="Gill Sans MT" w:hAnsi="Gill Sans MT"/>
        </w:rPr>
      </w:pPr>
      <w:bookmarkStart w:id="3" w:name="_Toc332115737"/>
      <w:r w:rsidRPr="00E83DA2">
        <w:rPr>
          <w:rFonts w:ascii="Gill Sans MT" w:hAnsi="Gill Sans MT"/>
        </w:rPr>
        <w:lastRenderedPageBreak/>
        <w:t>Introduction</w:t>
      </w:r>
      <w:bookmarkEnd w:id="3"/>
    </w:p>
    <w:p w:rsidR="00756B53" w:rsidRPr="00E83DA2" w:rsidRDefault="00756B53" w:rsidP="00107907">
      <w:pPr>
        <w:spacing w:before="240"/>
        <w:rPr>
          <w:rFonts w:ascii="Gill Sans MT" w:hAnsi="Gill Sans MT"/>
        </w:rPr>
      </w:pPr>
      <w:r w:rsidRPr="00E83DA2">
        <w:rPr>
          <w:rFonts w:ascii="Gill Sans MT" w:hAnsi="Gill Sans MT"/>
        </w:rPr>
        <w:t xml:space="preserve">The current Northern Integrated Transport Plan (NITP) was completed in 2003 and was the first of the three regional integrated transport plans to be developed. </w:t>
      </w:r>
      <w:r w:rsidR="009845FB">
        <w:rPr>
          <w:rFonts w:ascii="Gill Sans MT" w:hAnsi="Gill Sans MT"/>
        </w:rPr>
        <w:t>It</w:t>
      </w:r>
      <w:r w:rsidRPr="00E83DA2">
        <w:rPr>
          <w:rFonts w:ascii="Gill Sans MT" w:hAnsi="Gill Sans MT"/>
        </w:rPr>
        <w:t xml:space="preserve"> was developed </w:t>
      </w:r>
      <w:r w:rsidR="009845FB">
        <w:rPr>
          <w:rFonts w:ascii="Gill Sans MT" w:hAnsi="Gill Sans MT"/>
        </w:rPr>
        <w:t>by</w:t>
      </w:r>
      <w:r w:rsidRPr="00E83DA2">
        <w:rPr>
          <w:rFonts w:ascii="Gill Sans MT" w:hAnsi="Gill Sans MT"/>
        </w:rPr>
        <w:t xml:space="preserve"> the Department of Infrastructure, Energy and Resources (DIER), </w:t>
      </w:r>
      <w:r w:rsidR="009845FB" w:rsidRPr="00E83DA2">
        <w:rPr>
          <w:rFonts w:ascii="Gill Sans MT" w:hAnsi="Gill Sans MT"/>
        </w:rPr>
        <w:t xml:space="preserve">in collaboration </w:t>
      </w:r>
      <w:r w:rsidRPr="00E83DA2">
        <w:rPr>
          <w:rFonts w:ascii="Gill Sans MT" w:hAnsi="Gill Sans MT"/>
        </w:rPr>
        <w:t xml:space="preserve">Region North (now Northern Tasmania Development) and the eight member councils in the Northern Region: Break O’Day, Dorset, Flinders, George Town, Launceston, Meander Valley, Northern Midlands, </w:t>
      </w:r>
      <w:r w:rsidR="009845FB">
        <w:rPr>
          <w:rFonts w:ascii="Gill Sans MT" w:hAnsi="Gill Sans MT"/>
        </w:rPr>
        <w:t xml:space="preserve">and </w:t>
      </w:r>
      <w:r w:rsidRPr="00E83DA2">
        <w:rPr>
          <w:rFonts w:ascii="Gill Sans MT" w:hAnsi="Gill Sans MT"/>
        </w:rPr>
        <w:t>West Tamar.</w:t>
      </w:r>
    </w:p>
    <w:p w:rsidR="00756B53" w:rsidRPr="00E83DA2" w:rsidRDefault="00756B53" w:rsidP="00756B53">
      <w:pPr>
        <w:rPr>
          <w:rFonts w:ascii="Gill Sans MT" w:hAnsi="Gill Sans MT"/>
        </w:rPr>
      </w:pPr>
      <w:r w:rsidRPr="00E83DA2">
        <w:rPr>
          <w:rFonts w:ascii="Gill Sans MT" w:hAnsi="Gill Sans MT"/>
        </w:rPr>
        <w:t xml:space="preserve">The NITP provides a coordinated and strategic framework to recognise and address transport issues within the Northern Region over the next twenty years. </w:t>
      </w:r>
      <w:r w:rsidR="009845FB">
        <w:rPr>
          <w:rFonts w:ascii="Gill Sans MT" w:hAnsi="Gill Sans MT"/>
        </w:rPr>
        <w:t>Changes occurring to</w:t>
      </w:r>
      <w:r w:rsidRPr="00E83DA2">
        <w:rPr>
          <w:rFonts w:ascii="Gill Sans MT" w:hAnsi="Gill Sans MT"/>
        </w:rPr>
        <w:t xml:space="preserve"> regional industry structures and the implementation of a range of new State Government and regional initiatives since the completion of the current NITP</w:t>
      </w:r>
      <w:r w:rsidR="009845FB">
        <w:rPr>
          <w:rFonts w:ascii="Gill Sans MT" w:hAnsi="Gill Sans MT"/>
        </w:rPr>
        <w:t xml:space="preserve"> mean that a review is now timely</w:t>
      </w:r>
      <w:r w:rsidRPr="00E83DA2">
        <w:rPr>
          <w:rFonts w:ascii="Gill Sans MT" w:hAnsi="Gill Sans MT"/>
        </w:rPr>
        <w:t>.</w:t>
      </w:r>
    </w:p>
    <w:p w:rsidR="00756B53" w:rsidRDefault="00756B53" w:rsidP="00756B53">
      <w:pPr>
        <w:rPr>
          <w:rFonts w:ascii="Gill Sans MT" w:hAnsi="Gill Sans MT"/>
        </w:rPr>
      </w:pPr>
      <w:r w:rsidRPr="00E83DA2">
        <w:rPr>
          <w:rFonts w:ascii="Gill Sans MT" w:hAnsi="Gill Sans MT"/>
        </w:rPr>
        <w:t>Transport is fundamental to the Tasmanian community and economy. It provides Tasmanians with access to work, education, health services, family and friends. As an island state with an export-oriented economy, Tasmania depends on shipping and air services for interstate and overseas movement of goods and passengers. Much of Tasmania’s economy is based on freight-intensive bulk commodities and agricultural products. High-value industries, such as seafood and seasonal produce, rely on timely market access. Many of the conditions affecting Tasmania as a whole are directly relevant to the Northern Region.</w:t>
      </w:r>
    </w:p>
    <w:p w:rsidR="009845FB" w:rsidRPr="00E83DA2" w:rsidRDefault="009845FB" w:rsidP="00756B53">
      <w:pPr>
        <w:rPr>
          <w:rFonts w:ascii="Gill Sans MT" w:hAnsi="Gill Sans MT"/>
        </w:rPr>
      </w:pPr>
      <w:r>
        <w:rPr>
          <w:rFonts w:ascii="Gill Sans MT" w:hAnsi="Gill Sans MT"/>
        </w:rPr>
        <w:t>The new NITP will focus on looking to the future of the Northern Region and the opportunities which may exist.  The Background Report is a review of the existing transport infrastructure and services, helping to ensure that an understanding of how the transport system works now will inform the decisions we make about the future.</w:t>
      </w:r>
    </w:p>
    <w:p w:rsidR="00756B53" w:rsidRPr="00E83DA2" w:rsidRDefault="00756B53" w:rsidP="00756B53">
      <w:pPr>
        <w:rPr>
          <w:rFonts w:ascii="Gill Sans MT" w:hAnsi="Gill Sans MT"/>
        </w:rPr>
      </w:pPr>
    </w:p>
    <w:p w:rsidR="00756B53" w:rsidRPr="00E83DA2" w:rsidRDefault="00756B53" w:rsidP="00756B53">
      <w:pPr>
        <w:rPr>
          <w:rFonts w:ascii="Gill Sans MT" w:hAnsi="Gill Sans MT"/>
        </w:rPr>
      </w:pPr>
    </w:p>
    <w:p w:rsidR="00756B53" w:rsidRPr="00E83DA2" w:rsidRDefault="00756B53" w:rsidP="00756B53">
      <w:pPr>
        <w:rPr>
          <w:rFonts w:ascii="Gill Sans MT" w:eastAsiaTheme="majorEastAsia" w:hAnsi="Gill Sans MT" w:cstheme="majorBidi"/>
          <w:color w:val="17365D" w:themeColor="text2" w:themeShade="BF"/>
          <w:spacing w:val="5"/>
          <w:kern w:val="28"/>
          <w:sz w:val="52"/>
          <w:szCs w:val="52"/>
        </w:rPr>
      </w:pPr>
    </w:p>
    <w:p w:rsidR="00756B53" w:rsidRPr="00E83DA2" w:rsidRDefault="00756B53" w:rsidP="00756B53">
      <w:pPr>
        <w:rPr>
          <w:rFonts w:ascii="Gill Sans MT" w:eastAsiaTheme="majorEastAsia" w:hAnsi="Gill Sans MT" w:cstheme="majorBidi"/>
          <w:color w:val="17365D" w:themeColor="text2" w:themeShade="BF"/>
          <w:spacing w:val="5"/>
          <w:kern w:val="28"/>
          <w:sz w:val="52"/>
          <w:szCs w:val="52"/>
        </w:rPr>
        <w:sectPr w:rsidR="00756B53" w:rsidRPr="00E83DA2" w:rsidSect="00103702">
          <w:pgSz w:w="11906" w:h="16838"/>
          <w:pgMar w:top="1440" w:right="1440" w:bottom="1440" w:left="1440" w:header="708" w:footer="708" w:gutter="0"/>
          <w:cols w:space="708"/>
          <w:docGrid w:linePitch="360"/>
        </w:sectPr>
      </w:pPr>
    </w:p>
    <w:p w:rsidR="00756B53" w:rsidRPr="00E83DA2" w:rsidRDefault="00756B53" w:rsidP="00756B53">
      <w:pPr>
        <w:pStyle w:val="Heading2"/>
      </w:pPr>
      <w:r w:rsidRPr="00E83DA2">
        <w:lastRenderedPageBreak/>
        <w:t>Key regional strategies and initiatives, Northern Tasmania</w:t>
      </w:r>
    </w:p>
    <w:p w:rsidR="00756B53" w:rsidRPr="00E83DA2" w:rsidRDefault="00756B53" w:rsidP="00107907">
      <w:pPr>
        <w:spacing w:before="240"/>
        <w:rPr>
          <w:rFonts w:ascii="Gill Sans MT" w:hAnsi="Gill Sans MT"/>
          <w:b/>
          <w:sz w:val="24"/>
          <w:szCs w:val="24"/>
        </w:rPr>
      </w:pPr>
      <w:r w:rsidRPr="00E83DA2">
        <w:rPr>
          <w:rFonts w:ascii="Gill Sans MT" w:hAnsi="Gill Sans MT"/>
        </w:rPr>
        <w:t>A significant amount of work has been undertaken in the Northern Region to better understand and plan the region’s transport system since 2003. A brief list of some key initiatives affecting the region is listed below:</w:t>
      </w:r>
    </w:p>
    <w:p w:rsidR="00756B53" w:rsidRPr="00E83DA2" w:rsidRDefault="008F0359" w:rsidP="00756B53">
      <w:pPr>
        <w:rPr>
          <w:rFonts w:ascii="Gill Sans MT" w:hAnsi="Gill Sans MT"/>
        </w:rPr>
      </w:pPr>
      <w:r>
        <w:rPr>
          <w:rFonts w:ascii="Gill Sans MT" w:hAnsi="Gill Sans MT"/>
          <w:noProof/>
          <w:lang w:eastAsia="en-AU"/>
        </w:rPr>
        <w:pict>
          <v:group id="_x0000_s1231" style="position:absolute;margin-left:10.5pt;margin-top:416.15pt;width:390.75pt;height:220.05pt;z-index:251702784" coordorigin="1650,12341" coordsize="7815,3678">
            <v:rect id="_x0000_s1176" style="position:absolute;left:2535;top:12341;width:6930;height:3067" strokecolor="#ddd8c2 [2894]">
              <v:textbox style="mso-next-textbox:#_x0000_s1176">
                <w:txbxContent>
                  <w:p w:rsidR="00A50F40" w:rsidRDefault="00A50F40" w:rsidP="00756B53">
                    <w:pPr>
                      <w:jc w:val="center"/>
                      <w:rPr>
                        <w:color w:val="C00000"/>
                        <w:sz w:val="18"/>
                        <w:szCs w:val="18"/>
                      </w:rPr>
                    </w:pPr>
                    <w:r>
                      <w:rPr>
                        <w:color w:val="C00000"/>
                        <w:sz w:val="18"/>
                        <w:szCs w:val="18"/>
                      </w:rPr>
                      <w:t>Examples include:</w:t>
                    </w:r>
                  </w:p>
                  <w:p w:rsidR="00A50F40" w:rsidRPr="00A95C9A" w:rsidRDefault="00A50F40" w:rsidP="00756B53">
                    <w:pPr>
                      <w:jc w:val="center"/>
                      <w:rPr>
                        <w:color w:val="C00000"/>
                        <w:sz w:val="18"/>
                        <w:szCs w:val="18"/>
                      </w:rPr>
                    </w:pPr>
                    <w:r w:rsidRPr="00A95C9A">
                      <w:rPr>
                        <w:color w:val="C00000"/>
                        <w:sz w:val="18"/>
                        <w:szCs w:val="18"/>
                      </w:rPr>
                      <w:t>Launceston Traffic Study</w:t>
                    </w:r>
                  </w:p>
                  <w:p w:rsidR="00A50F40" w:rsidRDefault="00A50F40" w:rsidP="00756B53">
                    <w:pPr>
                      <w:jc w:val="center"/>
                      <w:rPr>
                        <w:color w:val="C00000"/>
                        <w:sz w:val="18"/>
                        <w:szCs w:val="18"/>
                      </w:rPr>
                    </w:pPr>
                    <w:r>
                      <w:rPr>
                        <w:color w:val="C00000"/>
                        <w:sz w:val="18"/>
                        <w:szCs w:val="18"/>
                      </w:rPr>
                      <w:t>Meander Valley Traffic Study</w:t>
                    </w:r>
                  </w:p>
                  <w:p w:rsidR="00A50F40" w:rsidRDefault="00A50F40" w:rsidP="00756B53">
                    <w:pPr>
                      <w:jc w:val="center"/>
                      <w:rPr>
                        <w:color w:val="C00000"/>
                        <w:sz w:val="18"/>
                        <w:szCs w:val="18"/>
                      </w:rPr>
                    </w:pPr>
                    <w:r>
                      <w:rPr>
                        <w:color w:val="C00000"/>
                        <w:sz w:val="18"/>
                        <w:szCs w:val="18"/>
                      </w:rPr>
                      <w:t xml:space="preserve">Break </w:t>
                    </w:r>
                    <w:proofErr w:type="spellStart"/>
                    <w:r>
                      <w:rPr>
                        <w:color w:val="C00000"/>
                        <w:sz w:val="18"/>
                        <w:szCs w:val="18"/>
                      </w:rPr>
                      <w:t>O’Day</w:t>
                    </w:r>
                    <w:proofErr w:type="spellEnd"/>
                    <w:r>
                      <w:rPr>
                        <w:color w:val="C00000"/>
                        <w:sz w:val="18"/>
                        <w:szCs w:val="18"/>
                      </w:rPr>
                      <w:t xml:space="preserve"> Settlement Strategy</w:t>
                    </w:r>
                  </w:p>
                  <w:p w:rsidR="00A50F40" w:rsidRDefault="00A50F40" w:rsidP="00756B53">
                    <w:pPr>
                      <w:jc w:val="center"/>
                      <w:rPr>
                        <w:color w:val="C00000"/>
                        <w:sz w:val="18"/>
                        <w:szCs w:val="18"/>
                      </w:rPr>
                    </w:pPr>
                    <w:r>
                      <w:rPr>
                        <w:color w:val="C00000"/>
                        <w:sz w:val="18"/>
                        <w:szCs w:val="18"/>
                      </w:rPr>
                      <w:t>Northern Midlands Development Plans</w:t>
                    </w:r>
                  </w:p>
                  <w:p w:rsidR="00A50F40" w:rsidRDefault="00A50F40" w:rsidP="00756B53">
                    <w:pPr>
                      <w:jc w:val="center"/>
                      <w:rPr>
                        <w:color w:val="C00000"/>
                        <w:sz w:val="18"/>
                        <w:szCs w:val="18"/>
                      </w:rPr>
                    </w:pPr>
                    <w:r>
                      <w:rPr>
                        <w:color w:val="C00000"/>
                        <w:sz w:val="18"/>
                        <w:szCs w:val="18"/>
                      </w:rPr>
                      <w:t>Dorset Council Projects of Importance</w:t>
                    </w:r>
                  </w:p>
                  <w:p w:rsidR="00A50F40" w:rsidRPr="00A95C9A" w:rsidRDefault="00A50F40" w:rsidP="00756B53">
                    <w:pPr>
                      <w:jc w:val="center"/>
                      <w:rPr>
                        <w:color w:val="C00000"/>
                        <w:sz w:val="18"/>
                        <w:szCs w:val="18"/>
                      </w:rPr>
                    </w:pPr>
                    <w:r w:rsidRPr="00A95C9A">
                      <w:rPr>
                        <w:color w:val="C00000"/>
                        <w:sz w:val="18"/>
                        <w:szCs w:val="18"/>
                      </w:rPr>
                      <w:t>Launceston Cycling Infrastructure Strategy</w:t>
                    </w:r>
                  </w:p>
                  <w:p w:rsidR="00A50F40" w:rsidRDefault="00A50F40" w:rsidP="00756B53">
                    <w:pPr>
                      <w:jc w:val="center"/>
                      <w:rPr>
                        <w:color w:val="C00000"/>
                        <w:sz w:val="18"/>
                        <w:szCs w:val="18"/>
                      </w:rPr>
                    </w:pPr>
                    <w:r>
                      <w:rPr>
                        <w:color w:val="C00000"/>
                        <w:sz w:val="18"/>
                        <w:szCs w:val="18"/>
                      </w:rPr>
                      <w:t>Flinders Structure Plan</w:t>
                    </w:r>
                  </w:p>
                  <w:p w:rsidR="00A50F40" w:rsidRPr="00563909" w:rsidRDefault="00A50F40" w:rsidP="00756B53">
                    <w:pPr>
                      <w:jc w:val="center"/>
                      <w:rPr>
                        <w:color w:val="C00000"/>
                      </w:rPr>
                    </w:pPr>
                  </w:p>
                </w:txbxContent>
              </v:textbox>
            </v:rect>
            <v:rect id="_x0000_s1179" style="position:absolute;left:1650;top:12341;width:765;height:3067" fillcolor="#c0504d [3205]" stroked="f">
              <v:textbox style="layout-flow:vertical;mso-layout-flow-alt:bottom-to-top;mso-next-textbox:#_x0000_s1179">
                <w:txbxContent>
                  <w:p w:rsidR="00A50F40" w:rsidRPr="00B2341F" w:rsidRDefault="00A50F40" w:rsidP="00756B53">
                    <w:pPr>
                      <w:jc w:val="center"/>
                      <w:rPr>
                        <w:b/>
                        <w:color w:val="FFFFFF" w:themeColor="background1"/>
                        <w:sz w:val="32"/>
                        <w:szCs w:val="32"/>
                      </w:rPr>
                    </w:pPr>
                    <w:r w:rsidRPr="00B2341F">
                      <w:rPr>
                        <w:b/>
                        <w:color w:val="FFFFFF" w:themeColor="background1"/>
                        <w:sz w:val="32"/>
                        <w:szCs w:val="32"/>
                      </w:rPr>
                      <w:t>Local</w:t>
                    </w:r>
                  </w:p>
                </w:txbxContent>
              </v:textbox>
            </v:rect>
            <v:rect id="_x0000_s1180" style="position:absolute;left:1650;top:15539;width:7815;height:480" stroked="f" strokecolor="#ddd8c2 [2894]">
              <v:textbox style="mso-next-textbox:#_x0000_s1180">
                <w:txbxContent>
                  <w:p w:rsidR="00A50F40" w:rsidRPr="00F56280" w:rsidRDefault="00A50F40" w:rsidP="00E742D0">
                    <w:pPr>
                      <w:spacing w:after="0"/>
                      <w:rPr>
                        <w:b/>
                      </w:rPr>
                    </w:pPr>
                    <w:proofErr w:type="gramStart"/>
                    <w:r w:rsidRPr="00E742D0">
                      <w:rPr>
                        <w:b/>
                        <w:i/>
                      </w:rPr>
                      <w:t>Figure 1</w:t>
                    </w:r>
                    <w:r>
                      <w:rPr>
                        <w:b/>
                      </w:rPr>
                      <w:t>.</w:t>
                    </w:r>
                    <w:proofErr w:type="gramEnd"/>
                    <w:r>
                      <w:rPr>
                        <w:b/>
                      </w:rPr>
                      <w:t xml:space="preserve"> </w:t>
                    </w:r>
                    <w:proofErr w:type="gramStart"/>
                    <w:r w:rsidRPr="00F56280">
                      <w:rPr>
                        <w:b/>
                      </w:rPr>
                      <w:t>Key strategies and initiatives</w:t>
                    </w:r>
                    <w:r>
                      <w:rPr>
                        <w:b/>
                      </w:rPr>
                      <w:t xml:space="preserve"> affecting the region</w:t>
                    </w:r>
                    <w:r w:rsidRPr="00F56280">
                      <w:rPr>
                        <w:b/>
                      </w:rPr>
                      <w:t>, Northern Tasmania</w:t>
                    </w:r>
                    <w:r>
                      <w:rPr>
                        <w:b/>
                      </w:rPr>
                      <w:t>.</w:t>
                    </w:r>
                    <w:proofErr w:type="gramEnd"/>
                  </w:p>
                </w:txbxContent>
              </v:textbox>
            </v:rect>
          </v:group>
        </w:pict>
      </w:r>
      <w:r>
        <w:rPr>
          <w:rFonts w:ascii="Gill Sans MT" w:hAnsi="Gill Sans MT"/>
          <w:noProof/>
          <w:lang w:eastAsia="en-AU"/>
        </w:rPr>
        <w:pict>
          <v:rect id="_x0000_s1178" style="position:absolute;margin-left:10.5pt;margin-top:203.7pt;width:38.25pt;height:203.3pt;z-index:251656704" fillcolor="#9bbb59 [3206]" stroked="f">
            <v:textbox style="layout-flow:vertical;mso-layout-flow-alt:bottom-to-top;mso-next-textbox:#_x0000_s1178">
              <w:txbxContent>
                <w:p w:rsidR="00A50F40" w:rsidRPr="00C93058" w:rsidRDefault="00A50F40" w:rsidP="00756B53">
                  <w:pPr>
                    <w:jc w:val="center"/>
                    <w:rPr>
                      <w:b/>
                      <w:color w:val="FFFFFF" w:themeColor="background1"/>
                      <w:sz w:val="32"/>
                      <w:szCs w:val="32"/>
                    </w:rPr>
                  </w:pPr>
                  <w:r w:rsidRPr="00C93058">
                    <w:rPr>
                      <w:b/>
                      <w:color w:val="FFFFFF" w:themeColor="background1"/>
                      <w:sz w:val="32"/>
                      <w:szCs w:val="32"/>
                    </w:rPr>
                    <w:t>Regional and corridor</w:t>
                  </w:r>
                </w:p>
              </w:txbxContent>
            </v:textbox>
          </v:rect>
        </w:pict>
      </w:r>
      <w:r>
        <w:rPr>
          <w:rFonts w:ascii="Gill Sans MT" w:hAnsi="Gill Sans MT"/>
          <w:noProof/>
          <w:lang w:eastAsia="en-AU"/>
        </w:rPr>
        <w:pict>
          <v:rect id="_x0000_s1175" style="position:absolute;margin-left:54.75pt;margin-top:203.7pt;width:346.5pt;height:203.3pt;z-index:251653632" strokecolor="#ddd8c2 [2894]">
            <v:textbox style="mso-next-textbox:#_x0000_s1175">
              <w:txbxContent>
                <w:p w:rsidR="00A50F40" w:rsidRPr="00121CBC" w:rsidRDefault="00A50F40" w:rsidP="00756B53">
                  <w:pPr>
                    <w:jc w:val="center"/>
                    <w:rPr>
                      <w:color w:val="9BBB59" w:themeColor="accent3"/>
                      <w:sz w:val="18"/>
                      <w:szCs w:val="18"/>
                    </w:rPr>
                  </w:pPr>
                  <w:r w:rsidRPr="00121CBC">
                    <w:rPr>
                      <w:color w:val="9BBB59" w:themeColor="accent3"/>
                      <w:sz w:val="18"/>
                      <w:szCs w:val="18"/>
                    </w:rPr>
                    <w:t>Northern Tasmania Regional Transport Funding Priorities</w:t>
                  </w:r>
                </w:p>
                <w:p w:rsidR="00A50F40" w:rsidRPr="00121CBC" w:rsidRDefault="00A50F40" w:rsidP="00756B53">
                  <w:pPr>
                    <w:jc w:val="center"/>
                    <w:rPr>
                      <w:color w:val="9BBB59" w:themeColor="accent3"/>
                      <w:sz w:val="18"/>
                      <w:szCs w:val="18"/>
                    </w:rPr>
                  </w:pPr>
                  <w:r w:rsidRPr="00121CBC">
                    <w:rPr>
                      <w:color w:val="9BBB59" w:themeColor="accent3"/>
                      <w:sz w:val="18"/>
                      <w:szCs w:val="18"/>
                    </w:rPr>
                    <w:t>Regional Land Use Strategy of Northern Tasmania</w:t>
                  </w:r>
                </w:p>
                <w:p w:rsidR="00A50F40" w:rsidRPr="00121CBC" w:rsidRDefault="00A50F40" w:rsidP="00756B53">
                  <w:pPr>
                    <w:jc w:val="center"/>
                    <w:rPr>
                      <w:color w:val="9BBB59" w:themeColor="accent3"/>
                      <w:sz w:val="18"/>
                      <w:szCs w:val="18"/>
                    </w:rPr>
                  </w:pPr>
                  <w:r w:rsidRPr="00121CBC">
                    <w:rPr>
                      <w:color w:val="9BBB59" w:themeColor="accent3"/>
                      <w:sz w:val="18"/>
                      <w:szCs w:val="18"/>
                    </w:rPr>
                    <w:t>Greater Launceston Metropolitan Passenger Transport Plan</w:t>
                  </w:r>
                </w:p>
                <w:p w:rsidR="00A50F40" w:rsidRPr="00121CBC" w:rsidRDefault="00A50F40" w:rsidP="00756B53">
                  <w:pPr>
                    <w:jc w:val="center"/>
                    <w:rPr>
                      <w:color w:val="9BBB59" w:themeColor="accent3"/>
                      <w:sz w:val="18"/>
                      <w:szCs w:val="18"/>
                    </w:rPr>
                  </w:pPr>
                  <w:r w:rsidRPr="00121CBC">
                    <w:rPr>
                      <w:color w:val="9BBB59" w:themeColor="accent3"/>
                      <w:sz w:val="18"/>
                      <w:szCs w:val="18"/>
                    </w:rPr>
                    <w:t>Midland Highway Partnership Agreement</w:t>
                  </w:r>
                </w:p>
                <w:p w:rsidR="00A50F40" w:rsidRPr="00121CBC" w:rsidRDefault="00A50F40" w:rsidP="00756B53">
                  <w:pPr>
                    <w:jc w:val="center"/>
                    <w:rPr>
                      <w:color w:val="9BBB59" w:themeColor="accent3"/>
                      <w:sz w:val="18"/>
                      <w:szCs w:val="18"/>
                    </w:rPr>
                  </w:pPr>
                  <w:r w:rsidRPr="00121CBC">
                    <w:rPr>
                      <w:color w:val="9BBB59" w:themeColor="accent3"/>
                      <w:sz w:val="18"/>
                      <w:szCs w:val="18"/>
                    </w:rPr>
                    <w:t>North East Freight Roads Project</w:t>
                  </w:r>
                </w:p>
                <w:p w:rsidR="00A50F40" w:rsidRPr="00121CBC" w:rsidRDefault="00A50F40" w:rsidP="00756B53">
                  <w:pPr>
                    <w:jc w:val="center"/>
                    <w:rPr>
                      <w:color w:val="9BBB59" w:themeColor="accent3"/>
                      <w:sz w:val="18"/>
                      <w:szCs w:val="18"/>
                    </w:rPr>
                  </w:pPr>
                  <w:r w:rsidRPr="00121CBC">
                    <w:rPr>
                      <w:color w:val="9BBB59" w:themeColor="accent3"/>
                      <w:sz w:val="18"/>
                      <w:szCs w:val="18"/>
                    </w:rPr>
                    <w:t>Northern Tasmania Integrated Transport Plan 2003</w:t>
                  </w:r>
                </w:p>
                <w:p w:rsidR="00A50F40" w:rsidRPr="00121CBC" w:rsidRDefault="00A50F40" w:rsidP="00756B53">
                  <w:pPr>
                    <w:jc w:val="center"/>
                    <w:rPr>
                      <w:color w:val="9BBB59" w:themeColor="accent3"/>
                      <w:sz w:val="18"/>
                      <w:szCs w:val="18"/>
                    </w:rPr>
                  </w:pPr>
                  <w:r w:rsidRPr="00121CBC">
                    <w:rPr>
                      <w:color w:val="9BBB59" w:themeColor="accent3"/>
                      <w:sz w:val="18"/>
                      <w:szCs w:val="18"/>
                    </w:rPr>
                    <w:t>Northern Economic Development Plan</w:t>
                  </w:r>
                </w:p>
                <w:p w:rsidR="00A50F40" w:rsidRPr="00121CBC" w:rsidRDefault="00A50F40" w:rsidP="00756B53">
                  <w:pPr>
                    <w:jc w:val="center"/>
                    <w:rPr>
                      <w:color w:val="9BBB59" w:themeColor="accent3"/>
                      <w:sz w:val="18"/>
                      <w:szCs w:val="18"/>
                    </w:rPr>
                  </w:pPr>
                  <w:r w:rsidRPr="00121CBC">
                    <w:rPr>
                      <w:color w:val="9BBB59" w:themeColor="accent3"/>
                      <w:sz w:val="18"/>
                      <w:szCs w:val="18"/>
                    </w:rPr>
                    <w:t>Industrial Land Use Study</w:t>
                  </w:r>
                </w:p>
                <w:p w:rsidR="00A50F40" w:rsidRPr="00121CBC" w:rsidRDefault="00A50F40" w:rsidP="00756B53">
                  <w:pPr>
                    <w:jc w:val="center"/>
                    <w:rPr>
                      <w:color w:val="9BBB59" w:themeColor="accent3"/>
                      <w:sz w:val="18"/>
                      <w:szCs w:val="18"/>
                    </w:rPr>
                  </w:pPr>
                  <w:r w:rsidRPr="00121CBC">
                    <w:rPr>
                      <w:color w:val="9BBB59" w:themeColor="accent3"/>
                      <w:sz w:val="18"/>
                      <w:szCs w:val="18"/>
                    </w:rPr>
                    <w:t>Principal Urban Cycling Network</w:t>
                  </w:r>
                </w:p>
                <w:p w:rsidR="00A50F40" w:rsidRDefault="00A50F40" w:rsidP="00756B53">
                  <w:pPr>
                    <w:jc w:val="center"/>
                  </w:pPr>
                </w:p>
              </w:txbxContent>
            </v:textbox>
          </v:rect>
        </w:pict>
      </w:r>
      <w:r>
        <w:rPr>
          <w:rFonts w:ascii="Gill Sans MT" w:hAnsi="Gill Sans MT"/>
          <w:noProof/>
          <w:lang w:eastAsia="en-AU"/>
        </w:rPr>
        <w:pict>
          <v:rect id="_x0000_s1177" style="position:absolute;margin-left:10.5pt;margin-top:4.65pt;width:38.25pt;height:189.9pt;z-index:251655680" fillcolor="#4f81bd [3204]" stroked="f">
            <v:textbox style="layout-flow:vertical;mso-layout-flow-alt:bottom-to-top;mso-next-textbox:#_x0000_s1177">
              <w:txbxContent>
                <w:p w:rsidR="00A50F40" w:rsidRPr="00C93058" w:rsidRDefault="00A50F40" w:rsidP="00756B53">
                  <w:pPr>
                    <w:jc w:val="center"/>
                    <w:rPr>
                      <w:b/>
                      <w:color w:val="FFFFFF" w:themeColor="background1"/>
                      <w:sz w:val="32"/>
                      <w:szCs w:val="32"/>
                    </w:rPr>
                  </w:pPr>
                  <w:r w:rsidRPr="00C93058">
                    <w:rPr>
                      <w:b/>
                      <w:color w:val="FFFFFF" w:themeColor="background1"/>
                      <w:sz w:val="32"/>
                      <w:szCs w:val="32"/>
                    </w:rPr>
                    <w:t xml:space="preserve">State </w:t>
                  </w:r>
                </w:p>
              </w:txbxContent>
            </v:textbox>
          </v:rect>
        </w:pict>
      </w:r>
      <w:r>
        <w:rPr>
          <w:rFonts w:ascii="Gill Sans MT" w:hAnsi="Gill Sans MT"/>
          <w:noProof/>
          <w:lang w:eastAsia="en-AU"/>
        </w:rPr>
        <w:pict>
          <v:rect id="_x0000_s1174" style="position:absolute;margin-left:54.75pt;margin-top:4.65pt;width:346.5pt;height:189.9pt;z-index:251652608" strokecolor="#ddd8c2 [2894]">
            <v:textbox style="mso-next-textbox:#_x0000_s1174">
              <w:txbxContent>
                <w:p w:rsidR="00A50F40" w:rsidRPr="00121CBC" w:rsidRDefault="00A50F40" w:rsidP="00756B53">
                  <w:pPr>
                    <w:spacing w:after="120"/>
                    <w:ind w:left="187"/>
                    <w:jc w:val="center"/>
                    <w:rPr>
                      <w:color w:val="4F81BD" w:themeColor="accent1"/>
                      <w:sz w:val="18"/>
                      <w:szCs w:val="18"/>
                    </w:rPr>
                  </w:pPr>
                  <w:r w:rsidRPr="00121CBC">
                    <w:rPr>
                      <w:color w:val="4F81BD" w:themeColor="accent1"/>
                      <w:sz w:val="18"/>
                      <w:szCs w:val="18"/>
                    </w:rPr>
                    <w:t>Tasmanian Economic Development Plan</w:t>
                  </w:r>
                </w:p>
                <w:p w:rsidR="00A50F40" w:rsidRPr="00121CBC" w:rsidRDefault="00A50F40" w:rsidP="00756B53">
                  <w:pPr>
                    <w:spacing w:after="120"/>
                    <w:ind w:left="187"/>
                    <w:jc w:val="center"/>
                    <w:rPr>
                      <w:color w:val="4F81BD" w:themeColor="accent1"/>
                      <w:sz w:val="18"/>
                      <w:szCs w:val="18"/>
                    </w:rPr>
                  </w:pPr>
                  <w:r w:rsidRPr="00121CBC">
                    <w:rPr>
                      <w:color w:val="4F81BD" w:themeColor="accent1"/>
                      <w:sz w:val="18"/>
                      <w:szCs w:val="18"/>
                    </w:rPr>
                    <w:t>Tasmanian Infrastructure Strategy</w:t>
                  </w:r>
                </w:p>
                <w:p w:rsidR="00A50F40" w:rsidRPr="00121CBC" w:rsidRDefault="00A50F40" w:rsidP="00756B53">
                  <w:pPr>
                    <w:spacing w:after="120"/>
                    <w:ind w:left="187"/>
                    <w:jc w:val="center"/>
                    <w:rPr>
                      <w:color w:val="4F81BD" w:themeColor="accent1"/>
                      <w:sz w:val="18"/>
                      <w:szCs w:val="18"/>
                    </w:rPr>
                  </w:pPr>
                  <w:r w:rsidRPr="00121CBC">
                    <w:rPr>
                      <w:color w:val="4F81BD" w:themeColor="accent1"/>
                      <w:sz w:val="18"/>
                      <w:szCs w:val="18"/>
                    </w:rPr>
                    <w:t>Tasmanian Transport Policy</w:t>
                  </w:r>
                </w:p>
                <w:p w:rsidR="00A50F40" w:rsidRPr="00121CBC" w:rsidRDefault="00A50F40" w:rsidP="00756B53">
                  <w:pPr>
                    <w:spacing w:after="120"/>
                    <w:ind w:left="187"/>
                    <w:jc w:val="center"/>
                    <w:rPr>
                      <w:color w:val="4F81BD" w:themeColor="accent1"/>
                      <w:sz w:val="18"/>
                      <w:szCs w:val="18"/>
                    </w:rPr>
                  </w:pPr>
                  <w:r w:rsidRPr="00121CBC">
                    <w:rPr>
                      <w:color w:val="4F81BD" w:themeColor="accent1"/>
                      <w:sz w:val="18"/>
                      <w:szCs w:val="18"/>
                    </w:rPr>
                    <w:t>Tasmanian Freight Strategy</w:t>
                  </w:r>
                </w:p>
                <w:p w:rsidR="00A50F40" w:rsidRPr="00121CBC" w:rsidRDefault="00A50F40" w:rsidP="00756B53">
                  <w:pPr>
                    <w:spacing w:after="120"/>
                    <w:ind w:left="187"/>
                    <w:jc w:val="center"/>
                    <w:rPr>
                      <w:color w:val="4F81BD" w:themeColor="accent1"/>
                      <w:sz w:val="18"/>
                      <w:szCs w:val="18"/>
                    </w:rPr>
                  </w:pPr>
                  <w:r w:rsidRPr="00121CBC">
                    <w:rPr>
                      <w:color w:val="4F81BD" w:themeColor="accent1"/>
                      <w:sz w:val="18"/>
                      <w:szCs w:val="18"/>
                    </w:rPr>
                    <w:t>Tasmanian Urban Passenger Transport Framework</w:t>
                  </w:r>
                </w:p>
                <w:p w:rsidR="00A50F40" w:rsidRPr="00121CBC" w:rsidRDefault="00A50F40" w:rsidP="00756B53">
                  <w:pPr>
                    <w:spacing w:after="120"/>
                    <w:ind w:left="187"/>
                    <w:jc w:val="center"/>
                    <w:rPr>
                      <w:color w:val="4F81BD" w:themeColor="accent1"/>
                      <w:sz w:val="18"/>
                      <w:szCs w:val="18"/>
                    </w:rPr>
                  </w:pPr>
                  <w:r w:rsidRPr="00121CBC">
                    <w:rPr>
                      <w:color w:val="4F81BD" w:themeColor="accent1"/>
                      <w:sz w:val="18"/>
                      <w:szCs w:val="18"/>
                    </w:rPr>
                    <w:t>Tasmanian Walking and Cycling for Active Transport Strategy</w:t>
                  </w:r>
                </w:p>
                <w:p w:rsidR="00A50F40" w:rsidRPr="00121CBC" w:rsidRDefault="00A50F40" w:rsidP="00756B53">
                  <w:pPr>
                    <w:spacing w:after="120"/>
                    <w:ind w:left="187"/>
                    <w:jc w:val="center"/>
                    <w:rPr>
                      <w:color w:val="4F81BD" w:themeColor="accent1"/>
                      <w:sz w:val="18"/>
                      <w:szCs w:val="18"/>
                    </w:rPr>
                  </w:pPr>
                  <w:r w:rsidRPr="00121CBC">
                    <w:rPr>
                      <w:color w:val="4F81BD" w:themeColor="accent1"/>
                      <w:sz w:val="18"/>
                      <w:szCs w:val="18"/>
                    </w:rPr>
                    <w:t>Tasmanian AusLink Corridor Strategy 2007</w:t>
                  </w:r>
                </w:p>
                <w:p w:rsidR="00A50F40" w:rsidRPr="00121CBC" w:rsidRDefault="00A50F40" w:rsidP="00756B53">
                  <w:pPr>
                    <w:spacing w:after="120"/>
                    <w:jc w:val="center"/>
                    <w:rPr>
                      <w:color w:val="4F81BD" w:themeColor="accent1"/>
                      <w:sz w:val="18"/>
                      <w:szCs w:val="18"/>
                    </w:rPr>
                  </w:pPr>
                  <w:r w:rsidRPr="00121CBC">
                    <w:rPr>
                      <w:color w:val="4F81BD" w:themeColor="accent1"/>
                      <w:sz w:val="18"/>
                      <w:szCs w:val="18"/>
                    </w:rPr>
                    <w:t>Tasmanian Road Safety Strategy 2006-2016</w:t>
                  </w:r>
                </w:p>
                <w:p w:rsidR="00A50F40" w:rsidRPr="00121CBC" w:rsidRDefault="00A50F40" w:rsidP="00756B53">
                  <w:pPr>
                    <w:spacing w:after="120"/>
                    <w:jc w:val="center"/>
                    <w:rPr>
                      <w:color w:val="4F81BD" w:themeColor="accent1"/>
                      <w:sz w:val="18"/>
                      <w:szCs w:val="18"/>
                    </w:rPr>
                  </w:pPr>
                  <w:r w:rsidRPr="00121CBC">
                    <w:rPr>
                      <w:color w:val="4F81BD" w:themeColor="accent1"/>
                      <w:sz w:val="18"/>
                      <w:szCs w:val="18"/>
                    </w:rPr>
                    <w:t>Infrastructure Australia Submissions</w:t>
                  </w:r>
                </w:p>
                <w:p w:rsidR="00A50F40" w:rsidRPr="00121CBC" w:rsidRDefault="00A50F40" w:rsidP="00756B53">
                  <w:pPr>
                    <w:spacing w:after="120"/>
                    <w:jc w:val="center"/>
                    <w:rPr>
                      <w:color w:val="4F81BD" w:themeColor="accent1"/>
                      <w:sz w:val="18"/>
                      <w:szCs w:val="18"/>
                    </w:rPr>
                  </w:pPr>
                  <w:r w:rsidRPr="00121CBC">
                    <w:rPr>
                      <w:color w:val="4F81BD" w:themeColor="accent1"/>
                      <w:sz w:val="18"/>
                      <w:szCs w:val="18"/>
                    </w:rPr>
                    <w:t>Nation Building 2 Submissions 2012</w:t>
                  </w:r>
                </w:p>
                <w:p w:rsidR="00A50F40" w:rsidRDefault="00A50F40" w:rsidP="00756B53">
                  <w:pPr>
                    <w:spacing w:after="0"/>
                    <w:jc w:val="center"/>
                  </w:pPr>
                </w:p>
              </w:txbxContent>
            </v:textbox>
          </v:rect>
        </w:pict>
      </w:r>
      <w:r>
        <w:rPr>
          <w:rFonts w:ascii="Gill Sans MT" w:hAnsi="Gill Sans MT"/>
          <w:noProof/>
          <w:lang w:eastAsia="en-AU"/>
        </w:rPr>
        <w:pict>
          <v:rect id="_x0000_s1232" style="position:absolute;margin-left:-17pt;margin-top:585.3pt;width:518.05pt;height:89.75pt;z-index:251701760" stroked="f"/>
        </w:pict>
      </w:r>
      <w:r w:rsidR="00756B53" w:rsidRPr="00E83DA2">
        <w:rPr>
          <w:rFonts w:ascii="Gill Sans MT" w:hAnsi="Gill Sans MT"/>
        </w:rPr>
        <w:br w:type="page"/>
      </w:r>
      <w:r w:rsidR="00756B53" w:rsidRPr="00E83DA2">
        <w:rPr>
          <w:rFonts w:ascii="Gill Sans MT" w:hAnsi="Gill Sans MT"/>
        </w:rPr>
        <w:lastRenderedPageBreak/>
        <w:t xml:space="preserve">The following provides a summary of the key strategies for the Northern Region. </w:t>
      </w:r>
    </w:p>
    <w:p w:rsidR="00756B53" w:rsidRPr="00E83DA2" w:rsidRDefault="00756B53" w:rsidP="00756B53">
      <w:pPr>
        <w:rPr>
          <w:rStyle w:val="InstructionText"/>
          <w:szCs w:val="24"/>
        </w:rPr>
      </w:pPr>
      <w:r w:rsidRPr="00E83DA2">
        <w:rPr>
          <w:rStyle w:val="InstructionText"/>
          <w:szCs w:val="24"/>
        </w:rPr>
        <w:t>Northern Tasmanian Integrated Transport Plan 2003</w:t>
      </w:r>
    </w:p>
    <w:p w:rsidR="00756B53" w:rsidRPr="00E83DA2" w:rsidRDefault="00756B53" w:rsidP="00756B53">
      <w:pPr>
        <w:rPr>
          <w:rFonts w:ascii="Gill Sans MT" w:hAnsi="Gill Sans MT"/>
        </w:rPr>
      </w:pPr>
      <w:r w:rsidRPr="00E83DA2">
        <w:rPr>
          <w:rFonts w:ascii="Gill Sans MT" w:hAnsi="Gill Sans MT"/>
        </w:rPr>
        <w:t xml:space="preserve">The existing </w:t>
      </w:r>
      <w:r w:rsidRPr="00E83DA2">
        <w:rPr>
          <w:rFonts w:ascii="Gill Sans MT" w:hAnsi="Gill Sans MT"/>
          <w:i/>
        </w:rPr>
        <w:t>Northern Tasmanian Integrated Transport Plan</w:t>
      </w:r>
      <w:r w:rsidRPr="00E83DA2">
        <w:rPr>
          <w:rFonts w:ascii="Gill Sans MT" w:hAnsi="Gill Sans MT"/>
        </w:rPr>
        <w:t xml:space="preserve"> (NTITP) was released in 2003. It provides a coordinated and strategic framework to identify and address the Region’s transport issues over the long term. The Plan identifies eight goals and associated strategies, covering the broad topics of freight, tourism, accessibility, environment and sustainability. </w:t>
      </w:r>
    </w:p>
    <w:p w:rsidR="00756B53" w:rsidRPr="00E83DA2" w:rsidRDefault="00756B53" w:rsidP="00756B53">
      <w:pPr>
        <w:rPr>
          <w:rFonts w:ascii="Gill Sans MT" w:hAnsi="Gill Sans MT"/>
        </w:rPr>
      </w:pPr>
      <w:r w:rsidRPr="00E83DA2">
        <w:rPr>
          <w:rFonts w:ascii="Gill Sans MT" w:hAnsi="Gill Sans MT"/>
        </w:rPr>
        <w:t>While many of the goals, strategies and actions identified within the Plan remain current and will continue to be progressed, others have been achieved, require a change in focus or may no longer be relevant. Additional strategies, reflecting changes in the Region</w:t>
      </w:r>
      <w:r w:rsidR="009845FB">
        <w:rPr>
          <w:rFonts w:ascii="Gill Sans MT" w:hAnsi="Gill Sans MT"/>
        </w:rPr>
        <w:t>, and focusing on opportunities for the future,</w:t>
      </w:r>
      <w:r w:rsidRPr="00E83DA2">
        <w:rPr>
          <w:rFonts w:ascii="Gill Sans MT" w:hAnsi="Gill Sans MT"/>
        </w:rPr>
        <w:t xml:space="preserve"> will also be required.</w:t>
      </w:r>
    </w:p>
    <w:p w:rsidR="00756B53" w:rsidRPr="00E83DA2" w:rsidRDefault="00756B53" w:rsidP="00756B53">
      <w:pPr>
        <w:rPr>
          <w:rFonts w:ascii="Gill Sans MT" w:hAnsi="Gill Sans MT"/>
        </w:rPr>
      </w:pPr>
      <w:r w:rsidRPr="00E83DA2">
        <w:rPr>
          <w:rFonts w:ascii="Gill Sans MT" w:hAnsi="Gill Sans MT"/>
        </w:rPr>
        <w:t xml:space="preserve">Regional integrated transport plans are a key component of state and local government’s transport planning framework. In this context, review of the NTITP has been identified as a priority in the </w:t>
      </w:r>
      <w:r w:rsidRPr="00E83DA2">
        <w:rPr>
          <w:rFonts w:ascii="Gill Sans MT" w:hAnsi="Gill Sans MT"/>
          <w:i/>
        </w:rPr>
        <w:t>Tasmanian Infrastructure Strategy</w:t>
      </w:r>
      <w:r w:rsidRPr="00E83DA2">
        <w:rPr>
          <w:rFonts w:ascii="Gill Sans MT" w:hAnsi="Gill Sans MT"/>
        </w:rPr>
        <w:t xml:space="preserve"> and by NTD.</w:t>
      </w:r>
    </w:p>
    <w:p w:rsidR="00756B53" w:rsidRPr="00E83DA2" w:rsidRDefault="00756B53" w:rsidP="00756B53">
      <w:pPr>
        <w:rPr>
          <w:rFonts w:ascii="Gill Sans MT" w:hAnsi="Gill Sans MT"/>
        </w:rPr>
      </w:pPr>
      <w:r w:rsidRPr="00E83DA2">
        <w:rPr>
          <w:rFonts w:ascii="Gill Sans MT" w:hAnsi="Gill Sans MT"/>
        </w:rPr>
        <w:t>The goals, strategies and actions of the NTITP are tabled on page 6:</w:t>
      </w:r>
    </w:p>
    <w:p w:rsidR="00756B53" w:rsidRPr="00E83DA2" w:rsidRDefault="00756B53" w:rsidP="00756B53">
      <w:pPr>
        <w:rPr>
          <w:rFonts w:ascii="Gill Sans MT" w:hAnsi="Gill Sans MT"/>
          <w:b/>
        </w:rPr>
        <w:sectPr w:rsidR="00756B53" w:rsidRPr="00E83DA2" w:rsidSect="00103702">
          <w:pgSz w:w="11906" w:h="16838"/>
          <w:pgMar w:top="1440" w:right="1440" w:bottom="1440" w:left="1440" w:header="708" w:footer="708" w:gutter="0"/>
          <w:cols w:space="708"/>
          <w:docGrid w:linePitch="360"/>
        </w:sectPr>
      </w:pPr>
    </w:p>
    <w:tbl>
      <w:tblPr>
        <w:tblStyle w:val="TableGrid"/>
        <w:tblW w:w="0" w:type="auto"/>
        <w:tblInd w:w="108" w:type="dxa"/>
        <w:tblLook w:val="04A0"/>
      </w:tblPr>
      <w:tblGrid>
        <w:gridCol w:w="2002"/>
        <w:gridCol w:w="3056"/>
        <w:gridCol w:w="4076"/>
        <w:gridCol w:w="4076"/>
      </w:tblGrid>
      <w:tr w:rsidR="00F53BF4" w:rsidRPr="00E83DA2" w:rsidTr="00F53BF4">
        <w:trPr>
          <w:trHeight w:val="416"/>
          <w:tblHeader/>
        </w:trPr>
        <w:tc>
          <w:tcPr>
            <w:tcW w:w="13210" w:type="dxa"/>
            <w:gridSpan w:val="4"/>
            <w:shd w:val="clear" w:color="auto" w:fill="4F81BD" w:themeFill="accent1"/>
            <w:vAlign w:val="center"/>
          </w:tcPr>
          <w:p w:rsidR="00F53BF4" w:rsidRPr="00E83DA2" w:rsidRDefault="00444FF8" w:rsidP="00F53BF4">
            <w:pPr>
              <w:rPr>
                <w:rFonts w:ascii="Gill Sans MT" w:hAnsi="Gill Sans MT"/>
                <w:b/>
                <w:sz w:val="18"/>
                <w:szCs w:val="18"/>
              </w:rPr>
            </w:pPr>
            <w:bookmarkStart w:id="4" w:name="OLE_LINK6"/>
            <w:bookmarkStart w:id="5" w:name="OLE_LINK7"/>
            <w:r>
              <w:rPr>
                <w:rFonts w:ascii="Gill Sans MT" w:hAnsi="Gill Sans MT"/>
                <w:b/>
                <w:i/>
                <w:sz w:val="18"/>
                <w:szCs w:val="18"/>
              </w:rPr>
              <w:lastRenderedPageBreak/>
              <w:t>Figure2</w:t>
            </w:r>
            <w:r w:rsidR="00F53BF4" w:rsidRPr="00E83DA2">
              <w:rPr>
                <w:rFonts w:ascii="Gill Sans MT" w:hAnsi="Gill Sans MT"/>
                <w:b/>
                <w:i/>
                <w:sz w:val="18"/>
                <w:szCs w:val="18"/>
              </w:rPr>
              <w:t>.</w:t>
            </w:r>
            <w:r w:rsidR="00F53BF4" w:rsidRPr="00E83DA2">
              <w:rPr>
                <w:rFonts w:ascii="Gill Sans MT" w:hAnsi="Gill Sans MT"/>
                <w:b/>
                <w:sz w:val="18"/>
                <w:szCs w:val="18"/>
              </w:rPr>
              <w:t xml:space="preserve"> Goals, strategies and actions from the </w:t>
            </w:r>
            <w:r w:rsidR="00F53BF4" w:rsidRPr="00E83DA2">
              <w:rPr>
                <w:rFonts w:ascii="Gill Sans MT" w:hAnsi="Gill Sans MT"/>
                <w:b/>
                <w:i/>
                <w:sz w:val="18"/>
                <w:szCs w:val="18"/>
              </w:rPr>
              <w:t>Northern Tasmanian Integrated Transport Plan 2003</w:t>
            </w:r>
          </w:p>
        </w:tc>
      </w:tr>
      <w:tr w:rsidR="00756B53" w:rsidRPr="00E83DA2" w:rsidTr="008D2E39">
        <w:trPr>
          <w:tblHeader/>
        </w:trPr>
        <w:tc>
          <w:tcPr>
            <w:tcW w:w="2002" w:type="dxa"/>
            <w:shd w:val="clear" w:color="auto" w:fill="4F81BD" w:themeFill="accent1"/>
          </w:tcPr>
          <w:p w:rsidR="00756B53" w:rsidRPr="00E83DA2" w:rsidRDefault="00756B53" w:rsidP="008D2E39">
            <w:pPr>
              <w:rPr>
                <w:rFonts w:ascii="Gill Sans MT" w:hAnsi="Gill Sans MT"/>
                <w:b/>
                <w:sz w:val="18"/>
                <w:szCs w:val="18"/>
              </w:rPr>
            </w:pPr>
            <w:r w:rsidRPr="00E83DA2">
              <w:rPr>
                <w:rFonts w:ascii="Gill Sans MT" w:hAnsi="Gill Sans MT"/>
                <w:b/>
                <w:sz w:val="18"/>
                <w:szCs w:val="18"/>
              </w:rPr>
              <w:t>Goal</w:t>
            </w:r>
          </w:p>
        </w:tc>
        <w:tc>
          <w:tcPr>
            <w:tcW w:w="3056" w:type="dxa"/>
            <w:shd w:val="clear" w:color="auto" w:fill="4F81BD" w:themeFill="accent1"/>
          </w:tcPr>
          <w:p w:rsidR="00756B53" w:rsidRPr="00E83DA2" w:rsidRDefault="00756B53" w:rsidP="008D2E39">
            <w:pPr>
              <w:rPr>
                <w:rFonts w:ascii="Gill Sans MT" w:hAnsi="Gill Sans MT"/>
                <w:b/>
                <w:sz w:val="18"/>
                <w:szCs w:val="18"/>
              </w:rPr>
            </w:pPr>
            <w:r w:rsidRPr="00E83DA2">
              <w:rPr>
                <w:rFonts w:ascii="Gill Sans MT" w:hAnsi="Gill Sans MT"/>
                <w:b/>
                <w:sz w:val="18"/>
                <w:szCs w:val="18"/>
              </w:rPr>
              <w:t>Strategy</w:t>
            </w:r>
          </w:p>
        </w:tc>
        <w:tc>
          <w:tcPr>
            <w:tcW w:w="4076" w:type="dxa"/>
            <w:shd w:val="clear" w:color="auto" w:fill="4F81BD" w:themeFill="accent1"/>
          </w:tcPr>
          <w:p w:rsidR="00756B53" w:rsidRPr="00E83DA2" w:rsidRDefault="00756B53" w:rsidP="008D2E39">
            <w:pPr>
              <w:rPr>
                <w:rFonts w:ascii="Gill Sans MT" w:hAnsi="Gill Sans MT"/>
                <w:b/>
                <w:bCs/>
                <w:sz w:val="18"/>
                <w:szCs w:val="18"/>
              </w:rPr>
            </w:pPr>
            <w:r w:rsidRPr="00E83DA2">
              <w:rPr>
                <w:rFonts w:ascii="Gill Sans MT" w:hAnsi="Gill Sans MT"/>
                <w:b/>
                <w:sz w:val="18"/>
                <w:szCs w:val="18"/>
              </w:rPr>
              <w:t>Action</w:t>
            </w:r>
          </w:p>
        </w:tc>
        <w:tc>
          <w:tcPr>
            <w:tcW w:w="4076" w:type="dxa"/>
            <w:shd w:val="clear" w:color="auto" w:fill="4F81BD" w:themeFill="accent1"/>
          </w:tcPr>
          <w:p w:rsidR="00756B53" w:rsidRPr="00E83DA2" w:rsidRDefault="00756B53" w:rsidP="008D2E39">
            <w:pPr>
              <w:rPr>
                <w:rFonts w:ascii="Gill Sans MT" w:hAnsi="Gill Sans MT"/>
                <w:b/>
                <w:sz w:val="18"/>
                <w:szCs w:val="18"/>
              </w:rPr>
            </w:pPr>
            <w:r w:rsidRPr="00E83DA2">
              <w:rPr>
                <w:rFonts w:ascii="Gill Sans MT" w:hAnsi="Gill Sans MT"/>
                <w:b/>
                <w:sz w:val="18"/>
                <w:szCs w:val="18"/>
              </w:rPr>
              <w:t>Status</w:t>
            </w:r>
          </w:p>
        </w:tc>
      </w:tr>
      <w:tr w:rsidR="00756B53" w:rsidRPr="00E83DA2" w:rsidTr="008D2E39">
        <w:tc>
          <w:tcPr>
            <w:tcW w:w="2002" w:type="dxa"/>
            <w:vMerge w:val="restart"/>
          </w:tcPr>
          <w:p w:rsidR="00756B53" w:rsidRPr="00E83DA2" w:rsidRDefault="00756B53" w:rsidP="008D2E39">
            <w:pPr>
              <w:pStyle w:val="ListParagraph"/>
              <w:numPr>
                <w:ilvl w:val="0"/>
                <w:numId w:val="87"/>
              </w:numPr>
              <w:rPr>
                <w:rFonts w:ascii="Gill Sans MT" w:hAnsi="Gill Sans MT"/>
                <w:b/>
                <w:bCs/>
                <w:sz w:val="18"/>
                <w:szCs w:val="18"/>
              </w:rPr>
            </w:pPr>
            <w:r w:rsidRPr="00E83DA2">
              <w:rPr>
                <w:rFonts w:ascii="Gill Sans MT" w:hAnsi="Gill Sans MT"/>
                <w:sz w:val="18"/>
                <w:szCs w:val="18"/>
              </w:rPr>
              <w:t>Safe, affordable, efficient and effective movement of people</w:t>
            </w:r>
          </w:p>
          <w:p w:rsidR="00756B53" w:rsidRPr="00E83DA2" w:rsidRDefault="00756B53" w:rsidP="008D2E39">
            <w:pPr>
              <w:rPr>
                <w:rFonts w:ascii="Gill Sans MT" w:hAnsi="Gill Sans MT"/>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Improve accessibility for non-motorised transport including appropriate facilities.</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Encourage safe and convenient conditions for pedestrians and cyclists</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i/>
                <w:sz w:val="18"/>
                <w:szCs w:val="18"/>
              </w:rPr>
              <w:t>Tasmanian Walking and Cycling for Active Transport Strategy</w:t>
            </w:r>
            <w:r w:rsidRPr="00E83DA2">
              <w:rPr>
                <w:rFonts w:ascii="Gill Sans MT" w:hAnsi="Gill Sans MT"/>
                <w:sz w:val="18"/>
                <w:szCs w:val="18"/>
              </w:rPr>
              <w:t xml:space="preserve"> developed 2010</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Principal urban cycling network </w:t>
            </w:r>
            <w:proofErr w:type="gramStart"/>
            <w:r w:rsidRPr="00E83DA2">
              <w:rPr>
                <w:rFonts w:ascii="Gill Sans MT" w:hAnsi="Gill Sans MT"/>
                <w:sz w:val="18"/>
                <w:szCs w:val="18"/>
              </w:rPr>
              <w:t>identified  for</w:t>
            </w:r>
            <w:proofErr w:type="gramEnd"/>
            <w:r w:rsidRPr="00E83DA2">
              <w:rPr>
                <w:rFonts w:ascii="Gill Sans MT" w:hAnsi="Gill Sans MT"/>
                <w:sz w:val="18"/>
                <w:szCs w:val="18"/>
              </w:rPr>
              <w:t xml:space="preserve"> Launceston area.</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i/>
                <w:sz w:val="18"/>
                <w:szCs w:val="18"/>
              </w:rPr>
              <w:t>Launceston Cycling Infrastructure Strategy</w:t>
            </w:r>
            <w:r w:rsidRPr="00E83DA2">
              <w:rPr>
                <w:rFonts w:ascii="Gill Sans MT" w:hAnsi="Gill Sans MT"/>
                <w:sz w:val="18"/>
                <w:szCs w:val="18"/>
              </w:rPr>
              <w:t xml:space="preserve"> and </w:t>
            </w:r>
            <w:r w:rsidRPr="00E83DA2">
              <w:rPr>
                <w:rFonts w:ascii="Gill Sans MT" w:hAnsi="Gill Sans MT"/>
                <w:i/>
                <w:sz w:val="18"/>
                <w:szCs w:val="18"/>
              </w:rPr>
              <w:t>Launceston Bike Plan</w:t>
            </w:r>
            <w:r w:rsidRPr="00E83DA2">
              <w:rPr>
                <w:rFonts w:ascii="Gill Sans MT" w:hAnsi="Gill Sans MT"/>
                <w:sz w:val="18"/>
                <w:szCs w:val="18"/>
              </w:rPr>
              <w:t xml:space="preserve"> developed</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Trails and Bikeways Funding program has helped to deliver a number of projects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Work continuing across a number of agencies and projects</w:t>
            </w:r>
          </w:p>
        </w:tc>
      </w:tr>
      <w:tr w:rsidR="00756B53" w:rsidRPr="00E83DA2" w:rsidTr="008D2E39">
        <w:tc>
          <w:tcPr>
            <w:tcW w:w="2002" w:type="dxa"/>
            <w:vMerge/>
          </w:tcPr>
          <w:p w:rsidR="00756B53" w:rsidRPr="00E83DA2" w:rsidRDefault="00756B53" w:rsidP="008D2E39">
            <w:pPr>
              <w:rPr>
                <w:rFonts w:ascii="Gill Sans MT" w:hAnsi="Gill Sans MT"/>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Provide appropriate level of rural and regional bus services</w:t>
            </w:r>
          </w:p>
          <w:p w:rsidR="00756B53" w:rsidRPr="00E83DA2" w:rsidRDefault="00756B53" w:rsidP="008D2E39">
            <w:pPr>
              <w:pStyle w:val="ListParagraph"/>
              <w:ind w:left="360"/>
              <w:rPr>
                <w:rFonts w:ascii="Gill Sans MT" w:hAnsi="Gill Sans MT"/>
                <w:sz w:val="18"/>
                <w:szCs w:val="18"/>
              </w:rPr>
            </w:pP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Initiate an independent review of ‘core’ public transport services to ensure that core regular passenger transport services are effective and efficiently delivered within available budgets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Consult with relevant Government agencies to determine scope of change</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Establish minimum service levels in contracts for core services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Identify other stakeholders and work towards achieving objectives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Promote services to users and potential users</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Core Passenger Services Review conducted 2005-2007 and </w:t>
            </w:r>
            <w:r w:rsidRPr="00E83DA2">
              <w:rPr>
                <w:rFonts w:ascii="Gill Sans MT" w:hAnsi="Gill Sans MT"/>
                <w:i/>
                <w:sz w:val="18"/>
                <w:szCs w:val="18"/>
              </w:rPr>
              <w:t>Passenger Transport Framework</w:t>
            </w:r>
            <w:r w:rsidRPr="00E83DA2">
              <w:rPr>
                <w:rFonts w:ascii="Gill Sans MT" w:hAnsi="Gill Sans MT"/>
                <w:sz w:val="18"/>
                <w:szCs w:val="18"/>
              </w:rPr>
              <w:t xml:space="preserve"> developed</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Extensive consultation occurred</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Service levels fixed under new service contracts.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121 recommendations made as part of the review, at 2010 81% had been implemented, 8% partially implemented, 11% deferred/not implemented.</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DIER continuing to work with stakeholders towards achieving objectives</w:t>
            </w:r>
          </w:p>
        </w:tc>
      </w:tr>
      <w:tr w:rsidR="00756B53" w:rsidRPr="00E83DA2" w:rsidTr="008D2E39">
        <w:tc>
          <w:tcPr>
            <w:tcW w:w="2002" w:type="dxa"/>
            <w:vMerge/>
          </w:tcPr>
          <w:p w:rsidR="00756B53" w:rsidRPr="00E83DA2" w:rsidRDefault="00756B53" w:rsidP="008D2E39">
            <w:pPr>
              <w:rPr>
                <w:rFonts w:ascii="Gill Sans MT" w:hAnsi="Gill Sans MT"/>
                <w:sz w:val="18"/>
                <w:szCs w:val="18"/>
              </w:rPr>
            </w:pPr>
            <w:bookmarkStart w:id="6" w:name="OLE_LINK5"/>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Improve road safety in accordance with the Tasmanian Road Safety Strategy 2002-2006</w:t>
            </w:r>
          </w:p>
          <w:p w:rsidR="00756B53" w:rsidRPr="00E83DA2" w:rsidRDefault="00756B53" w:rsidP="008D2E39">
            <w:pPr>
              <w:rPr>
                <w:rFonts w:ascii="Gill Sans MT" w:hAnsi="Gill Sans MT"/>
                <w:sz w:val="18"/>
                <w:szCs w:val="18"/>
              </w:rPr>
            </w:pP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Ensure that infrastructure improvements incorporate recognised safety standards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Identify safety ‘black spots’ and prioritise action</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Tasmanian Road Safety Strategy updated 2007-2016, along with specific action plans.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Key strategic directions are:</w:t>
            </w:r>
          </w:p>
          <w:p w:rsidR="00756B53" w:rsidRPr="00E83DA2" w:rsidRDefault="00756B53" w:rsidP="008D2E39">
            <w:pPr>
              <w:pStyle w:val="ListParagraph"/>
              <w:spacing w:before="100" w:beforeAutospacing="1" w:after="100" w:afterAutospacing="1"/>
              <w:ind w:left="360"/>
              <w:rPr>
                <w:rFonts w:ascii="Gill Sans MT" w:hAnsi="Gill Sans MT"/>
                <w:sz w:val="18"/>
                <w:szCs w:val="18"/>
              </w:rPr>
            </w:pPr>
            <w:r w:rsidRPr="00E83DA2">
              <w:rPr>
                <w:rFonts w:ascii="Gill Sans MT" w:hAnsi="Gill Sans MT"/>
                <w:sz w:val="18"/>
                <w:szCs w:val="18"/>
              </w:rPr>
              <w:t xml:space="preserve"> </w:t>
            </w:r>
          </w:p>
          <w:p w:rsidR="00756B53" w:rsidRPr="00E83DA2" w:rsidRDefault="00756B53" w:rsidP="008D2E39">
            <w:pPr>
              <w:pStyle w:val="ListParagraph"/>
              <w:numPr>
                <w:ilvl w:val="1"/>
                <w:numId w:val="89"/>
              </w:numPr>
              <w:spacing w:before="100" w:beforeAutospacing="1" w:after="100" w:afterAutospacing="1"/>
              <w:rPr>
                <w:rFonts w:ascii="Gill Sans MT" w:hAnsi="Gill Sans MT"/>
                <w:sz w:val="18"/>
                <w:szCs w:val="18"/>
              </w:rPr>
            </w:pPr>
            <w:r w:rsidRPr="00E83DA2">
              <w:rPr>
                <w:rFonts w:ascii="Gill Sans MT" w:hAnsi="Gill Sans MT"/>
                <w:sz w:val="18"/>
                <w:szCs w:val="18"/>
              </w:rPr>
              <w:t xml:space="preserve">Safer Travel Speeds </w:t>
            </w:r>
          </w:p>
          <w:p w:rsidR="00756B53" w:rsidRPr="00E83DA2" w:rsidRDefault="00756B53" w:rsidP="008D2E39">
            <w:pPr>
              <w:numPr>
                <w:ilvl w:val="1"/>
                <w:numId w:val="89"/>
              </w:numPr>
              <w:spacing w:before="100" w:beforeAutospacing="1" w:after="100" w:afterAutospacing="1"/>
              <w:rPr>
                <w:rFonts w:ascii="Gill Sans MT" w:hAnsi="Gill Sans MT"/>
                <w:sz w:val="18"/>
                <w:szCs w:val="18"/>
              </w:rPr>
            </w:pPr>
            <w:r w:rsidRPr="00E83DA2">
              <w:rPr>
                <w:rFonts w:ascii="Gill Sans MT" w:hAnsi="Gill Sans MT"/>
                <w:sz w:val="18"/>
                <w:szCs w:val="18"/>
              </w:rPr>
              <w:t xml:space="preserve">Best Practice Infrastructure </w:t>
            </w:r>
          </w:p>
          <w:p w:rsidR="00756B53" w:rsidRPr="00E83DA2" w:rsidRDefault="00756B53" w:rsidP="008D2E39">
            <w:pPr>
              <w:numPr>
                <w:ilvl w:val="1"/>
                <w:numId w:val="89"/>
              </w:numPr>
              <w:spacing w:before="100" w:beforeAutospacing="1" w:after="100" w:afterAutospacing="1"/>
              <w:rPr>
                <w:rFonts w:ascii="Gill Sans MT" w:hAnsi="Gill Sans MT"/>
                <w:sz w:val="18"/>
                <w:szCs w:val="18"/>
              </w:rPr>
            </w:pPr>
            <w:r w:rsidRPr="00E83DA2">
              <w:rPr>
                <w:rFonts w:ascii="Gill Sans MT" w:hAnsi="Gill Sans MT"/>
                <w:sz w:val="18"/>
                <w:szCs w:val="18"/>
              </w:rPr>
              <w:t xml:space="preserve">Increased Safety for Young Road Users </w:t>
            </w:r>
          </w:p>
          <w:p w:rsidR="00756B53" w:rsidRPr="00E83DA2" w:rsidRDefault="00756B53" w:rsidP="008D2E39">
            <w:pPr>
              <w:numPr>
                <w:ilvl w:val="1"/>
                <w:numId w:val="89"/>
              </w:numPr>
              <w:spacing w:before="100" w:beforeAutospacing="1" w:after="100" w:afterAutospacing="1"/>
              <w:rPr>
                <w:rFonts w:ascii="Gill Sans MT" w:hAnsi="Gill Sans MT"/>
                <w:sz w:val="18"/>
                <w:szCs w:val="18"/>
              </w:rPr>
            </w:pPr>
            <w:r w:rsidRPr="00E83DA2">
              <w:rPr>
                <w:rFonts w:ascii="Gill Sans MT" w:hAnsi="Gill Sans MT"/>
                <w:sz w:val="18"/>
                <w:szCs w:val="18"/>
              </w:rPr>
              <w:lastRenderedPageBreak/>
              <w:t>Enhanced Vehicle Safety</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Actions for 2011-13 include:</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Safer Rural Travel Speeds</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Investigate reduced speed limit on 60km/h roads</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 xml:space="preserve">Implement point-to-point speed enforcement (subject to feasibility study) </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Pedestrian Safety – variable speed limits</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Educate the community about the impact of speeding</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Electronic school speed signs</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Best practice infrastructure projects (eg. 2+1 treatments)</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Safe system – mid and side barriers</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Review of the Graduated Licensing System</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Introduction of alcohol interlocks</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Work with local government to ensure safer speeds in shared urban spaces</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Continue use of Variable speed limits and weather and time based speed signs at appropriate locations</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Public education</w:t>
            </w:r>
          </w:p>
          <w:p w:rsidR="00756B53" w:rsidRPr="00E83DA2" w:rsidRDefault="00756B53" w:rsidP="008D2E39">
            <w:pPr>
              <w:pStyle w:val="ListParagraph"/>
              <w:numPr>
                <w:ilvl w:val="1"/>
                <w:numId w:val="88"/>
              </w:numPr>
              <w:rPr>
                <w:rFonts w:ascii="Gill Sans MT" w:hAnsi="Gill Sans MT"/>
                <w:sz w:val="18"/>
                <w:szCs w:val="18"/>
              </w:rPr>
            </w:pPr>
            <w:r w:rsidRPr="00E83DA2">
              <w:rPr>
                <w:rFonts w:ascii="Gill Sans MT" w:hAnsi="Gill Sans MT"/>
                <w:sz w:val="18"/>
                <w:szCs w:val="18"/>
              </w:rPr>
              <w:t>Enforcement</w:t>
            </w:r>
          </w:p>
        </w:tc>
      </w:tr>
      <w:tr w:rsidR="00756B53" w:rsidRPr="00E83DA2" w:rsidTr="008D2E39">
        <w:trPr>
          <w:trHeight w:val="773"/>
        </w:trPr>
        <w:tc>
          <w:tcPr>
            <w:tcW w:w="2002" w:type="dxa"/>
            <w:vMerge/>
          </w:tcPr>
          <w:p w:rsidR="00756B53" w:rsidRPr="00E83DA2" w:rsidRDefault="00756B53" w:rsidP="008D2E39">
            <w:pPr>
              <w:rPr>
                <w:rFonts w:ascii="Gill Sans MT" w:hAnsi="Gill Sans MT"/>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Improve safety by eliminating potential conflicts at rail crossing points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Improve train visibility</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Undertake a risk analysis of level crossings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Reduce the number of at grade level crossings</w:t>
            </w:r>
          </w:p>
        </w:tc>
        <w:tc>
          <w:tcPr>
            <w:tcW w:w="4076" w:type="dxa"/>
          </w:tcPr>
          <w:p w:rsidR="00756B53" w:rsidRPr="00E83DA2" w:rsidRDefault="00756B53" w:rsidP="008D2E39">
            <w:pPr>
              <w:pStyle w:val="ListParagraph"/>
              <w:numPr>
                <w:ilvl w:val="0"/>
                <w:numId w:val="88"/>
              </w:numPr>
              <w:rPr>
                <w:rFonts w:ascii="Gill Sans MT" w:hAnsi="Gill Sans MT"/>
                <w:i/>
                <w:sz w:val="18"/>
                <w:szCs w:val="18"/>
              </w:rPr>
            </w:pPr>
            <w:r w:rsidRPr="00E83DA2">
              <w:rPr>
                <w:rFonts w:ascii="Gill Sans MT" w:hAnsi="Gill Sans MT"/>
                <w:i/>
                <w:sz w:val="18"/>
                <w:szCs w:val="18"/>
              </w:rPr>
              <w:t>National Railway Safety Level Crossing Strategy 2010-2020</w:t>
            </w:r>
          </w:p>
        </w:tc>
      </w:tr>
      <w:bookmarkEnd w:id="6"/>
      <w:tr w:rsidR="00756B53" w:rsidRPr="00E83DA2" w:rsidTr="008D2E39">
        <w:trPr>
          <w:trHeight w:val="917"/>
        </w:trPr>
        <w:tc>
          <w:tcPr>
            <w:tcW w:w="2002" w:type="dxa"/>
            <w:vMerge w:val="restart"/>
          </w:tcPr>
          <w:p w:rsidR="00756B53" w:rsidRPr="00E83DA2" w:rsidRDefault="00756B53" w:rsidP="008D2E39">
            <w:pPr>
              <w:pStyle w:val="ListParagraph"/>
              <w:numPr>
                <w:ilvl w:val="0"/>
                <w:numId w:val="87"/>
              </w:numPr>
              <w:rPr>
                <w:rFonts w:ascii="Gill Sans MT" w:hAnsi="Gill Sans MT"/>
                <w:b/>
                <w:bCs/>
                <w:sz w:val="18"/>
                <w:szCs w:val="18"/>
              </w:rPr>
            </w:pPr>
            <w:r w:rsidRPr="00E83DA2">
              <w:rPr>
                <w:rFonts w:ascii="Gill Sans MT" w:hAnsi="Gill Sans MT"/>
                <w:sz w:val="18"/>
                <w:szCs w:val="18"/>
              </w:rPr>
              <w:lastRenderedPageBreak/>
              <w:t>Freight movement that is safe, affordable, efficient and effective</w:t>
            </w: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Identify and improve strategic freight routes providing access to key destinations</w:t>
            </w:r>
          </w:p>
          <w:p w:rsidR="00756B53" w:rsidRPr="00E83DA2" w:rsidRDefault="00756B53" w:rsidP="008D2E39">
            <w:pPr>
              <w:rPr>
                <w:rFonts w:ascii="Gill Sans MT" w:hAnsi="Gill Sans MT"/>
                <w:sz w:val="18"/>
                <w:szCs w:val="18"/>
              </w:rPr>
            </w:pP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Assess the present and likely freight movement for road and rail</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Assess existing and likely future mode of movement</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Assess current and likely future routing of road freight movement</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Determine appropriate routes for B-double vehicles and investigate the options to improve, rationalise and extend routes through an agreed program of road and bridge improvements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Recognise the regional importance and effect of the following projects:</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Upgrading the Lilydale/Golconda route – Launceston to Scottsdale</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Improving East Tamar Highway to cater for efficient heav</w:t>
            </w:r>
            <w:r w:rsidR="00A50F40">
              <w:rPr>
                <w:rFonts w:ascii="Gill Sans MT" w:hAnsi="Gill Sans MT"/>
                <w:sz w:val="18"/>
                <w:szCs w:val="18"/>
              </w:rPr>
              <w:t xml:space="preserve">y fright movement, commuter and </w:t>
            </w:r>
            <w:r w:rsidRPr="00E83DA2">
              <w:rPr>
                <w:rFonts w:ascii="Gill Sans MT" w:hAnsi="Gill Sans MT"/>
                <w:sz w:val="18"/>
                <w:szCs w:val="18"/>
              </w:rPr>
              <w:t>tourist traffic</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Upgrading Evandale Main Road – Midland Highway to Launceston Airport</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Upgrading Midland Highway – Perth to Breadalbane</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Upgrading Illawarra Main Road to National Highway Standard</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 xml:space="preserve">Upgrade Birralee Main Road and Frankford Main Roads </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Monitor and review freight movements on Frankford and Birralee Main Roads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Evaluate options for freight vehicle movement between Scottsdale and Bell Bay</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Improve freight movements through Launceston</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i/>
                <w:sz w:val="18"/>
                <w:szCs w:val="18"/>
              </w:rPr>
              <w:t xml:space="preserve">Tasmanian Freight Strategy </w:t>
            </w:r>
            <w:r w:rsidRPr="00E83DA2">
              <w:rPr>
                <w:rFonts w:ascii="Gill Sans MT" w:hAnsi="Gill Sans MT"/>
                <w:sz w:val="18"/>
                <w:szCs w:val="18"/>
              </w:rPr>
              <w:t>(under development) addresses these issues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Ongoing monitoring of freight routes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i/>
                <w:sz w:val="18"/>
                <w:szCs w:val="18"/>
              </w:rPr>
              <w:t xml:space="preserve">Launceston Traffic Study </w:t>
            </w:r>
            <w:r w:rsidRPr="00E83DA2">
              <w:rPr>
                <w:rFonts w:ascii="Gill Sans MT" w:hAnsi="Gill Sans MT"/>
                <w:sz w:val="18"/>
                <w:szCs w:val="18"/>
              </w:rPr>
              <w:t>will look at traffic issues within Launceston – findings to be published 2012</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HPV (B-double)  and HML vehicles are permitted to operate on some parts of the network in the Northern Region </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i/>
                <w:sz w:val="18"/>
                <w:szCs w:val="18"/>
              </w:rPr>
              <w:t>Nation Building 2</w:t>
            </w:r>
            <w:r w:rsidRPr="00E83DA2">
              <w:rPr>
                <w:rFonts w:ascii="Gill Sans MT" w:hAnsi="Gill Sans MT"/>
                <w:sz w:val="18"/>
                <w:szCs w:val="18"/>
              </w:rPr>
              <w:t xml:space="preserve"> submissions support a number of these projects</w:t>
            </w:r>
          </w:p>
        </w:tc>
      </w:tr>
      <w:tr w:rsidR="00756B53" w:rsidRPr="00E83DA2" w:rsidTr="008D2E39">
        <w:trPr>
          <w:trHeight w:val="1147"/>
        </w:trPr>
        <w:tc>
          <w:tcPr>
            <w:tcW w:w="2002" w:type="dxa"/>
            <w:vMerge/>
          </w:tcPr>
          <w:p w:rsidR="00756B53" w:rsidRPr="00E83DA2" w:rsidRDefault="00756B53" w:rsidP="008D2E39">
            <w:pPr>
              <w:rPr>
                <w:rFonts w:ascii="Gill Sans MT" w:hAnsi="Gill Sans MT"/>
                <w:b/>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Promote the advantages and use of the Port at Bell Bay</w:t>
            </w:r>
          </w:p>
          <w:p w:rsidR="00756B53" w:rsidRPr="00E83DA2" w:rsidRDefault="00756B53" w:rsidP="008D2E39">
            <w:pPr>
              <w:rPr>
                <w:rFonts w:ascii="Gill Sans MT" w:hAnsi="Gill Sans MT"/>
                <w:sz w:val="18"/>
                <w:szCs w:val="18"/>
              </w:rPr>
            </w:pP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Ensure that the port system, road and rail networks and freight services are integrated to improve efficiency</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Upgrade the East Tamar Highway to a consistent Category 1 standard</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Construct new storage and marshalling areas to improve the interaction between road and rail</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Develop an alternative road access to the Port improving Old Bell Bay Road</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Upgrades to roads around Bell Bay Port to ensure improved access between road and rail </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Bell Bay port part of the long term strategic plan for the Northern ports</w:t>
            </w:r>
          </w:p>
        </w:tc>
      </w:tr>
      <w:tr w:rsidR="00756B53" w:rsidRPr="00E83DA2" w:rsidTr="008D2E39">
        <w:trPr>
          <w:trHeight w:val="1147"/>
        </w:trPr>
        <w:tc>
          <w:tcPr>
            <w:tcW w:w="2002" w:type="dxa"/>
            <w:vMerge/>
          </w:tcPr>
          <w:p w:rsidR="00756B53" w:rsidRPr="00E83DA2" w:rsidRDefault="00756B53" w:rsidP="008D2E39">
            <w:pPr>
              <w:rPr>
                <w:rFonts w:ascii="Gill Sans MT" w:hAnsi="Gill Sans MT"/>
                <w:b/>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Improve the standard of existing roads to cater for safe and efficient freight movements</w:t>
            </w:r>
          </w:p>
          <w:p w:rsidR="00756B53" w:rsidRPr="00E83DA2" w:rsidRDefault="00756B53" w:rsidP="008D2E39">
            <w:pPr>
              <w:rPr>
                <w:rFonts w:ascii="Gill Sans MT" w:hAnsi="Gill Sans MT"/>
                <w:sz w:val="18"/>
                <w:szCs w:val="18"/>
              </w:rPr>
            </w:pP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Recognise the regional importance of the following road corridors:</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West Tamar Highway</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Frankford Main Road</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Birralee Main Road</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Batman Highway</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Bridport Main Road</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Lilydale Main Road/Golconda Road</w:t>
            </w:r>
          </w:p>
          <w:p w:rsidR="00756B53" w:rsidRPr="00E83DA2" w:rsidRDefault="00756B53" w:rsidP="008D2E39">
            <w:pPr>
              <w:pStyle w:val="ListParagraph"/>
              <w:numPr>
                <w:ilvl w:val="1"/>
                <w:numId w:val="86"/>
              </w:numPr>
              <w:rPr>
                <w:rFonts w:ascii="Gill Sans MT" w:hAnsi="Gill Sans MT"/>
                <w:sz w:val="18"/>
                <w:szCs w:val="18"/>
              </w:rPr>
            </w:pPr>
            <w:r w:rsidRPr="00E83DA2">
              <w:rPr>
                <w:rFonts w:ascii="Gill Sans MT" w:hAnsi="Gill Sans MT"/>
                <w:sz w:val="18"/>
                <w:szCs w:val="18"/>
              </w:rPr>
              <w:t>Esk Main Road</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Investigate opportunities for further overtaking lanes on strategic freight routes across the Region</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Improve the use of safety barriers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 xml:space="preserve">Review the </w:t>
            </w:r>
            <w:proofErr w:type="spellStart"/>
            <w:r w:rsidRPr="00E83DA2">
              <w:rPr>
                <w:rFonts w:ascii="Gill Sans MT" w:hAnsi="Gill Sans MT"/>
                <w:sz w:val="18"/>
                <w:szCs w:val="18"/>
              </w:rPr>
              <w:t>TRANSlink</w:t>
            </w:r>
            <w:proofErr w:type="spellEnd"/>
            <w:r w:rsidRPr="00E83DA2">
              <w:rPr>
                <w:rFonts w:ascii="Gill Sans MT" w:hAnsi="Gill Sans MT"/>
                <w:sz w:val="18"/>
                <w:szCs w:val="18"/>
              </w:rPr>
              <w:t xml:space="preserve"> Development Plan, including links to Evandale Main Road</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Identify tourism routes in the Region and agree upon intrinsic elements of a tourism network</w:t>
            </w:r>
          </w:p>
        </w:tc>
        <w:tc>
          <w:tcPr>
            <w:tcW w:w="4076" w:type="dxa"/>
          </w:tcPr>
          <w:p w:rsidR="00756B53" w:rsidRPr="00E83DA2" w:rsidRDefault="00756B53" w:rsidP="008D2E39">
            <w:pPr>
              <w:pStyle w:val="ListParagraph"/>
              <w:numPr>
                <w:ilvl w:val="0"/>
                <w:numId w:val="88"/>
              </w:numPr>
              <w:rPr>
                <w:rFonts w:ascii="Gill Sans MT" w:hAnsi="Gill Sans MT"/>
                <w:sz w:val="18"/>
                <w:szCs w:val="18"/>
              </w:rPr>
            </w:pPr>
            <w:bookmarkStart w:id="7" w:name="OLE_LINK10"/>
            <w:bookmarkStart w:id="8" w:name="OLE_LINK11"/>
            <w:r w:rsidRPr="00E83DA2">
              <w:rPr>
                <w:rFonts w:ascii="Gill Sans MT" w:hAnsi="Gill Sans MT"/>
                <w:i/>
                <w:sz w:val="18"/>
                <w:szCs w:val="18"/>
              </w:rPr>
              <w:t>Tasmanian Freight Strategy</w:t>
            </w:r>
            <w:r w:rsidRPr="00E83DA2">
              <w:rPr>
                <w:rFonts w:ascii="Gill Sans MT" w:hAnsi="Gill Sans MT"/>
                <w:sz w:val="18"/>
                <w:szCs w:val="18"/>
              </w:rPr>
              <w:t xml:space="preserve"> (under development) addresses these issues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Need to recognise corridors outside of the </w:t>
            </w:r>
            <w:proofErr w:type="spellStart"/>
            <w:r w:rsidRPr="00E83DA2">
              <w:rPr>
                <w:rFonts w:ascii="Gill Sans MT" w:hAnsi="Gill Sans MT"/>
                <w:i/>
                <w:sz w:val="18"/>
                <w:szCs w:val="18"/>
              </w:rPr>
              <w:t>Auslink</w:t>
            </w:r>
            <w:proofErr w:type="spellEnd"/>
            <w:r w:rsidRPr="00E83DA2">
              <w:rPr>
                <w:rFonts w:ascii="Gill Sans MT" w:hAnsi="Gill Sans MT"/>
                <w:i/>
                <w:sz w:val="18"/>
                <w:szCs w:val="18"/>
              </w:rPr>
              <w:t xml:space="preserve"> Tasmanian Corridor Strategy 2007  </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Ongoing monitoring of freight routes</w:t>
            </w:r>
          </w:p>
          <w:bookmarkEnd w:id="7"/>
          <w:bookmarkEnd w:id="8"/>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Use of mid and side safety barriers</w:t>
            </w: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Tourist routes adopted – still active, though may be some changes in the future </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Need to clarify role of ‘tourist routes’ in the actual movement of tourists along the network</w:t>
            </w:r>
          </w:p>
        </w:tc>
      </w:tr>
      <w:tr w:rsidR="00756B53" w:rsidRPr="00E83DA2" w:rsidTr="008D2E39">
        <w:trPr>
          <w:trHeight w:val="1147"/>
        </w:trPr>
        <w:tc>
          <w:tcPr>
            <w:tcW w:w="2002" w:type="dxa"/>
            <w:vMerge/>
          </w:tcPr>
          <w:p w:rsidR="00756B53" w:rsidRPr="00E83DA2" w:rsidRDefault="00756B53" w:rsidP="008D2E39">
            <w:pPr>
              <w:rPr>
                <w:rFonts w:ascii="Gill Sans MT" w:hAnsi="Gill Sans MT"/>
                <w:b/>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Undertake a freight demand survey and continue vehicle counts on key routes</w:t>
            </w:r>
          </w:p>
          <w:p w:rsidR="00756B53" w:rsidRPr="00E83DA2" w:rsidRDefault="00756B53" w:rsidP="008D2E39">
            <w:pPr>
              <w:rPr>
                <w:rFonts w:ascii="Gill Sans MT" w:hAnsi="Gill Sans MT"/>
                <w:sz w:val="18"/>
                <w:szCs w:val="18"/>
              </w:rPr>
            </w:pP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Consult with freight demanders and operators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Update to ensure currency</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Share information with stakeholders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 xml:space="preserve">Encourage use of information in </w:t>
            </w:r>
            <w:r w:rsidRPr="00E83DA2">
              <w:rPr>
                <w:rFonts w:ascii="Gill Sans MT" w:hAnsi="Gill Sans MT"/>
                <w:sz w:val="18"/>
                <w:szCs w:val="18"/>
              </w:rPr>
              <w:lastRenderedPageBreak/>
              <w:t>planning studies</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lastRenderedPageBreak/>
              <w:t xml:space="preserve">Surveys conducted for 2005/06, 2008/09 with next survey to be conducted 2011/12.  </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Data from survey used to inform transport planning.</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lastRenderedPageBreak/>
              <w:t>Summary data published on DIER website.</w:t>
            </w:r>
          </w:p>
        </w:tc>
      </w:tr>
      <w:tr w:rsidR="00756B53" w:rsidRPr="00E83DA2" w:rsidTr="008D2E39">
        <w:trPr>
          <w:trHeight w:val="917"/>
        </w:trPr>
        <w:tc>
          <w:tcPr>
            <w:tcW w:w="2002" w:type="dxa"/>
            <w:vMerge/>
          </w:tcPr>
          <w:p w:rsidR="00756B53" w:rsidRPr="00E83DA2" w:rsidRDefault="00756B53" w:rsidP="008D2E39">
            <w:pPr>
              <w:rPr>
                <w:rFonts w:ascii="Gill Sans MT" w:hAnsi="Gill Sans MT"/>
                <w:b/>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Encourage a partnership between road and rail</w:t>
            </w:r>
          </w:p>
          <w:p w:rsidR="00756B53" w:rsidRPr="00E83DA2" w:rsidRDefault="00756B53" w:rsidP="008D2E39">
            <w:pPr>
              <w:rPr>
                <w:rFonts w:ascii="Gill Sans MT" w:hAnsi="Gill Sans MT"/>
                <w:sz w:val="18"/>
                <w:szCs w:val="18"/>
              </w:rPr>
            </w:pP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Review the potential of the rail network and capabilities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Investigate whether opportunities for road/rail partnerships are economically viable</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Encourage retention of the existing rail network and, where possible, the extension of rail lines particularly to new and expanding industrial sites.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Encourage greater use of the rail network for the movement of freight</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i/>
                <w:sz w:val="18"/>
                <w:szCs w:val="18"/>
              </w:rPr>
              <w:t>Tasmanian Freight Strategy</w:t>
            </w:r>
            <w:r w:rsidRPr="00E83DA2">
              <w:rPr>
                <w:rFonts w:ascii="Gill Sans MT" w:hAnsi="Gill Sans MT"/>
                <w:sz w:val="18"/>
                <w:szCs w:val="18"/>
              </w:rPr>
              <w:t xml:space="preserve"> (under development) addresses these issues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Ongoing monitoring of freight routes (road and rail)</w:t>
            </w:r>
          </w:p>
        </w:tc>
      </w:tr>
      <w:tr w:rsidR="00756B53" w:rsidRPr="00E83DA2" w:rsidTr="008D2E39">
        <w:trPr>
          <w:trHeight w:val="917"/>
        </w:trPr>
        <w:tc>
          <w:tcPr>
            <w:tcW w:w="2002" w:type="dxa"/>
            <w:vMerge w:val="restart"/>
          </w:tcPr>
          <w:p w:rsidR="00756B53" w:rsidRPr="00E83DA2" w:rsidRDefault="00756B53" w:rsidP="008D2E39">
            <w:pPr>
              <w:pStyle w:val="ListParagraph"/>
              <w:numPr>
                <w:ilvl w:val="0"/>
                <w:numId w:val="87"/>
              </w:numPr>
              <w:rPr>
                <w:rFonts w:ascii="Gill Sans MT" w:hAnsi="Gill Sans MT"/>
                <w:b/>
                <w:bCs/>
                <w:sz w:val="18"/>
                <w:szCs w:val="18"/>
              </w:rPr>
            </w:pPr>
            <w:r w:rsidRPr="00E83DA2">
              <w:rPr>
                <w:rFonts w:ascii="Gill Sans MT" w:hAnsi="Gill Sans MT"/>
                <w:sz w:val="18"/>
                <w:szCs w:val="18"/>
              </w:rPr>
              <w:t>Tourist Friendly transport infrastructure and services</w:t>
            </w: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Improve the tourist experience</w:t>
            </w:r>
          </w:p>
        </w:tc>
        <w:tc>
          <w:tcPr>
            <w:tcW w:w="4076" w:type="dxa"/>
          </w:tcPr>
          <w:p w:rsidR="00756B53" w:rsidRPr="00E83DA2" w:rsidRDefault="00756B53" w:rsidP="008D2E39">
            <w:pPr>
              <w:pStyle w:val="ListParagraph"/>
              <w:numPr>
                <w:ilvl w:val="0"/>
                <w:numId w:val="86"/>
              </w:numPr>
              <w:rPr>
                <w:rFonts w:ascii="Gill Sans MT" w:hAnsi="Gill Sans MT"/>
                <w:i/>
                <w:sz w:val="18"/>
                <w:szCs w:val="18"/>
              </w:rPr>
            </w:pPr>
            <w:r w:rsidRPr="00E83DA2">
              <w:rPr>
                <w:rFonts w:ascii="Gill Sans MT" w:hAnsi="Gill Sans MT"/>
                <w:sz w:val="18"/>
                <w:szCs w:val="18"/>
              </w:rPr>
              <w:t xml:space="preserve">Adopt the core regional (State) tourism route and theme secondary routes that recognise Tourism Tasmania’s </w:t>
            </w:r>
            <w:r w:rsidRPr="00E83DA2">
              <w:rPr>
                <w:rFonts w:ascii="Gill Sans MT" w:hAnsi="Gill Sans MT"/>
                <w:i/>
                <w:sz w:val="18"/>
                <w:szCs w:val="18"/>
              </w:rPr>
              <w:t>Tourism 21: the Conversion Challenge</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Promote heritage railway travel</w:t>
            </w: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Rationalise and upgrade services and facilities along identified tour routes, according to the priority in the established touring route framework</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Implement consistent route and facility signage based on Tasmanian Visitor Information System and identified Key Touring Routes, branding and marketing plans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 xml:space="preserve">Incorporate consistent strategies and controls in planning schemes to protect </w:t>
            </w:r>
            <w:r w:rsidRPr="00E83DA2">
              <w:rPr>
                <w:rFonts w:ascii="Gill Sans MT" w:hAnsi="Gill Sans MT"/>
                <w:sz w:val="18"/>
                <w:szCs w:val="18"/>
              </w:rPr>
              <w:lastRenderedPageBreak/>
              <w:t>the visual aesthetics and vistas of the corridor through which identified tourism routes are located</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Investigate whether a regional network of tourist orientated cycle routes is required and, if warranted, ensure that all improvements along affected roads incorporate safe and effective cycle facilities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 xml:space="preserve">Promote a </w:t>
            </w:r>
            <w:proofErr w:type="spellStart"/>
            <w:r w:rsidRPr="00E83DA2">
              <w:rPr>
                <w:rFonts w:ascii="Gill Sans MT" w:hAnsi="Gill Sans MT"/>
                <w:sz w:val="18"/>
                <w:szCs w:val="18"/>
              </w:rPr>
              <w:t>Statewide</w:t>
            </w:r>
            <w:proofErr w:type="spellEnd"/>
            <w:r w:rsidRPr="00E83DA2">
              <w:rPr>
                <w:rFonts w:ascii="Gill Sans MT" w:hAnsi="Gill Sans MT"/>
                <w:sz w:val="18"/>
                <w:szCs w:val="18"/>
              </w:rPr>
              <w:t xml:space="preserve"> visitor awareness campaign of road conditions, travel times and route numbering.</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lastRenderedPageBreak/>
              <w:t xml:space="preserve">Tourist routes adopted – still active, though may be some changes in the future </w:t>
            </w: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Heritage rail promoted through Launceston Tramway Museum and Don River Railway. New </w:t>
            </w:r>
            <w:proofErr w:type="spellStart"/>
            <w:r w:rsidRPr="00E83DA2">
              <w:rPr>
                <w:rFonts w:ascii="Gill Sans MT" w:hAnsi="Gill Sans MT"/>
                <w:sz w:val="18"/>
                <w:szCs w:val="18"/>
              </w:rPr>
              <w:t>statewide</w:t>
            </w:r>
            <w:proofErr w:type="spellEnd"/>
            <w:r w:rsidRPr="00E83DA2">
              <w:rPr>
                <w:rFonts w:ascii="Gill Sans MT" w:hAnsi="Gill Sans MT"/>
                <w:sz w:val="18"/>
                <w:szCs w:val="18"/>
              </w:rPr>
              <w:t xml:space="preserve"> promotional website by Tasmanian Association of Tourist Railways. DEDTA produced </w:t>
            </w:r>
            <w:r w:rsidRPr="00E83DA2">
              <w:rPr>
                <w:rFonts w:ascii="Gill Sans MT" w:hAnsi="Gill Sans MT"/>
                <w:i/>
                <w:sz w:val="18"/>
                <w:szCs w:val="18"/>
              </w:rPr>
              <w:t xml:space="preserve">Rail Tourism: A Strategic Approach 2009 </w:t>
            </w:r>
            <w:r w:rsidRPr="00E83DA2">
              <w:rPr>
                <w:rFonts w:ascii="Gill Sans MT" w:hAnsi="Gill Sans MT"/>
                <w:sz w:val="18"/>
                <w:szCs w:val="18"/>
              </w:rPr>
              <w:t>to analyse rail tourism</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 Funding not currently available to act on recommendations </w:t>
            </w: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 Completed</w:t>
            </w:r>
          </w:p>
          <w:p w:rsidR="00756B53" w:rsidRPr="00E83DA2" w:rsidRDefault="00756B53" w:rsidP="008D2E39">
            <w:pPr>
              <w:pStyle w:val="ListParagraph"/>
              <w:ind w:left="176" w:hanging="184"/>
              <w:rPr>
                <w:rFonts w:ascii="Gill Sans MT" w:hAnsi="Gill Sans MT"/>
                <w:sz w:val="18"/>
                <w:szCs w:val="18"/>
              </w:rPr>
            </w:pPr>
            <w:r w:rsidRPr="00E83DA2">
              <w:rPr>
                <w:rFonts w:ascii="Gill Sans MT" w:hAnsi="Gill Sans MT"/>
                <w:sz w:val="18"/>
                <w:szCs w:val="18"/>
              </w:rPr>
              <w:t xml:space="preserve"> </w:t>
            </w:r>
          </w:p>
          <w:p w:rsidR="00756B53" w:rsidRPr="00E83DA2" w:rsidRDefault="00756B53" w:rsidP="008D2E39">
            <w:pPr>
              <w:pStyle w:val="ListParagraph"/>
              <w:ind w:left="176" w:hanging="184"/>
              <w:rPr>
                <w:rFonts w:ascii="Gill Sans MT" w:hAnsi="Gill Sans MT"/>
                <w:sz w:val="18"/>
                <w:szCs w:val="18"/>
              </w:rPr>
            </w:pPr>
            <w:r w:rsidRPr="00E83DA2">
              <w:rPr>
                <w:rFonts w:ascii="Gill Sans MT" w:hAnsi="Gill Sans MT"/>
                <w:sz w:val="18"/>
                <w:szCs w:val="18"/>
              </w:rPr>
              <w:t xml:space="preserve"> </w:t>
            </w:r>
          </w:p>
          <w:p w:rsidR="00756B53" w:rsidRPr="00E83DA2" w:rsidRDefault="00756B53" w:rsidP="008D2E39">
            <w:pPr>
              <w:pStyle w:val="ListParagraph"/>
              <w:ind w:left="176" w:hanging="184"/>
              <w:rPr>
                <w:rFonts w:ascii="Gill Sans MT" w:hAnsi="Gill Sans MT"/>
                <w:sz w:val="18"/>
                <w:szCs w:val="18"/>
              </w:rPr>
            </w:pP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 New interim schemes coming online. </w:t>
            </w:r>
            <w:r w:rsidRPr="00E83DA2">
              <w:rPr>
                <w:rFonts w:ascii="Gill Sans MT" w:hAnsi="Gill Sans MT"/>
                <w:sz w:val="18"/>
                <w:szCs w:val="18"/>
              </w:rPr>
              <w:lastRenderedPageBreak/>
              <w:t>Planning schemes will be monitored as they are updated.</w:t>
            </w:r>
          </w:p>
          <w:p w:rsidR="00756B53" w:rsidRPr="00E83DA2" w:rsidRDefault="00756B53" w:rsidP="008D2E39">
            <w:pPr>
              <w:pStyle w:val="ListParagraph"/>
              <w:ind w:left="176"/>
              <w:rPr>
                <w:rFonts w:ascii="Gill Sans MT" w:hAnsi="Gill Sans MT"/>
                <w:sz w:val="18"/>
                <w:szCs w:val="18"/>
              </w:rPr>
            </w:pPr>
            <w:r w:rsidRPr="00E83DA2">
              <w:rPr>
                <w:rFonts w:ascii="Gill Sans MT" w:hAnsi="Gill Sans MT"/>
                <w:sz w:val="18"/>
                <w:szCs w:val="18"/>
              </w:rPr>
              <w:t xml:space="preserve"> </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Greater Launceston Bicycle Commuting Network; Launceston Cycling Infrastructure Strategy; Great Western Tiers Cycling Strategy </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Not required. Cycle-friendly workshops held (eg. St Helens in 2010)</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Self-Guided Cycling Touring 2010 brochure, amongst other promotional materials   </w:t>
            </w:r>
          </w:p>
        </w:tc>
      </w:tr>
      <w:tr w:rsidR="00756B53" w:rsidRPr="00E83DA2" w:rsidTr="008D2E39">
        <w:trPr>
          <w:trHeight w:val="531"/>
        </w:trPr>
        <w:tc>
          <w:tcPr>
            <w:tcW w:w="2002" w:type="dxa"/>
            <w:vMerge/>
          </w:tcPr>
          <w:p w:rsidR="00756B53" w:rsidRPr="00E83DA2" w:rsidRDefault="00756B53" w:rsidP="008D2E39">
            <w:pPr>
              <w:rPr>
                <w:rFonts w:ascii="Gill Sans MT" w:hAnsi="Gill Sans MT"/>
                <w:b/>
                <w:bCs/>
                <w:sz w:val="18"/>
                <w:szCs w:val="18"/>
              </w:rPr>
            </w:pPr>
            <w:bookmarkStart w:id="9" w:name="_Hlk323890167"/>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Reduce conflicts between road users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Separate where possible incompatible road users such as heavy freight vehicles from tourism and non-motorised transport</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Various projects, including through development of Rail Trail projects</w:t>
            </w:r>
          </w:p>
        </w:tc>
      </w:tr>
      <w:bookmarkEnd w:id="9"/>
      <w:tr w:rsidR="00756B53" w:rsidRPr="00E83DA2" w:rsidTr="008D2E39">
        <w:trPr>
          <w:trHeight w:val="917"/>
        </w:trPr>
        <w:tc>
          <w:tcPr>
            <w:tcW w:w="2002" w:type="dxa"/>
            <w:vMerge w:val="restart"/>
          </w:tcPr>
          <w:p w:rsidR="00756B53" w:rsidRPr="00E83DA2" w:rsidRDefault="00756B53" w:rsidP="008D2E39">
            <w:pPr>
              <w:pStyle w:val="ListParagraph"/>
              <w:numPr>
                <w:ilvl w:val="0"/>
                <w:numId w:val="87"/>
              </w:numPr>
              <w:rPr>
                <w:rFonts w:ascii="Gill Sans MT" w:hAnsi="Gill Sans MT"/>
                <w:sz w:val="18"/>
                <w:szCs w:val="18"/>
              </w:rPr>
            </w:pPr>
            <w:r w:rsidRPr="00E83DA2">
              <w:rPr>
                <w:rFonts w:ascii="Gill Sans MT" w:hAnsi="Gill Sans MT"/>
                <w:sz w:val="18"/>
                <w:szCs w:val="18"/>
              </w:rPr>
              <w:t>A sustainable transport system</w:t>
            </w: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Promote health and well-being by encouraging the use of alternative and non-motorised forms of transport</w:t>
            </w:r>
          </w:p>
          <w:p w:rsidR="00756B53" w:rsidRPr="00E83DA2" w:rsidRDefault="00756B53" w:rsidP="008D2E39">
            <w:pPr>
              <w:rPr>
                <w:rFonts w:ascii="Gill Sans MT" w:hAnsi="Gill Sans MT"/>
                <w:sz w:val="18"/>
                <w:szCs w:val="18"/>
              </w:rPr>
            </w:pP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Plan a regional core network of cycle and pedestrian facilities and integrate with existing and planned local facilities</w:t>
            </w: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rPr>
                <w:rFonts w:ascii="Gill Sans MT" w:hAnsi="Gill Sans MT"/>
                <w:sz w:val="18"/>
                <w:szCs w:val="18"/>
              </w:rPr>
            </w:pP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 xml:space="preserve">Implement, where appropriate, and practical </w:t>
            </w:r>
            <w:r w:rsidRPr="00E83DA2">
              <w:rPr>
                <w:rFonts w:ascii="Gill Sans MT" w:hAnsi="Gill Sans MT"/>
                <w:i/>
                <w:sz w:val="18"/>
                <w:szCs w:val="18"/>
              </w:rPr>
              <w:t>Australian Cycling – The National Strategy 1999-2004</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Publicise the long-term health and fitness benefits of exercise from cycling and walking in lieu of car travel</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Establish a regional cycling body to promote the planning and development of a regional cycling strategy</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i/>
                <w:sz w:val="18"/>
                <w:szCs w:val="18"/>
              </w:rPr>
              <w:t>Greater Launceston Bicycle Commuting Network</w:t>
            </w:r>
            <w:r w:rsidRPr="00E83DA2">
              <w:rPr>
                <w:rFonts w:ascii="Gill Sans MT" w:hAnsi="Gill Sans MT"/>
                <w:sz w:val="18"/>
                <w:szCs w:val="18"/>
              </w:rPr>
              <w:t xml:space="preserve">; </w:t>
            </w:r>
            <w:r w:rsidRPr="00E83DA2">
              <w:rPr>
                <w:rFonts w:ascii="Gill Sans MT" w:hAnsi="Gill Sans MT"/>
                <w:i/>
                <w:sz w:val="18"/>
                <w:szCs w:val="18"/>
              </w:rPr>
              <w:t>Principal Urban Cycling Network Launceston</w:t>
            </w:r>
            <w:r w:rsidRPr="00E83DA2">
              <w:rPr>
                <w:rFonts w:ascii="Gill Sans MT" w:hAnsi="Gill Sans MT"/>
                <w:sz w:val="18"/>
                <w:szCs w:val="18"/>
              </w:rPr>
              <w:t xml:space="preserve">; </w:t>
            </w:r>
            <w:r w:rsidRPr="00E83DA2">
              <w:rPr>
                <w:rFonts w:ascii="Gill Sans MT" w:hAnsi="Gill Sans MT"/>
                <w:i/>
                <w:sz w:val="18"/>
                <w:szCs w:val="18"/>
              </w:rPr>
              <w:t>Launceston Cycling Infrastructure Strategy 2010</w:t>
            </w:r>
            <w:r w:rsidRPr="00E83DA2">
              <w:rPr>
                <w:rFonts w:ascii="Gill Sans MT" w:hAnsi="Gill Sans MT"/>
                <w:sz w:val="18"/>
                <w:szCs w:val="18"/>
              </w:rPr>
              <w:t xml:space="preserve">; </w:t>
            </w:r>
            <w:r w:rsidRPr="00E83DA2">
              <w:rPr>
                <w:rFonts w:ascii="Gill Sans MT" w:hAnsi="Gill Sans MT"/>
                <w:i/>
                <w:sz w:val="18"/>
                <w:szCs w:val="18"/>
              </w:rPr>
              <w:t>Northern Tasmania Regional Recreation Trails Strategy 2004</w:t>
            </w:r>
            <w:r w:rsidRPr="00E83DA2">
              <w:rPr>
                <w:rFonts w:ascii="Gill Sans MT" w:hAnsi="Gill Sans MT"/>
                <w:sz w:val="18"/>
                <w:szCs w:val="18"/>
              </w:rPr>
              <w:t xml:space="preserve">; </w:t>
            </w:r>
            <w:r w:rsidRPr="00E83DA2">
              <w:rPr>
                <w:rFonts w:ascii="Gill Sans MT" w:hAnsi="Gill Sans MT"/>
                <w:i/>
                <w:sz w:val="18"/>
                <w:szCs w:val="18"/>
              </w:rPr>
              <w:t>Mountain Bike Tourism Potential Northern Tasmania (2011 - NTD)</w:t>
            </w:r>
          </w:p>
          <w:p w:rsidR="00756B53" w:rsidRPr="00E83DA2" w:rsidRDefault="00756B53" w:rsidP="008D2E39">
            <w:pPr>
              <w:pStyle w:val="ListParagraph"/>
              <w:numPr>
                <w:ilvl w:val="0"/>
                <w:numId w:val="88"/>
              </w:numPr>
              <w:rPr>
                <w:rFonts w:ascii="Gill Sans MT" w:hAnsi="Gill Sans MT"/>
                <w:i/>
                <w:sz w:val="18"/>
                <w:szCs w:val="18"/>
              </w:rPr>
            </w:pPr>
            <w:r w:rsidRPr="00E83DA2">
              <w:rPr>
                <w:rFonts w:ascii="Gill Sans MT" w:hAnsi="Gill Sans MT"/>
                <w:sz w:val="18"/>
                <w:szCs w:val="18"/>
              </w:rPr>
              <w:t xml:space="preserve"> Work continues in line with the </w:t>
            </w:r>
            <w:r w:rsidRPr="00E83DA2">
              <w:rPr>
                <w:rFonts w:ascii="Gill Sans MT" w:hAnsi="Gill Sans MT"/>
                <w:i/>
                <w:sz w:val="18"/>
                <w:szCs w:val="18"/>
              </w:rPr>
              <w:t>National Cycling Strategy 2011-16</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Campaigns /strategies include: </w:t>
            </w:r>
            <w:r w:rsidRPr="00E83DA2">
              <w:rPr>
                <w:rFonts w:ascii="Gill Sans MT" w:hAnsi="Gill Sans MT"/>
                <w:i/>
                <w:sz w:val="18"/>
                <w:szCs w:val="18"/>
              </w:rPr>
              <w:t>Walking and Cycling for Active Transport Strategy; Find Thirty; Walking Bus; Move Well, Eat Well</w:t>
            </w:r>
            <w:r w:rsidRPr="00E83DA2">
              <w:rPr>
                <w:rFonts w:ascii="Gill Sans MT" w:hAnsi="Gill Sans MT"/>
                <w:sz w:val="18"/>
                <w:szCs w:val="18"/>
              </w:rPr>
              <w:t xml:space="preserve"> </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T-BUG (Tamar) works with Sport and Recreation Tasmania and local government on regional cycling </w:t>
            </w:r>
          </w:p>
        </w:tc>
      </w:tr>
      <w:tr w:rsidR="00756B53" w:rsidRPr="00E83DA2" w:rsidTr="008D2E39">
        <w:trPr>
          <w:trHeight w:val="917"/>
        </w:trPr>
        <w:tc>
          <w:tcPr>
            <w:tcW w:w="2002" w:type="dxa"/>
            <w:vMerge/>
          </w:tcPr>
          <w:p w:rsidR="00756B53" w:rsidRPr="00E83DA2" w:rsidRDefault="00756B53" w:rsidP="008D2E39">
            <w:pPr>
              <w:rPr>
                <w:rFonts w:ascii="Gill Sans MT" w:hAnsi="Gill Sans MT"/>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Avoid duplication of road transport infrastructure</w:t>
            </w:r>
          </w:p>
          <w:p w:rsidR="00756B53" w:rsidRPr="00E83DA2" w:rsidRDefault="00756B53" w:rsidP="008D2E39">
            <w:pPr>
              <w:rPr>
                <w:rFonts w:ascii="Gill Sans MT" w:hAnsi="Gill Sans MT"/>
                <w:sz w:val="18"/>
                <w:szCs w:val="18"/>
              </w:rPr>
            </w:pP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Implement recommendations from road corridor and regional transport studies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 xml:space="preserve">Develop road corridors in accordance </w:t>
            </w:r>
            <w:r w:rsidRPr="00E83DA2">
              <w:rPr>
                <w:rFonts w:ascii="Gill Sans MT" w:hAnsi="Gill Sans MT"/>
                <w:sz w:val="18"/>
                <w:szCs w:val="18"/>
              </w:rPr>
              <w:lastRenderedPageBreak/>
              <w:t>with the targets established for road under the Tasmania Road Hierarchy</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lastRenderedPageBreak/>
              <w:t>North East Freight Roads Project</w:t>
            </w:r>
          </w:p>
        </w:tc>
      </w:tr>
      <w:tr w:rsidR="00756B53" w:rsidRPr="00E83DA2" w:rsidTr="008D2E39">
        <w:trPr>
          <w:trHeight w:val="583"/>
        </w:trPr>
        <w:tc>
          <w:tcPr>
            <w:tcW w:w="2002" w:type="dxa"/>
            <w:vMerge/>
          </w:tcPr>
          <w:p w:rsidR="00756B53" w:rsidRPr="00E83DA2" w:rsidRDefault="00756B53" w:rsidP="008D2E39">
            <w:pPr>
              <w:rPr>
                <w:rFonts w:ascii="Gill Sans MT" w:hAnsi="Gill Sans MT"/>
                <w:b/>
                <w:bCs/>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Improve transparency of funding decisions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Make public the funding and priority lists for road upgrading on a regular basis outlining cost/benefit analysis information</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Funding and priority lists made available on DIER website </w:t>
            </w:r>
          </w:p>
        </w:tc>
      </w:tr>
      <w:tr w:rsidR="00756B53" w:rsidRPr="00E83DA2" w:rsidTr="008D2E39">
        <w:trPr>
          <w:trHeight w:val="917"/>
        </w:trPr>
        <w:tc>
          <w:tcPr>
            <w:tcW w:w="2002" w:type="dxa"/>
            <w:vMerge/>
          </w:tcPr>
          <w:p w:rsidR="00756B53" w:rsidRPr="00E83DA2" w:rsidRDefault="00756B53" w:rsidP="008D2E39">
            <w:pPr>
              <w:rPr>
                <w:rFonts w:ascii="Gill Sans MT" w:hAnsi="Gill Sans MT"/>
                <w:b/>
                <w:bCs/>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Reduce the high capital costs of the short-term use of rural roads and bridges by forest industry heavy vehicles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Work with the logging and timber industries to minimise the impact and maximise the use of long-term forward planning in forest harvest plans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Establish co-operative planning processes between timber harvesters and local government for road and bridge maintenance and upgrades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Need to further investigate long-term asset management of non-DIER State Govt-owned roads to minimise impacts on local communities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Determine, where appropriate, industry contributions to the maintenance of affected rural roads and bridges</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North East Freight Roads, Tasmanian Freight Strategy</w:t>
            </w:r>
          </w:p>
          <w:p w:rsidR="00756B53" w:rsidRPr="00E83DA2" w:rsidRDefault="00756B53" w:rsidP="008D2E39">
            <w:pPr>
              <w:pStyle w:val="ListParagraph"/>
              <w:ind w:left="176"/>
              <w:rPr>
                <w:rFonts w:ascii="Gill Sans MT" w:hAnsi="Gill Sans MT"/>
                <w:sz w:val="18"/>
                <w:szCs w:val="18"/>
              </w:rPr>
            </w:pPr>
          </w:p>
          <w:p w:rsidR="00756B53" w:rsidRPr="00E83DA2" w:rsidRDefault="00756B53" w:rsidP="008D2E39">
            <w:pPr>
              <w:ind w:left="-8"/>
              <w:rPr>
                <w:rFonts w:ascii="Gill Sans MT" w:hAnsi="Gill Sans MT"/>
                <w:sz w:val="18"/>
                <w:szCs w:val="18"/>
              </w:rPr>
            </w:pP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No formal mechanisms in place, but has occurred in an ad hoc manner </w:t>
            </w:r>
          </w:p>
        </w:tc>
      </w:tr>
      <w:tr w:rsidR="00756B53" w:rsidRPr="00E83DA2" w:rsidTr="008D2E39">
        <w:trPr>
          <w:trHeight w:val="917"/>
        </w:trPr>
        <w:tc>
          <w:tcPr>
            <w:tcW w:w="2002" w:type="dxa"/>
            <w:vMerge w:val="restart"/>
          </w:tcPr>
          <w:p w:rsidR="00756B53" w:rsidRPr="00E83DA2" w:rsidRDefault="00756B53" w:rsidP="008D2E39">
            <w:pPr>
              <w:pStyle w:val="ListParagraph"/>
              <w:numPr>
                <w:ilvl w:val="0"/>
                <w:numId w:val="87"/>
              </w:numPr>
              <w:rPr>
                <w:rFonts w:ascii="Gill Sans MT" w:hAnsi="Gill Sans MT"/>
                <w:sz w:val="18"/>
                <w:szCs w:val="18"/>
              </w:rPr>
            </w:pPr>
            <w:r w:rsidRPr="00E83DA2">
              <w:rPr>
                <w:rFonts w:ascii="Gill Sans MT" w:hAnsi="Gill Sans MT"/>
                <w:sz w:val="18"/>
                <w:szCs w:val="18"/>
              </w:rPr>
              <w:t>Minimising adverse environmental impacts</w:t>
            </w: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Ensure environmentally sensitive construction, maintenance and standards for State, local roads, railways, ports and airports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Identify current systems and practices in use across State agencies and local government</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Develop a consistent ‘best practice’ approach to tasks as required</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Environmental consideration practiced - demonstrated by Brighton Transport Hub Project and Kingston Bypass - similar approach would be used on projects in the Northern Region</w:t>
            </w:r>
          </w:p>
        </w:tc>
      </w:tr>
      <w:tr w:rsidR="00756B53" w:rsidRPr="00E83DA2" w:rsidTr="008D2E39">
        <w:trPr>
          <w:trHeight w:val="917"/>
        </w:trPr>
        <w:tc>
          <w:tcPr>
            <w:tcW w:w="2002" w:type="dxa"/>
            <w:vMerge/>
          </w:tcPr>
          <w:p w:rsidR="00756B53" w:rsidRPr="00E83DA2" w:rsidRDefault="00756B53" w:rsidP="008D2E39">
            <w:pPr>
              <w:rPr>
                <w:rFonts w:ascii="Gill Sans MT" w:hAnsi="Gill Sans MT"/>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Minimise the impact of road freight vehicles on residential areas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Ensure appropriate land use planning to maintain the safety and amenity of residential areas by avoiding the intrusion of heavy vehicles into those areas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Develop a network of signed truck routes and promote their use</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State Roads Hierarchy provides prioritisation of road network with uses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North-East Freight Roads Project has seen to the upgrading of some main freight routes in the Northern Region</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Through Heavy Truck Safety Advisory Council and Performance Based Standards Scheme (PBS)</w:t>
            </w:r>
          </w:p>
        </w:tc>
      </w:tr>
      <w:tr w:rsidR="00756B53" w:rsidRPr="00E83DA2" w:rsidTr="008D2E39">
        <w:trPr>
          <w:trHeight w:val="917"/>
        </w:trPr>
        <w:tc>
          <w:tcPr>
            <w:tcW w:w="2002" w:type="dxa"/>
            <w:vMerge w:val="restart"/>
          </w:tcPr>
          <w:p w:rsidR="00756B53" w:rsidRPr="00E83DA2" w:rsidRDefault="00756B53" w:rsidP="008D2E39">
            <w:pPr>
              <w:pStyle w:val="ListParagraph"/>
              <w:numPr>
                <w:ilvl w:val="0"/>
                <w:numId w:val="87"/>
              </w:numPr>
              <w:rPr>
                <w:rFonts w:ascii="Gill Sans MT" w:hAnsi="Gill Sans MT"/>
                <w:sz w:val="18"/>
                <w:szCs w:val="18"/>
              </w:rPr>
            </w:pPr>
            <w:bookmarkStart w:id="10" w:name="OLE_LINK8"/>
            <w:bookmarkStart w:id="11" w:name="OLE_LINK9"/>
            <w:r w:rsidRPr="00E83DA2">
              <w:rPr>
                <w:rFonts w:ascii="Gill Sans MT" w:hAnsi="Gill Sans MT"/>
                <w:sz w:val="18"/>
                <w:szCs w:val="18"/>
              </w:rPr>
              <w:lastRenderedPageBreak/>
              <w:t>Have an accessible transport system</w:t>
            </w: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Facilitate the provision of appropriate regional public transport services, including air and sea access to Flinders Island</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Determine an appropriate level for ‘core’ services and ensure they are effective in meeting essential transport needs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Work with local communities to assess possible options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Promote services to users and potential users</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Core RPT air services have been maintained for Flinders Island</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Urban bus services are provided within metropolitan Launceston with service levels determined by Urban Service Standards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Urban fringe and regional services delivered under contract. Service Development Plans require operators to engage with local communities in planning services. Opportunities have been provided for operators to test demand for additional services and new routes.</w:t>
            </w:r>
          </w:p>
        </w:tc>
      </w:tr>
      <w:tr w:rsidR="00756B53" w:rsidRPr="00E83DA2" w:rsidTr="008D2E39">
        <w:trPr>
          <w:trHeight w:val="917"/>
        </w:trPr>
        <w:tc>
          <w:tcPr>
            <w:tcW w:w="2002" w:type="dxa"/>
            <w:vMerge/>
          </w:tcPr>
          <w:p w:rsidR="00756B53" w:rsidRPr="00E83DA2" w:rsidRDefault="00756B53" w:rsidP="008D2E39">
            <w:pPr>
              <w:rPr>
                <w:rFonts w:ascii="Gill Sans MT" w:hAnsi="Gill Sans MT"/>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Facilitate improved co-ordination of community, private sector, and public transport services in a sustainable way to meet regional transport needs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Investigate possible options</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Pilot ‘Wheel Deal’ in Dorset Municipality to assess effectiveness of regional transport brokerage services.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Department has encouraged operators of commercial services to investigate opportunities to work with local community providers through Service Development Plans.</w:t>
            </w:r>
          </w:p>
        </w:tc>
      </w:tr>
      <w:tr w:rsidR="00756B53" w:rsidRPr="00E83DA2" w:rsidTr="008D2E39">
        <w:trPr>
          <w:trHeight w:val="917"/>
        </w:trPr>
        <w:tc>
          <w:tcPr>
            <w:tcW w:w="2002" w:type="dxa"/>
            <w:vMerge/>
          </w:tcPr>
          <w:p w:rsidR="00756B53" w:rsidRPr="00E83DA2" w:rsidRDefault="00756B53" w:rsidP="008D2E39">
            <w:pPr>
              <w:rPr>
                <w:rFonts w:ascii="Gill Sans MT" w:hAnsi="Gill Sans MT"/>
                <w:b/>
                <w:bCs/>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Optimise access to community services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Access options to maximise accessibility as part of the transport planning process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Investigate the possibility of allocating a proportion of transport funding for pedestrian and cyclist infrastructure</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Promote sustainable development outcomes by supporting the location of new development in places accessible to community facilities and transport systems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 xml:space="preserve">Support developments which can be adequately services by pedestrian and cycle facilities (and public transport where feasible) to reduce the reliance </w:t>
            </w:r>
            <w:r w:rsidRPr="00E83DA2">
              <w:rPr>
                <w:rFonts w:ascii="Gill Sans MT" w:hAnsi="Gill Sans MT"/>
                <w:sz w:val="18"/>
                <w:szCs w:val="18"/>
              </w:rPr>
              <w:lastRenderedPageBreak/>
              <w:t>on the private vehicle</w:t>
            </w:r>
          </w:p>
        </w:tc>
        <w:tc>
          <w:tcPr>
            <w:tcW w:w="4076" w:type="dxa"/>
          </w:tcPr>
          <w:p w:rsidR="00756B53" w:rsidRPr="00E83DA2" w:rsidRDefault="00756B53" w:rsidP="008D2E39">
            <w:pPr>
              <w:pStyle w:val="ListParagraph"/>
              <w:numPr>
                <w:ilvl w:val="0"/>
                <w:numId w:val="86"/>
              </w:numPr>
              <w:rPr>
                <w:rFonts w:ascii="Gill Sans MT" w:hAnsi="Gill Sans MT"/>
                <w:i/>
                <w:sz w:val="18"/>
                <w:szCs w:val="18"/>
              </w:rPr>
            </w:pPr>
            <w:r w:rsidRPr="00E83DA2">
              <w:rPr>
                <w:rFonts w:ascii="Gill Sans MT" w:hAnsi="Gill Sans MT"/>
                <w:i/>
                <w:sz w:val="18"/>
                <w:szCs w:val="18"/>
              </w:rPr>
              <w:lastRenderedPageBreak/>
              <w:t xml:space="preserve">Regional Land Use Strategy </w:t>
            </w:r>
            <w:r w:rsidRPr="00E83DA2">
              <w:rPr>
                <w:rFonts w:ascii="Gill Sans MT" w:hAnsi="Gill Sans MT"/>
                <w:sz w:val="18"/>
                <w:szCs w:val="18"/>
              </w:rPr>
              <w:t>focuses on ways to achieve this</w:t>
            </w:r>
          </w:p>
        </w:tc>
      </w:tr>
      <w:tr w:rsidR="00756B53" w:rsidRPr="00E83DA2" w:rsidTr="008D2E39">
        <w:trPr>
          <w:trHeight w:val="917"/>
        </w:trPr>
        <w:tc>
          <w:tcPr>
            <w:tcW w:w="2002" w:type="dxa"/>
            <w:vMerge/>
          </w:tcPr>
          <w:p w:rsidR="00756B53" w:rsidRPr="00E83DA2" w:rsidRDefault="00756B53" w:rsidP="008D2E39">
            <w:pPr>
              <w:rPr>
                <w:rFonts w:ascii="Gill Sans MT" w:hAnsi="Gill Sans MT"/>
                <w:b/>
                <w:bCs/>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Promote the Launceston Transit Centre, operated on commercial principles by the private operators, and encourage potential inter-linking services to use it</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Investigate options</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Transit Centre in operation and used by urban fringe and regional service providers.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Metro Tasmania does not use the Transit Centre.</w:t>
            </w:r>
          </w:p>
        </w:tc>
      </w:tr>
      <w:tr w:rsidR="00756B53" w:rsidRPr="00E83DA2" w:rsidTr="008D2E39">
        <w:trPr>
          <w:trHeight w:val="917"/>
        </w:trPr>
        <w:tc>
          <w:tcPr>
            <w:tcW w:w="2002" w:type="dxa"/>
            <w:vMerge/>
          </w:tcPr>
          <w:p w:rsidR="00756B53" w:rsidRPr="00E83DA2" w:rsidRDefault="00756B53" w:rsidP="008D2E39">
            <w:pPr>
              <w:rPr>
                <w:rFonts w:ascii="Gill Sans MT" w:hAnsi="Gill Sans MT"/>
                <w:b/>
                <w:bCs/>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 xml:space="preserve">Develop a Northern Region Action Plan involving industry, users and government for the co-ordinated introduction of </w:t>
            </w:r>
            <w:r w:rsidRPr="00E83DA2">
              <w:rPr>
                <w:rFonts w:ascii="Gill Sans MT" w:hAnsi="Gill Sans MT"/>
                <w:i/>
                <w:sz w:val="18"/>
                <w:szCs w:val="18"/>
              </w:rPr>
              <w:t>Disability Discrimination Act</w:t>
            </w:r>
            <w:r w:rsidRPr="00E83DA2">
              <w:rPr>
                <w:rFonts w:ascii="Gill Sans MT" w:hAnsi="Gill Sans MT"/>
                <w:sz w:val="18"/>
                <w:szCs w:val="18"/>
              </w:rPr>
              <w:t xml:space="preserve"> Accessible Transport Standards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Establish State Government and local government committee to coordinate process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Identify areas that require attention</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Develop an implementation plan</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Encourage co-ordination and consistency across all local government areas</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 xml:space="preserve">DIER has worked with individual regional Councils in addressing DDA compliance for bus stop infrastructure. </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t>Metro Tasmania undertaking its own program with regard to bus stops in urban areas, in conjunction with urban councils.</w:t>
            </w:r>
          </w:p>
        </w:tc>
      </w:tr>
      <w:bookmarkEnd w:id="10"/>
      <w:bookmarkEnd w:id="11"/>
      <w:tr w:rsidR="00756B53" w:rsidRPr="00E83DA2" w:rsidTr="008D2E39">
        <w:trPr>
          <w:trHeight w:val="917"/>
        </w:trPr>
        <w:tc>
          <w:tcPr>
            <w:tcW w:w="2002" w:type="dxa"/>
            <w:vMerge w:val="restart"/>
          </w:tcPr>
          <w:p w:rsidR="00756B53" w:rsidRPr="00E83DA2" w:rsidRDefault="00756B53" w:rsidP="008D2E39">
            <w:pPr>
              <w:pStyle w:val="ListParagraph"/>
              <w:numPr>
                <w:ilvl w:val="0"/>
                <w:numId w:val="87"/>
              </w:numPr>
              <w:rPr>
                <w:rFonts w:ascii="Gill Sans MT" w:hAnsi="Gill Sans MT"/>
                <w:sz w:val="18"/>
                <w:szCs w:val="18"/>
              </w:rPr>
            </w:pPr>
            <w:r w:rsidRPr="00E83DA2">
              <w:rPr>
                <w:rFonts w:ascii="Gill Sans MT" w:hAnsi="Gill Sans MT"/>
                <w:sz w:val="18"/>
                <w:szCs w:val="18"/>
              </w:rPr>
              <w:t>Integrated Land Use and Transport Planning</w:t>
            </w:r>
          </w:p>
          <w:p w:rsidR="00756B53" w:rsidRPr="00E83DA2" w:rsidRDefault="00756B53" w:rsidP="008D2E39">
            <w:pPr>
              <w:rPr>
                <w:rFonts w:ascii="Gill Sans MT" w:hAnsi="Gill Sans MT"/>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Develop consistency in planning schemes for land use planning and transport planning</w:t>
            </w:r>
          </w:p>
          <w:p w:rsidR="00756B53" w:rsidRPr="00E83DA2" w:rsidRDefault="00756B53" w:rsidP="008D2E39">
            <w:pPr>
              <w:rPr>
                <w:rFonts w:ascii="Gill Sans MT" w:hAnsi="Gill Sans MT"/>
                <w:sz w:val="18"/>
                <w:szCs w:val="18"/>
              </w:rPr>
            </w:pP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Apply an integrated approach to land use planning and transport planning, recognising the strong links between the two and the need to plan them together</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Land use planning should consider transport infrastructure, both existing and long-term</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New uses or development of land near an existing or proposed transport route should be planned to avoid detriment to the transport route</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Protect Category I, II and III arterial roads in rural areas from new accesses and ribbon development</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Evolve a program of extending proclamations of limited access along Category I, II and III roads in the Region</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 xml:space="preserve">Develop common assessment criteria to </w:t>
            </w:r>
            <w:r w:rsidRPr="00E83DA2">
              <w:rPr>
                <w:rFonts w:ascii="Gill Sans MT" w:hAnsi="Gill Sans MT"/>
                <w:sz w:val="18"/>
                <w:szCs w:val="18"/>
              </w:rPr>
              <w:lastRenderedPageBreak/>
              <w:t>evaluate merits of developments proposed along rural high speed arterial roads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Consolidate future industrial development in areas which are, or can be, serviced both by the State Road network and rail</w:t>
            </w:r>
          </w:p>
        </w:tc>
        <w:tc>
          <w:tcPr>
            <w:tcW w:w="4076" w:type="dxa"/>
          </w:tcPr>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sz w:val="18"/>
                <w:szCs w:val="18"/>
              </w:rPr>
              <w:lastRenderedPageBreak/>
              <w:t>Planning schemes reviewed June 2012 – focus on ensuring consistency with regional templates.</w:t>
            </w:r>
          </w:p>
          <w:p w:rsidR="00756B53" w:rsidRPr="00E83DA2" w:rsidRDefault="00756B53" w:rsidP="008D2E39">
            <w:pPr>
              <w:pStyle w:val="ListParagraph"/>
              <w:numPr>
                <w:ilvl w:val="0"/>
                <w:numId w:val="88"/>
              </w:numPr>
              <w:rPr>
                <w:rFonts w:ascii="Gill Sans MT" w:hAnsi="Gill Sans MT"/>
                <w:sz w:val="18"/>
                <w:szCs w:val="18"/>
              </w:rPr>
            </w:pPr>
            <w:r w:rsidRPr="00E83DA2">
              <w:rPr>
                <w:rFonts w:ascii="Gill Sans MT" w:hAnsi="Gill Sans MT"/>
                <w:i/>
                <w:sz w:val="18"/>
                <w:szCs w:val="18"/>
              </w:rPr>
              <w:t>Regional Land Use Strategy</w:t>
            </w:r>
            <w:r w:rsidRPr="00E83DA2">
              <w:rPr>
                <w:rFonts w:ascii="Gill Sans MT" w:hAnsi="Gill Sans MT"/>
                <w:sz w:val="18"/>
                <w:szCs w:val="18"/>
              </w:rPr>
              <w:t xml:space="preserve"> also focuses on ways to achieve this</w:t>
            </w:r>
          </w:p>
        </w:tc>
      </w:tr>
      <w:tr w:rsidR="00756B53" w:rsidRPr="00E83DA2" w:rsidTr="008D2E39">
        <w:trPr>
          <w:trHeight w:val="917"/>
        </w:trPr>
        <w:tc>
          <w:tcPr>
            <w:tcW w:w="2002" w:type="dxa"/>
            <w:vMerge/>
          </w:tcPr>
          <w:p w:rsidR="00756B53" w:rsidRPr="00E83DA2" w:rsidRDefault="00756B53" w:rsidP="008D2E39">
            <w:pPr>
              <w:rPr>
                <w:rFonts w:ascii="Gill Sans MT" w:hAnsi="Gill Sans MT"/>
                <w:sz w:val="18"/>
                <w:szCs w:val="18"/>
              </w:rPr>
            </w:pP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Promote integration between transport corridor planning and service providers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Consult with service providers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Assess the location of future and planned highway corridors and utility easements and encourage co-location</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Planning schemes reviewed June 2012</w:t>
            </w:r>
          </w:p>
        </w:tc>
      </w:tr>
      <w:tr w:rsidR="00756B53" w:rsidRPr="00E83DA2" w:rsidTr="008D2E39">
        <w:trPr>
          <w:trHeight w:val="917"/>
        </w:trPr>
        <w:tc>
          <w:tcPr>
            <w:tcW w:w="2002" w:type="dxa"/>
          </w:tcPr>
          <w:p w:rsidR="00756B53" w:rsidRPr="00E83DA2" w:rsidRDefault="00756B53" w:rsidP="008D2E39">
            <w:pPr>
              <w:pStyle w:val="ListParagraph"/>
              <w:numPr>
                <w:ilvl w:val="0"/>
                <w:numId w:val="87"/>
              </w:numPr>
              <w:rPr>
                <w:rFonts w:ascii="Gill Sans MT" w:hAnsi="Gill Sans MT"/>
                <w:sz w:val="18"/>
                <w:szCs w:val="18"/>
              </w:rPr>
            </w:pPr>
            <w:r w:rsidRPr="00E83DA2">
              <w:rPr>
                <w:rFonts w:ascii="Gill Sans MT" w:hAnsi="Gill Sans MT"/>
                <w:sz w:val="18"/>
                <w:szCs w:val="18"/>
              </w:rPr>
              <w:t>Open and consultative planning processes and ensure all stakeholders have input</w:t>
            </w:r>
          </w:p>
        </w:tc>
        <w:tc>
          <w:tcPr>
            <w:tcW w:w="3056" w:type="dxa"/>
          </w:tcPr>
          <w:p w:rsidR="00756B53" w:rsidRPr="00E83DA2" w:rsidRDefault="00756B53" w:rsidP="008D2E39">
            <w:pPr>
              <w:pStyle w:val="ListParagraph"/>
              <w:numPr>
                <w:ilvl w:val="1"/>
                <w:numId w:val="87"/>
              </w:numPr>
              <w:rPr>
                <w:rFonts w:ascii="Gill Sans MT" w:hAnsi="Gill Sans MT"/>
                <w:sz w:val="18"/>
                <w:szCs w:val="18"/>
              </w:rPr>
            </w:pPr>
            <w:r w:rsidRPr="00E83DA2">
              <w:rPr>
                <w:rFonts w:ascii="Gill Sans MT" w:hAnsi="Gill Sans MT"/>
                <w:sz w:val="18"/>
                <w:szCs w:val="18"/>
              </w:rPr>
              <w:t>Use appropriate consultation    processes for upgrading strategic transport corridors, bypasses and major infrastructure improvements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Identify stakeholders and clarify stakeholder role and expectations</w:t>
            </w:r>
          </w:p>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Develop and implement a consultative plan for the development of projects</w:t>
            </w:r>
          </w:p>
        </w:tc>
        <w:tc>
          <w:tcPr>
            <w:tcW w:w="4076" w:type="dxa"/>
          </w:tcPr>
          <w:p w:rsidR="00756B53" w:rsidRPr="00E83DA2" w:rsidRDefault="00756B53" w:rsidP="008D2E39">
            <w:pPr>
              <w:pStyle w:val="ListParagraph"/>
              <w:numPr>
                <w:ilvl w:val="0"/>
                <w:numId w:val="86"/>
              </w:numPr>
              <w:rPr>
                <w:rFonts w:ascii="Gill Sans MT" w:hAnsi="Gill Sans MT"/>
                <w:sz w:val="18"/>
                <w:szCs w:val="18"/>
              </w:rPr>
            </w:pPr>
            <w:r w:rsidRPr="00E83DA2">
              <w:rPr>
                <w:rFonts w:ascii="Gill Sans MT" w:hAnsi="Gill Sans MT"/>
                <w:sz w:val="18"/>
                <w:szCs w:val="18"/>
              </w:rPr>
              <w:t>DIER project management/planning mechanisms ensure appropriate consultation</w:t>
            </w:r>
          </w:p>
        </w:tc>
      </w:tr>
    </w:tbl>
    <w:p w:rsidR="00756B53" w:rsidRPr="00E83DA2" w:rsidRDefault="00756B53" w:rsidP="00756B53">
      <w:pPr>
        <w:rPr>
          <w:rFonts w:ascii="Gill Sans MT" w:hAnsi="Gill Sans MT"/>
        </w:rPr>
      </w:pPr>
    </w:p>
    <w:bookmarkEnd w:id="4"/>
    <w:bookmarkEnd w:id="5"/>
    <w:p w:rsidR="00756B53" w:rsidRPr="00E83DA2" w:rsidRDefault="00756B53" w:rsidP="00756B53">
      <w:pPr>
        <w:pStyle w:val="ListParagraph"/>
        <w:numPr>
          <w:ilvl w:val="0"/>
          <w:numId w:val="86"/>
        </w:numPr>
        <w:spacing w:after="0" w:line="240" w:lineRule="auto"/>
        <w:ind w:left="176" w:hanging="184"/>
        <w:rPr>
          <w:rFonts w:ascii="Gill Sans MT" w:hAnsi="Gill Sans MT"/>
          <w:b/>
        </w:rPr>
        <w:sectPr w:rsidR="00756B53" w:rsidRPr="00E83DA2" w:rsidSect="00103702">
          <w:pgSz w:w="16838" w:h="11906" w:orient="landscape"/>
          <w:pgMar w:top="1440" w:right="1440" w:bottom="1440" w:left="1440" w:header="708" w:footer="708" w:gutter="0"/>
          <w:cols w:space="708"/>
          <w:docGrid w:linePitch="360"/>
        </w:sectPr>
      </w:pPr>
    </w:p>
    <w:p w:rsidR="00756B53" w:rsidRPr="00E83DA2" w:rsidRDefault="00756B53" w:rsidP="00756B53">
      <w:pPr>
        <w:rPr>
          <w:rStyle w:val="InstructionText"/>
          <w:szCs w:val="24"/>
        </w:rPr>
      </w:pPr>
      <w:r w:rsidRPr="00E83DA2">
        <w:rPr>
          <w:rStyle w:val="InstructionText"/>
          <w:szCs w:val="24"/>
        </w:rPr>
        <w:lastRenderedPageBreak/>
        <w:t>Tasmanian Infrastructure Strategy</w:t>
      </w:r>
    </w:p>
    <w:p w:rsidR="00756B53" w:rsidRPr="00E83DA2" w:rsidRDefault="00756B53" w:rsidP="00756B53">
      <w:pPr>
        <w:spacing w:after="0"/>
        <w:rPr>
          <w:rStyle w:val="InstructionText"/>
          <w:i w:val="0"/>
          <w:color w:val="000000"/>
        </w:rPr>
      </w:pPr>
      <w:r w:rsidRPr="00E83DA2">
        <w:rPr>
          <w:rFonts w:ascii="Gill Sans MT" w:hAnsi="Gill Sans MT"/>
        </w:rPr>
        <w:t xml:space="preserve">The </w:t>
      </w:r>
      <w:r w:rsidRPr="00E83DA2">
        <w:rPr>
          <w:rFonts w:ascii="Gill Sans MT" w:hAnsi="Gill Sans MT"/>
          <w:i/>
        </w:rPr>
        <w:t>Tasmanian Infrastructure Strategy</w:t>
      </w:r>
      <w:r w:rsidRPr="00E83DA2">
        <w:rPr>
          <w:rFonts w:ascii="Gill Sans MT" w:hAnsi="Gill Sans MT"/>
        </w:rPr>
        <w:t xml:space="preserve"> was released in 2010. It </w:t>
      </w:r>
      <w:r w:rsidRPr="00E83DA2">
        <w:rPr>
          <w:rStyle w:val="InstructionText"/>
          <w:color w:val="000000"/>
        </w:rPr>
        <w:t>coordinates Tasmania’s efforts across the major economic sectors of transport, water, energy and digital through the high-level focus areas of:</w:t>
      </w:r>
    </w:p>
    <w:p w:rsidR="00756B53" w:rsidRPr="00E83DA2" w:rsidRDefault="00756B53" w:rsidP="00756B53">
      <w:pPr>
        <w:keepLines/>
        <w:numPr>
          <w:ilvl w:val="0"/>
          <w:numId w:val="2"/>
        </w:numPr>
        <w:spacing w:after="100" w:afterAutospacing="1" w:line="240" w:lineRule="auto"/>
        <w:rPr>
          <w:rStyle w:val="InstructionText"/>
          <w:i w:val="0"/>
          <w:color w:val="000000"/>
        </w:rPr>
      </w:pPr>
      <w:r w:rsidRPr="00E83DA2">
        <w:rPr>
          <w:rStyle w:val="InstructionText"/>
          <w:color w:val="000000"/>
        </w:rPr>
        <w:t>Coordinated infrastructure planning;</w:t>
      </w:r>
    </w:p>
    <w:p w:rsidR="00756B53" w:rsidRPr="00E83DA2" w:rsidRDefault="00756B53" w:rsidP="00756B53">
      <w:pPr>
        <w:keepLines/>
        <w:numPr>
          <w:ilvl w:val="0"/>
          <w:numId w:val="2"/>
        </w:numPr>
        <w:spacing w:before="100" w:beforeAutospacing="1" w:after="100" w:afterAutospacing="1" w:line="240" w:lineRule="auto"/>
        <w:rPr>
          <w:rStyle w:val="InstructionText"/>
          <w:i w:val="0"/>
          <w:color w:val="000000"/>
        </w:rPr>
      </w:pPr>
      <w:r w:rsidRPr="00E83DA2">
        <w:rPr>
          <w:rStyle w:val="InstructionText"/>
          <w:color w:val="000000"/>
        </w:rPr>
        <w:t>Effective governance and decision making;</w:t>
      </w:r>
    </w:p>
    <w:p w:rsidR="00756B53" w:rsidRPr="00E83DA2" w:rsidRDefault="00756B53" w:rsidP="00756B53">
      <w:pPr>
        <w:keepLines/>
        <w:numPr>
          <w:ilvl w:val="0"/>
          <w:numId w:val="2"/>
        </w:numPr>
        <w:spacing w:before="100" w:beforeAutospacing="1" w:after="100" w:afterAutospacing="1" w:line="240" w:lineRule="auto"/>
        <w:rPr>
          <w:rStyle w:val="InstructionText"/>
          <w:i w:val="0"/>
          <w:color w:val="000000"/>
        </w:rPr>
      </w:pPr>
      <w:r w:rsidRPr="00E83DA2">
        <w:rPr>
          <w:rStyle w:val="InstructionText"/>
          <w:color w:val="000000"/>
        </w:rPr>
        <w:t>Viable and sustainable infrastructure;</w:t>
      </w:r>
    </w:p>
    <w:p w:rsidR="00756B53" w:rsidRPr="00E83DA2" w:rsidRDefault="00756B53" w:rsidP="00756B53">
      <w:pPr>
        <w:keepLines/>
        <w:numPr>
          <w:ilvl w:val="0"/>
          <w:numId w:val="2"/>
        </w:numPr>
        <w:spacing w:before="100" w:beforeAutospacing="1" w:after="100" w:afterAutospacing="1" w:line="240" w:lineRule="auto"/>
        <w:rPr>
          <w:rStyle w:val="InstructionText"/>
          <w:i w:val="0"/>
          <w:color w:val="000000"/>
        </w:rPr>
      </w:pPr>
      <w:r w:rsidRPr="00E83DA2">
        <w:rPr>
          <w:rStyle w:val="InstructionText"/>
          <w:color w:val="000000"/>
        </w:rPr>
        <w:t>Efficient infrastructure delivery; and</w:t>
      </w:r>
    </w:p>
    <w:p w:rsidR="00756B53" w:rsidRPr="00E83DA2" w:rsidRDefault="00756B53" w:rsidP="00756B53">
      <w:pPr>
        <w:keepLines/>
        <w:numPr>
          <w:ilvl w:val="0"/>
          <w:numId w:val="2"/>
        </w:numPr>
        <w:spacing w:before="100" w:beforeAutospacing="1" w:after="100" w:afterAutospacing="1" w:line="240" w:lineRule="auto"/>
        <w:rPr>
          <w:rStyle w:val="InstructionText"/>
          <w:i w:val="0"/>
          <w:color w:val="000000"/>
        </w:rPr>
      </w:pPr>
      <w:r w:rsidRPr="00E83DA2">
        <w:rPr>
          <w:rStyle w:val="InstructionText"/>
          <w:color w:val="000000"/>
        </w:rPr>
        <w:t>Leveraging our National advantage.</w:t>
      </w:r>
    </w:p>
    <w:p w:rsidR="00756B53" w:rsidRPr="00E83DA2" w:rsidRDefault="00756B53" w:rsidP="00756B53">
      <w:pPr>
        <w:rPr>
          <w:rFonts w:ascii="Gill Sans MT" w:hAnsi="Gill Sans MT"/>
        </w:rPr>
      </w:pPr>
      <w:r w:rsidRPr="00CA770D">
        <w:rPr>
          <w:rStyle w:val="InstructionText"/>
          <w:i w:val="0"/>
          <w:color w:val="000000"/>
        </w:rPr>
        <w:t>The</w:t>
      </w:r>
      <w:r w:rsidRPr="00E83DA2">
        <w:rPr>
          <w:rStyle w:val="InstructionText"/>
          <w:color w:val="000000"/>
        </w:rPr>
        <w:t xml:space="preserve"> Strategy </w:t>
      </w:r>
      <w:r w:rsidRPr="00CA770D">
        <w:rPr>
          <w:rStyle w:val="InstructionText"/>
          <w:i w:val="0"/>
          <w:color w:val="000000"/>
        </w:rPr>
        <w:t xml:space="preserve">focuses on areas to further enhance infrastructure provision in the State, including </w:t>
      </w:r>
      <w:r w:rsidRPr="00CA770D">
        <w:rPr>
          <w:rFonts w:ascii="Gill Sans MT" w:hAnsi="Gill Sans MT"/>
        </w:rPr>
        <w:t>a</w:t>
      </w:r>
      <w:r w:rsidRPr="00E83DA2">
        <w:rPr>
          <w:rFonts w:ascii="Gill Sans MT" w:hAnsi="Gill Sans MT"/>
        </w:rPr>
        <w:t xml:space="preserve"> vision, objectives and actions for the planning and delivery of transport infrastructure in the State. The actions are presented over three time horizons to guide future priorities and decision-making. </w:t>
      </w:r>
    </w:p>
    <w:p w:rsidR="00756B53" w:rsidRPr="00E83DA2" w:rsidRDefault="00756B53" w:rsidP="00756B53">
      <w:pPr>
        <w:rPr>
          <w:rFonts w:ascii="Gill Sans MT" w:hAnsi="Gill Sans MT"/>
        </w:rPr>
      </w:pPr>
      <w:r w:rsidRPr="00E83DA2">
        <w:rPr>
          <w:rFonts w:ascii="Gill Sans MT" w:hAnsi="Gill Sans MT"/>
        </w:rPr>
        <w:t xml:space="preserve">The key actions from the </w:t>
      </w:r>
      <w:r w:rsidRPr="00E83DA2">
        <w:rPr>
          <w:rFonts w:ascii="Gill Sans MT" w:hAnsi="Gill Sans MT"/>
          <w:i/>
        </w:rPr>
        <w:t>Tasmanian Infrastructure Strategy</w:t>
      </w:r>
      <w:r w:rsidRPr="00E83DA2">
        <w:rPr>
          <w:rFonts w:ascii="Gill Sans MT" w:hAnsi="Gill Sans MT"/>
        </w:rPr>
        <w:t xml:space="preserve"> relevant to the Northern Region transport system include:</w:t>
      </w:r>
    </w:p>
    <w:tbl>
      <w:tblPr>
        <w:tblStyle w:val="TableGrid"/>
        <w:tblW w:w="0" w:type="auto"/>
        <w:tblLook w:val="04A0"/>
      </w:tblPr>
      <w:tblGrid>
        <w:gridCol w:w="3093"/>
        <w:gridCol w:w="3125"/>
        <w:gridCol w:w="3024"/>
      </w:tblGrid>
      <w:tr w:rsidR="00472E28" w:rsidRPr="00E83DA2" w:rsidTr="008D2E39">
        <w:trPr>
          <w:trHeight w:val="445"/>
          <w:tblHeader/>
        </w:trPr>
        <w:tc>
          <w:tcPr>
            <w:tcW w:w="9242" w:type="dxa"/>
            <w:gridSpan w:val="3"/>
            <w:shd w:val="clear" w:color="auto" w:fill="4F81BD" w:themeFill="accent1"/>
            <w:vAlign w:val="center"/>
          </w:tcPr>
          <w:p w:rsidR="00472E28" w:rsidRPr="00E83DA2" w:rsidRDefault="00444FF8" w:rsidP="00472E28">
            <w:pPr>
              <w:rPr>
                <w:rFonts w:ascii="Gill Sans MT" w:hAnsi="Gill Sans MT"/>
                <w:b/>
                <w:i/>
                <w:sz w:val="18"/>
                <w:szCs w:val="18"/>
              </w:rPr>
            </w:pPr>
            <w:r>
              <w:rPr>
                <w:rFonts w:ascii="Gill Sans MT" w:hAnsi="Gill Sans MT"/>
                <w:b/>
                <w:i/>
                <w:sz w:val="18"/>
                <w:szCs w:val="18"/>
              </w:rPr>
              <w:t>Figure 3</w:t>
            </w:r>
            <w:r w:rsidR="00472E28" w:rsidRPr="00E83DA2">
              <w:rPr>
                <w:rFonts w:ascii="Gill Sans MT" w:hAnsi="Gill Sans MT"/>
                <w:b/>
                <w:sz w:val="18"/>
                <w:szCs w:val="18"/>
              </w:rPr>
              <w:t xml:space="preserve">. Key actions in Northern Region, </w:t>
            </w:r>
            <w:r w:rsidR="00472E28" w:rsidRPr="00E83DA2">
              <w:rPr>
                <w:rFonts w:ascii="Gill Sans MT" w:hAnsi="Gill Sans MT"/>
                <w:b/>
                <w:i/>
                <w:sz w:val="18"/>
                <w:szCs w:val="18"/>
              </w:rPr>
              <w:t>Tasmanian Infrastructure Strategy.</w:t>
            </w:r>
          </w:p>
        </w:tc>
      </w:tr>
      <w:tr w:rsidR="00756B53" w:rsidRPr="00E83DA2" w:rsidTr="008D2E39">
        <w:trPr>
          <w:tblHeader/>
        </w:trPr>
        <w:tc>
          <w:tcPr>
            <w:tcW w:w="3093" w:type="dxa"/>
            <w:shd w:val="clear" w:color="auto" w:fill="4F81BD" w:themeFill="accent1"/>
          </w:tcPr>
          <w:p w:rsidR="00756B53" w:rsidRPr="00E83DA2" w:rsidRDefault="00756B53" w:rsidP="008D2E39">
            <w:pPr>
              <w:rPr>
                <w:rFonts w:ascii="Gill Sans MT" w:hAnsi="Gill Sans MT"/>
                <w:b/>
                <w:sz w:val="18"/>
                <w:szCs w:val="18"/>
              </w:rPr>
            </w:pPr>
            <w:r w:rsidRPr="00E83DA2">
              <w:rPr>
                <w:rFonts w:ascii="Gill Sans MT" w:hAnsi="Gill Sans MT"/>
                <w:b/>
                <w:sz w:val="18"/>
                <w:szCs w:val="18"/>
              </w:rPr>
              <w:t>0-3 Years</w:t>
            </w:r>
          </w:p>
        </w:tc>
        <w:tc>
          <w:tcPr>
            <w:tcW w:w="3125" w:type="dxa"/>
            <w:shd w:val="clear" w:color="auto" w:fill="4F81BD" w:themeFill="accent1"/>
          </w:tcPr>
          <w:p w:rsidR="00756B53" w:rsidRPr="00E83DA2" w:rsidRDefault="00756B53" w:rsidP="008D2E39">
            <w:pPr>
              <w:rPr>
                <w:rFonts w:ascii="Gill Sans MT" w:hAnsi="Gill Sans MT"/>
                <w:b/>
                <w:sz w:val="18"/>
                <w:szCs w:val="18"/>
              </w:rPr>
            </w:pPr>
            <w:r w:rsidRPr="00E83DA2">
              <w:rPr>
                <w:rFonts w:ascii="Gill Sans MT" w:hAnsi="Gill Sans MT"/>
                <w:b/>
                <w:sz w:val="18"/>
                <w:szCs w:val="18"/>
              </w:rPr>
              <w:t>3-5 Years</w:t>
            </w:r>
          </w:p>
        </w:tc>
        <w:tc>
          <w:tcPr>
            <w:tcW w:w="3024" w:type="dxa"/>
            <w:shd w:val="clear" w:color="auto" w:fill="4F81BD" w:themeFill="accent1"/>
          </w:tcPr>
          <w:p w:rsidR="00756B53" w:rsidRPr="00E83DA2" w:rsidRDefault="00756B53" w:rsidP="008D2E39">
            <w:pPr>
              <w:rPr>
                <w:rFonts w:ascii="Gill Sans MT" w:hAnsi="Gill Sans MT"/>
                <w:b/>
                <w:sz w:val="18"/>
                <w:szCs w:val="18"/>
              </w:rPr>
            </w:pPr>
            <w:r w:rsidRPr="00E83DA2">
              <w:rPr>
                <w:rFonts w:ascii="Gill Sans MT" w:hAnsi="Gill Sans MT"/>
                <w:b/>
                <w:sz w:val="18"/>
                <w:szCs w:val="18"/>
              </w:rPr>
              <w:t>5-10 Years</w:t>
            </w:r>
          </w:p>
        </w:tc>
      </w:tr>
      <w:tr w:rsidR="00756B53" w:rsidRPr="00E83DA2" w:rsidTr="008D2E39">
        <w:tc>
          <w:tcPr>
            <w:tcW w:w="3093" w:type="dxa"/>
          </w:tcPr>
          <w:p w:rsidR="00756B53" w:rsidRPr="00E83DA2" w:rsidRDefault="00756B53" w:rsidP="008D2E39">
            <w:pPr>
              <w:pStyle w:val="ListParagraph"/>
              <w:numPr>
                <w:ilvl w:val="0"/>
                <w:numId w:val="63"/>
              </w:numPr>
              <w:rPr>
                <w:rFonts w:ascii="Gill Sans MT" w:hAnsi="Gill Sans MT"/>
                <w:sz w:val="18"/>
                <w:szCs w:val="18"/>
              </w:rPr>
            </w:pPr>
            <w:r w:rsidRPr="00E83DA2">
              <w:rPr>
                <w:rFonts w:ascii="Gill Sans MT" w:hAnsi="Gill Sans MT"/>
                <w:sz w:val="18"/>
                <w:szCs w:val="18"/>
              </w:rPr>
              <w:t>Review the Northern Integrated Transport Plan</w:t>
            </w:r>
          </w:p>
          <w:p w:rsidR="00756B53" w:rsidRPr="00E83DA2" w:rsidRDefault="00756B53" w:rsidP="008D2E39">
            <w:pPr>
              <w:pStyle w:val="ListParagraph"/>
              <w:numPr>
                <w:ilvl w:val="0"/>
                <w:numId w:val="63"/>
              </w:numPr>
              <w:rPr>
                <w:rFonts w:ascii="Gill Sans MT" w:hAnsi="Gill Sans MT"/>
                <w:sz w:val="18"/>
                <w:szCs w:val="18"/>
              </w:rPr>
            </w:pPr>
            <w:r w:rsidRPr="00E83DA2">
              <w:rPr>
                <w:rFonts w:ascii="Gill Sans MT" w:hAnsi="Gill Sans MT"/>
                <w:sz w:val="18"/>
                <w:szCs w:val="18"/>
              </w:rPr>
              <w:t>Develop Intelligent Transport System (ITS) strategy</w:t>
            </w:r>
          </w:p>
          <w:p w:rsidR="00756B53" w:rsidRPr="00E83DA2" w:rsidRDefault="00756B53" w:rsidP="008D2E39">
            <w:pPr>
              <w:pStyle w:val="ListParagraph"/>
              <w:numPr>
                <w:ilvl w:val="0"/>
                <w:numId w:val="63"/>
              </w:numPr>
              <w:rPr>
                <w:rFonts w:ascii="Gill Sans MT" w:hAnsi="Gill Sans MT"/>
                <w:sz w:val="18"/>
                <w:szCs w:val="18"/>
              </w:rPr>
            </w:pPr>
            <w:r w:rsidRPr="00E83DA2">
              <w:rPr>
                <w:rFonts w:ascii="Gill Sans MT" w:hAnsi="Gill Sans MT"/>
                <w:sz w:val="18"/>
                <w:szCs w:val="18"/>
              </w:rPr>
              <w:t>Midland Highway safety upgrades</w:t>
            </w:r>
          </w:p>
          <w:p w:rsidR="00756B53" w:rsidRPr="00E83DA2" w:rsidRDefault="00756B53" w:rsidP="008D2E39">
            <w:pPr>
              <w:pStyle w:val="ListParagraph"/>
              <w:numPr>
                <w:ilvl w:val="0"/>
                <w:numId w:val="63"/>
              </w:numPr>
              <w:rPr>
                <w:rFonts w:ascii="Gill Sans MT" w:hAnsi="Gill Sans MT"/>
                <w:sz w:val="18"/>
                <w:szCs w:val="18"/>
              </w:rPr>
            </w:pPr>
            <w:r w:rsidRPr="00E83DA2">
              <w:rPr>
                <w:rFonts w:ascii="Gill Sans MT" w:hAnsi="Gill Sans MT"/>
                <w:sz w:val="18"/>
                <w:szCs w:val="18"/>
              </w:rPr>
              <w:t>New cycleway projects</w:t>
            </w:r>
          </w:p>
          <w:p w:rsidR="00756B53" w:rsidRPr="00E83DA2" w:rsidRDefault="00756B53" w:rsidP="008D2E39">
            <w:pPr>
              <w:pStyle w:val="ListParagraph"/>
              <w:numPr>
                <w:ilvl w:val="0"/>
                <w:numId w:val="63"/>
              </w:numPr>
              <w:rPr>
                <w:rFonts w:ascii="Gill Sans MT" w:hAnsi="Gill Sans MT"/>
                <w:sz w:val="18"/>
                <w:szCs w:val="18"/>
              </w:rPr>
            </w:pPr>
            <w:r w:rsidRPr="00E83DA2">
              <w:rPr>
                <w:rFonts w:ascii="Gill Sans MT" w:hAnsi="Gill Sans MT"/>
                <w:sz w:val="18"/>
                <w:szCs w:val="18"/>
              </w:rPr>
              <w:t>Community Road Projects</w:t>
            </w:r>
          </w:p>
          <w:p w:rsidR="00756B53" w:rsidRPr="00E83DA2" w:rsidRDefault="00756B53" w:rsidP="008D2E39">
            <w:pPr>
              <w:pStyle w:val="ListParagraph"/>
              <w:numPr>
                <w:ilvl w:val="0"/>
                <w:numId w:val="63"/>
              </w:numPr>
              <w:rPr>
                <w:rFonts w:ascii="Gill Sans MT" w:hAnsi="Gill Sans MT"/>
                <w:sz w:val="18"/>
                <w:szCs w:val="18"/>
              </w:rPr>
            </w:pPr>
            <w:r w:rsidRPr="00E83DA2">
              <w:rPr>
                <w:rFonts w:ascii="Gill Sans MT" w:hAnsi="Gill Sans MT"/>
                <w:sz w:val="18"/>
                <w:szCs w:val="18"/>
              </w:rPr>
              <w:t>Tasmanian Freight Strategy</w:t>
            </w:r>
          </w:p>
          <w:p w:rsidR="00756B53" w:rsidRPr="00E83DA2" w:rsidRDefault="00756B53" w:rsidP="008D2E39">
            <w:pPr>
              <w:pStyle w:val="ListParagraph"/>
              <w:numPr>
                <w:ilvl w:val="0"/>
                <w:numId w:val="63"/>
              </w:numPr>
              <w:rPr>
                <w:rFonts w:ascii="Gill Sans MT" w:hAnsi="Gill Sans MT"/>
                <w:sz w:val="18"/>
                <w:szCs w:val="18"/>
              </w:rPr>
            </w:pPr>
            <w:r w:rsidRPr="00E83DA2">
              <w:rPr>
                <w:rFonts w:ascii="Gill Sans MT" w:hAnsi="Gill Sans MT"/>
                <w:sz w:val="18"/>
                <w:szCs w:val="18"/>
              </w:rPr>
              <w:t>Assess priorities for upgrades to Bass Highway between Deloraine &amp; East Devonport</w:t>
            </w:r>
          </w:p>
          <w:p w:rsidR="00756B53" w:rsidRPr="00E83DA2" w:rsidRDefault="00756B53" w:rsidP="008D2E39">
            <w:pPr>
              <w:pStyle w:val="ListParagraph"/>
              <w:numPr>
                <w:ilvl w:val="0"/>
                <w:numId w:val="63"/>
              </w:numPr>
              <w:rPr>
                <w:rFonts w:ascii="Gill Sans MT" w:hAnsi="Gill Sans MT"/>
                <w:sz w:val="18"/>
                <w:szCs w:val="18"/>
              </w:rPr>
            </w:pPr>
            <w:r w:rsidRPr="00E83DA2">
              <w:rPr>
                <w:rFonts w:ascii="Gill Sans MT" w:hAnsi="Gill Sans MT"/>
                <w:sz w:val="18"/>
                <w:szCs w:val="18"/>
              </w:rPr>
              <w:t>West Tamar Highway Strategy</w:t>
            </w:r>
          </w:p>
          <w:p w:rsidR="00756B53" w:rsidRPr="00E83DA2" w:rsidRDefault="00756B53" w:rsidP="008D2E39">
            <w:pPr>
              <w:pStyle w:val="ListParagraph"/>
              <w:numPr>
                <w:ilvl w:val="0"/>
                <w:numId w:val="63"/>
              </w:numPr>
              <w:rPr>
                <w:rFonts w:ascii="Gill Sans MT" w:hAnsi="Gill Sans MT"/>
                <w:sz w:val="18"/>
                <w:szCs w:val="18"/>
              </w:rPr>
            </w:pPr>
            <w:r w:rsidRPr="00E83DA2">
              <w:rPr>
                <w:rFonts w:ascii="Gill Sans MT" w:hAnsi="Gill Sans MT"/>
                <w:sz w:val="18"/>
                <w:szCs w:val="18"/>
              </w:rPr>
              <w:t>Bell Bay port rail realignment</w:t>
            </w:r>
          </w:p>
          <w:p w:rsidR="00756B53" w:rsidRPr="00E83DA2" w:rsidRDefault="00756B53" w:rsidP="008D2E39">
            <w:pPr>
              <w:pStyle w:val="ListParagraph"/>
              <w:numPr>
                <w:ilvl w:val="0"/>
                <w:numId w:val="63"/>
              </w:numPr>
              <w:rPr>
                <w:rFonts w:ascii="Gill Sans MT" w:hAnsi="Gill Sans MT"/>
                <w:sz w:val="18"/>
                <w:szCs w:val="18"/>
              </w:rPr>
            </w:pPr>
            <w:r w:rsidRPr="00E83DA2">
              <w:rPr>
                <w:rFonts w:ascii="Gill Sans MT" w:hAnsi="Gill Sans MT"/>
                <w:sz w:val="18"/>
                <w:szCs w:val="18"/>
              </w:rPr>
              <w:t>Upgrade Key Northern Freight Routes</w:t>
            </w:r>
          </w:p>
          <w:p w:rsidR="00756B53" w:rsidRPr="00E83DA2" w:rsidRDefault="00756B53" w:rsidP="008D2E39">
            <w:pPr>
              <w:pStyle w:val="ListParagraph"/>
              <w:numPr>
                <w:ilvl w:val="0"/>
                <w:numId w:val="63"/>
              </w:numPr>
              <w:rPr>
                <w:rFonts w:ascii="Gill Sans MT" w:hAnsi="Gill Sans MT"/>
                <w:sz w:val="18"/>
                <w:szCs w:val="18"/>
              </w:rPr>
            </w:pPr>
            <w:r w:rsidRPr="00E83DA2">
              <w:rPr>
                <w:rFonts w:ascii="Gill Sans MT" w:hAnsi="Gill Sans MT"/>
                <w:sz w:val="18"/>
                <w:szCs w:val="18"/>
              </w:rPr>
              <w:t>Rail upgrades – North-South Line</w:t>
            </w:r>
          </w:p>
          <w:p w:rsidR="00756B53" w:rsidRPr="00E83DA2" w:rsidRDefault="00756B53" w:rsidP="008D2E39">
            <w:pPr>
              <w:rPr>
                <w:rFonts w:ascii="Gill Sans MT" w:hAnsi="Gill Sans MT"/>
                <w:sz w:val="18"/>
                <w:szCs w:val="18"/>
              </w:rPr>
            </w:pPr>
          </w:p>
        </w:tc>
        <w:tc>
          <w:tcPr>
            <w:tcW w:w="3125" w:type="dxa"/>
          </w:tcPr>
          <w:p w:rsidR="00756B53" w:rsidRPr="00E83DA2" w:rsidRDefault="00756B53" w:rsidP="008D2E39">
            <w:pPr>
              <w:pStyle w:val="ListParagraph"/>
              <w:numPr>
                <w:ilvl w:val="0"/>
                <w:numId w:val="64"/>
              </w:numPr>
              <w:rPr>
                <w:rFonts w:ascii="Gill Sans MT" w:hAnsi="Gill Sans MT"/>
                <w:sz w:val="18"/>
                <w:szCs w:val="18"/>
              </w:rPr>
            </w:pPr>
            <w:r w:rsidRPr="00E83DA2">
              <w:rPr>
                <w:rFonts w:ascii="Gill Sans MT" w:hAnsi="Gill Sans MT"/>
                <w:sz w:val="18"/>
                <w:szCs w:val="18"/>
              </w:rPr>
              <w:t>Continue Midland Highway upgrades</w:t>
            </w:r>
          </w:p>
          <w:p w:rsidR="00756B53" w:rsidRPr="00E83DA2" w:rsidRDefault="00756B53" w:rsidP="008D2E39">
            <w:pPr>
              <w:pStyle w:val="ListParagraph"/>
              <w:numPr>
                <w:ilvl w:val="0"/>
                <w:numId w:val="64"/>
              </w:numPr>
              <w:rPr>
                <w:rFonts w:ascii="Gill Sans MT" w:hAnsi="Gill Sans MT"/>
                <w:sz w:val="18"/>
                <w:szCs w:val="18"/>
              </w:rPr>
            </w:pPr>
            <w:r w:rsidRPr="00E83DA2">
              <w:rPr>
                <w:rFonts w:ascii="Gill Sans MT" w:hAnsi="Gill Sans MT"/>
                <w:sz w:val="18"/>
                <w:szCs w:val="18"/>
              </w:rPr>
              <w:t>Continue upgrading Key Northern Freight Routes</w:t>
            </w:r>
          </w:p>
          <w:p w:rsidR="00756B53" w:rsidRPr="00E83DA2" w:rsidRDefault="00756B53" w:rsidP="008D2E39">
            <w:pPr>
              <w:pStyle w:val="ListParagraph"/>
              <w:numPr>
                <w:ilvl w:val="0"/>
                <w:numId w:val="64"/>
              </w:numPr>
              <w:rPr>
                <w:rFonts w:ascii="Gill Sans MT" w:hAnsi="Gill Sans MT"/>
                <w:sz w:val="18"/>
                <w:szCs w:val="18"/>
              </w:rPr>
            </w:pPr>
            <w:r w:rsidRPr="00E83DA2">
              <w:rPr>
                <w:rFonts w:ascii="Gill Sans MT" w:hAnsi="Gill Sans MT"/>
                <w:sz w:val="18"/>
                <w:szCs w:val="18"/>
              </w:rPr>
              <w:t>Assess and upgrade Batman/East Frankford/Birralee Freight Corridor</w:t>
            </w:r>
          </w:p>
          <w:p w:rsidR="00756B53" w:rsidRPr="00E83DA2" w:rsidRDefault="00756B53" w:rsidP="008D2E39">
            <w:pPr>
              <w:pStyle w:val="ListParagraph"/>
              <w:numPr>
                <w:ilvl w:val="0"/>
                <w:numId w:val="64"/>
              </w:numPr>
              <w:rPr>
                <w:rFonts w:ascii="Gill Sans MT" w:hAnsi="Gill Sans MT"/>
                <w:sz w:val="18"/>
                <w:szCs w:val="18"/>
              </w:rPr>
            </w:pPr>
            <w:r w:rsidRPr="00E83DA2">
              <w:rPr>
                <w:rFonts w:ascii="Gill Sans MT" w:hAnsi="Gill Sans MT"/>
                <w:sz w:val="18"/>
                <w:szCs w:val="18"/>
              </w:rPr>
              <w:t>Commence upgrades to Bass Highway between Deloraine &amp; East Devonport</w:t>
            </w:r>
          </w:p>
          <w:p w:rsidR="00756B53" w:rsidRPr="00E83DA2" w:rsidRDefault="00756B53" w:rsidP="008D2E39">
            <w:pPr>
              <w:pStyle w:val="ListParagraph"/>
              <w:numPr>
                <w:ilvl w:val="0"/>
                <w:numId w:val="64"/>
              </w:numPr>
              <w:rPr>
                <w:rFonts w:ascii="Gill Sans MT" w:hAnsi="Gill Sans MT"/>
                <w:sz w:val="18"/>
                <w:szCs w:val="18"/>
              </w:rPr>
            </w:pPr>
            <w:r w:rsidRPr="00E83DA2">
              <w:rPr>
                <w:rFonts w:ascii="Gill Sans MT" w:hAnsi="Gill Sans MT"/>
                <w:sz w:val="18"/>
                <w:szCs w:val="18"/>
              </w:rPr>
              <w:t>Bell Bay Intermodal Expansion (subject to Federal funding)</w:t>
            </w:r>
          </w:p>
          <w:p w:rsidR="00756B53" w:rsidRPr="00E83DA2" w:rsidRDefault="00756B53" w:rsidP="008D2E39">
            <w:pPr>
              <w:rPr>
                <w:rFonts w:ascii="Gill Sans MT" w:hAnsi="Gill Sans MT"/>
                <w:sz w:val="18"/>
                <w:szCs w:val="18"/>
              </w:rPr>
            </w:pPr>
          </w:p>
        </w:tc>
        <w:tc>
          <w:tcPr>
            <w:tcW w:w="3024" w:type="dxa"/>
          </w:tcPr>
          <w:p w:rsidR="00756B53" w:rsidRPr="00E83DA2" w:rsidRDefault="00756B53" w:rsidP="008D2E39">
            <w:pPr>
              <w:pStyle w:val="ListParagraph"/>
              <w:numPr>
                <w:ilvl w:val="0"/>
                <w:numId w:val="7"/>
              </w:numPr>
              <w:rPr>
                <w:rFonts w:ascii="Gill Sans MT" w:hAnsi="Gill Sans MT"/>
                <w:sz w:val="18"/>
                <w:szCs w:val="18"/>
              </w:rPr>
            </w:pPr>
            <w:r w:rsidRPr="00E83DA2">
              <w:rPr>
                <w:rFonts w:ascii="Gill Sans MT" w:hAnsi="Gill Sans MT"/>
                <w:sz w:val="18"/>
                <w:szCs w:val="18"/>
              </w:rPr>
              <w:t>ITS applications to improve traffic flow and safety</w:t>
            </w:r>
          </w:p>
        </w:tc>
      </w:tr>
    </w:tbl>
    <w:p w:rsidR="00756B53" w:rsidRPr="00E83DA2" w:rsidRDefault="00756B53" w:rsidP="00756B53">
      <w:pPr>
        <w:rPr>
          <w:rFonts w:ascii="Gill Sans MT" w:hAnsi="Gill Sans MT"/>
          <w:b/>
        </w:rPr>
      </w:pPr>
    </w:p>
    <w:p w:rsidR="00756B53" w:rsidRPr="00E83DA2" w:rsidRDefault="00756B53" w:rsidP="00756B53">
      <w:pPr>
        <w:rPr>
          <w:rStyle w:val="InstructionText"/>
          <w:szCs w:val="24"/>
        </w:rPr>
      </w:pPr>
      <w:r w:rsidRPr="00E83DA2">
        <w:rPr>
          <w:rStyle w:val="InstructionText"/>
          <w:szCs w:val="24"/>
        </w:rPr>
        <w:t>Tasmanian Transport Policy</w:t>
      </w:r>
    </w:p>
    <w:p w:rsidR="00756B53" w:rsidRPr="00E83DA2" w:rsidRDefault="00756B53" w:rsidP="00756B53">
      <w:pPr>
        <w:rPr>
          <w:rFonts w:ascii="Gill Sans MT" w:hAnsi="Gill Sans MT"/>
          <w:lang w:eastAsia="en-AU"/>
        </w:rPr>
      </w:pPr>
      <w:r w:rsidRPr="00E83DA2">
        <w:rPr>
          <w:rFonts w:ascii="Gill Sans MT" w:hAnsi="Gill Sans MT"/>
          <w:lang w:eastAsia="en-AU"/>
        </w:rPr>
        <w:t>The Department is developing an integrated transport policy for Tasmania, outlining the Government’s vision, high level objectives, policy principles and priorities for Tasmania’s transport system.</w:t>
      </w:r>
    </w:p>
    <w:p w:rsidR="00756B53" w:rsidRPr="00E83DA2" w:rsidRDefault="00756B53" w:rsidP="00756B53">
      <w:pPr>
        <w:rPr>
          <w:rFonts w:ascii="Gill Sans MT" w:hAnsi="Gill Sans MT"/>
          <w:lang w:eastAsia="en-AU"/>
        </w:rPr>
      </w:pPr>
      <w:bookmarkStart w:id="12" w:name="Start"/>
      <w:bookmarkEnd w:id="12"/>
      <w:r w:rsidRPr="00E83DA2">
        <w:rPr>
          <w:rFonts w:ascii="Gill Sans MT" w:hAnsi="Gill Sans MT"/>
          <w:lang w:eastAsia="en-AU"/>
        </w:rPr>
        <w:t xml:space="preserve">An integrated transport policy will provide a framework to guide transport decision makers and improve coordination, efficiency and consistency of planning and </w:t>
      </w:r>
      <w:r w:rsidRPr="00E83DA2">
        <w:rPr>
          <w:rFonts w:ascii="Gill Sans MT" w:hAnsi="Gill Sans MT"/>
          <w:lang w:eastAsia="en-AU"/>
        </w:rPr>
        <w:lastRenderedPageBreak/>
        <w:t>delivery across all transport modes, delivering improved outcomes for Tasmania’s transport system.</w:t>
      </w:r>
    </w:p>
    <w:p w:rsidR="00756B53" w:rsidRPr="00E83DA2" w:rsidRDefault="00756B53" w:rsidP="00756B53">
      <w:pPr>
        <w:spacing w:after="240"/>
        <w:rPr>
          <w:rFonts w:ascii="Gill Sans MT" w:hAnsi="Gill Sans MT"/>
          <w:lang w:eastAsia="en-AU"/>
        </w:rPr>
      </w:pPr>
      <w:r w:rsidRPr="00E83DA2">
        <w:rPr>
          <w:rFonts w:ascii="Gill Sans MT" w:hAnsi="Gill Sans MT"/>
          <w:lang w:eastAsia="en-AU"/>
        </w:rPr>
        <w:t>It is anticipated the Policy will:</w:t>
      </w:r>
    </w:p>
    <w:p w:rsidR="00756B53" w:rsidRPr="00E83DA2" w:rsidRDefault="00756B53" w:rsidP="00756B53">
      <w:pPr>
        <w:pStyle w:val="ListParagraph"/>
        <w:numPr>
          <w:ilvl w:val="0"/>
          <w:numId w:val="90"/>
        </w:numPr>
        <w:spacing w:after="0"/>
        <w:contextualSpacing w:val="0"/>
        <w:rPr>
          <w:rFonts w:ascii="Gill Sans MT" w:hAnsi="Gill Sans MT"/>
        </w:rPr>
      </w:pPr>
      <w:r w:rsidRPr="00E83DA2">
        <w:rPr>
          <w:rFonts w:ascii="Gill Sans MT" w:hAnsi="Gill Sans MT"/>
        </w:rPr>
        <w:t>Better align transport system objectives both within the transport portfolio and across other key Government Agencies under a single high-level ‘umbrella’ policy;</w:t>
      </w:r>
    </w:p>
    <w:p w:rsidR="00756B53" w:rsidRPr="00E83DA2" w:rsidRDefault="00756B53" w:rsidP="00756B53">
      <w:pPr>
        <w:pStyle w:val="ListParagraph"/>
        <w:numPr>
          <w:ilvl w:val="0"/>
          <w:numId w:val="90"/>
        </w:numPr>
        <w:spacing w:after="0"/>
        <w:contextualSpacing w:val="0"/>
        <w:rPr>
          <w:rFonts w:ascii="Gill Sans MT" w:hAnsi="Gill Sans MT"/>
        </w:rPr>
      </w:pPr>
      <w:r w:rsidRPr="00E83DA2">
        <w:rPr>
          <w:rFonts w:ascii="Gill Sans MT" w:hAnsi="Gill Sans MT"/>
        </w:rPr>
        <w:t xml:space="preserve">Act as a ‘roadmap’ for current and emerging transport policy priorities so that it is clear how the various strategies, actions and programs contribute to the Government’s broader strategic transport objectives; </w:t>
      </w:r>
    </w:p>
    <w:p w:rsidR="00756B53" w:rsidRPr="00E83DA2" w:rsidRDefault="00756B53" w:rsidP="00756B53">
      <w:pPr>
        <w:pStyle w:val="ListParagraph"/>
        <w:numPr>
          <w:ilvl w:val="0"/>
          <w:numId w:val="90"/>
        </w:numPr>
        <w:spacing w:after="0"/>
        <w:contextualSpacing w:val="0"/>
        <w:rPr>
          <w:rFonts w:ascii="Gill Sans MT" w:hAnsi="Gill Sans MT"/>
        </w:rPr>
      </w:pPr>
      <w:r w:rsidRPr="00E83DA2">
        <w:rPr>
          <w:rFonts w:ascii="Gill Sans MT" w:hAnsi="Gill Sans MT"/>
        </w:rPr>
        <w:t>Identify strategic transport policy gaps or inconsistencies at the system-wide level and outline priority actions to address these; and</w:t>
      </w:r>
    </w:p>
    <w:p w:rsidR="00756B53" w:rsidRPr="00E83DA2" w:rsidRDefault="00756B53" w:rsidP="00756B53">
      <w:pPr>
        <w:pStyle w:val="ListParagraph"/>
        <w:numPr>
          <w:ilvl w:val="0"/>
          <w:numId w:val="90"/>
        </w:numPr>
        <w:spacing w:after="0"/>
        <w:contextualSpacing w:val="0"/>
        <w:rPr>
          <w:rFonts w:ascii="Gill Sans MT" w:hAnsi="Gill Sans MT"/>
        </w:rPr>
      </w:pPr>
      <w:r w:rsidRPr="00E83DA2">
        <w:rPr>
          <w:rFonts w:ascii="Gill Sans MT" w:hAnsi="Gill Sans MT"/>
        </w:rPr>
        <w:t>Set out an implementation plan for embedding the vision, objectives and principles in decision-making to improve the coordination and consistency of transport outcomes.</w:t>
      </w:r>
    </w:p>
    <w:p w:rsidR="00756B53" w:rsidRPr="00E83DA2" w:rsidRDefault="00756B53" w:rsidP="00756B53">
      <w:pPr>
        <w:rPr>
          <w:rFonts w:ascii="Gill Sans MT" w:hAnsi="Gill Sans MT"/>
          <w:b/>
        </w:rPr>
      </w:pPr>
    </w:p>
    <w:p w:rsidR="00756B53" w:rsidRPr="00E83DA2" w:rsidRDefault="00756B53" w:rsidP="00756B53">
      <w:pPr>
        <w:rPr>
          <w:rStyle w:val="InstructionText"/>
          <w:szCs w:val="24"/>
        </w:rPr>
      </w:pPr>
      <w:r w:rsidRPr="00E83DA2">
        <w:rPr>
          <w:rStyle w:val="InstructionText"/>
          <w:szCs w:val="24"/>
        </w:rPr>
        <w:t>Tasmanian Freight Strategy</w:t>
      </w:r>
    </w:p>
    <w:p w:rsidR="00756B53" w:rsidRPr="00E83DA2" w:rsidRDefault="00756B53" w:rsidP="00756B53">
      <w:pPr>
        <w:rPr>
          <w:rFonts w:ascii="Gill Sans MT" w:hAnsi="Gill Sans MT"/>
        </w:rPr>
      </w:pPr>
      <w:r w:rsidRPr="00E83DA2">
        <w:rPr>
          <w:rFonts w:ascii="Gill Sans MT" w:hAnsi="Gill Sans MT"/>
        </w:rPr>
        <w:t xml:space="preserve">DIER is developing a </w:t>
      </w:r>
      <w:r w:rsidRPr="00E83DA2">
        <w:rPr>
          <w:rFonts w:ascii="Gill Sans MT" w:hAnsi="Gill Sans MT"/>
          <w:i/>
        </w:rPr>
        <w:t>Tasmania</w:t>
      </w:r>
      <w:r w:rsidR="00CA770D">
        <w:rPr>
          <w:rFonts w:ascii="Gill Sans MT" w:hAnsi="Gill Sans MT"/>
          <w:i/>
        </w:rPr>
        <w:t>n</w:t>
      </w:r>
      <w:r w:rsidRPr="00E83DA2">
        <w:rPr>
          <w:rFonts w:ascii="Gill Sans MT" w:hAnsi="Gill Sans MT"/>
          <w:i/>
        </w:rPr>
        <w:t xml:space="preserve"> Freight Strategy</w:t>
      </w:r>
      <w:r w:rsidRPr="00E83DA2">
        <w:rPr>
          <w:rFonts w:ascii="Gill Sans MT" w:hAnsi="Gill Sans MT"/>
        </w:rPr>
        <w:t xml:space="preserve">, providing a framework to plan and manage the strategic freight system over the long term. </w:t>
      </w:r>
    </w:p>
    <w:p w:rsidR="00756B53" w:rsidRPr="00E83DA2" w:rsidRDefault="00756B53" w:rsidP="00756B53">
      <w:pPr>
        <w:rPr>
          <w:rFonts w:ascii="Gill Sans MT" w:hAnsi="Gill Sans MT"/>
          <w:lang w:val="en-US"/>
        </w:rPr>
      </w:pPr>
      <w:r w:rsidRPr="00E83DA2">
        <w:rPr>
          <w:rFonts w:ascii="Gill Sans MT" w:hAnsi="Gill Sans MT" w:cs="Arial"/>
        </w:rPr>
        <w:t>A key driver of economic growth in Tasmania is the</w:t>
      </w:r>
      <w:r w:rsidRPr="00E83DA2">
        <w:rPr>
          <w:rFonts w:ascii="Gill Sans MT" w:hAnsi="Gill Sans MT" w:cs="Arial"/>
          <w:i/>
        </w:rPr>
        <w:t xml:space="preserve"> </w:t>
      </w:r>
      <w:r w:rsidRPr="00E83DA2">
        <w:rPr>
          <w:rFonts w:ascii="Gill Sans MT" w:hAnsi="Gill Sans MT" w:cs="Arial"/>
        </w:rPr>
        <w:t>ability to move freight efficiently, both within the state and to interstate and international markets. Toward addressing Tasmania’s</w:t>
      </w:r>
      <w:r w:rsidRPr="00E83DA2">
        <w:rPr>
          <w:rFonts w:ascii="Gill Sans MT" w:hAnsi="Gill Sans MT" w:cs="Arial"/>
          <w:i/>
        </w:rPr>
        <w:t xml:space="preserve"> </w:t>
      </w:r>
      <w:r w:rsidRPr="00E83DA2">
        <w:rPr>
          <w:rFonts w:ascii="Gill Sans MT" w:hAnsi="Gill Sans MT" w:cs="Arial"/>
        </w:rPr>
        <w:t>future freight task,</w:t>
      </w:r>
      <w:r w:rsidRPr="00E83DA2">
        <w:rPr>
          <w:rFonts w:ascii="Gill Sans MT" w:hAnsi="Gill Sans MT" w:cs="Arial"/>
          <w:i/>
        </w:rPr>
        <w:t xml:space="preserve"> </w:t>
      </w:r>
      <w:r w:rsidRPr="00E83DA2">
        <w:rPr>
          <w:rFonts w:ascii="Gill Sans MT" w:hAnsi="Gill Sans MT" w:cs="Arial"/>
        </w:rPr>
        <w:t xml:space="preserve">DIER is currently developing the Tasmanian Freight Strategy, which aims to achieve integrated, efficient and safe movement of freight and </w:t>
      </w:r>
      <w:r w:rsidRPr="00E83DA2">
        <w:rPr>
          <w:rFonts w:ascii="Gill Sans MT" w:hAnsi="Gill Sans MT"/>
        </w:rPr>
        <w:t xml:space="preserve">provide a </w:t>
      </w:r>
      <w:r w:rsidRPr="00E83DA2">
        <w:rPr>
          <w:rFonts w:ascii="Gill Sans MT" w:hAnsi="Gill Sans MT"/>
          <w:lang w:val="en-US"/>
        </w:rPr>
        <w:t xml:space="preserve">clear direction on the future freight transport system, including ports, road and rail. </w:t>
      </w:r>
    </w:p>
    <w:p w:rsidR="00756B53" w:rsidRPr="00E83DA2" w:rsidRDefault="00756B53" w:rsidP="00756B53">
      <w:pPr>
        <w:rPr>
          <w:rFonts w:ascii="Gill Sans MT" w:hAnsi="Gill Sans MT"/>
        </w:rPr>
      </w:pPr>
      <w:r w:rsidRPr="00E83DA2">
        <w:rPr>
          <w:rFonts w:ascii="Gill Sans MT" w:hAnsi="Gill Sans MT"/>
        </w:rPr>
        <w:t xml:space="preserve">The Strategy will detail the current freight task and future growth at the state and regional levels.  From analysis of the freight task, and the current freight system, the Strategy will set out a system-wide vision, with key objectives, actions and priorities, to address both current and emerging issues. </w:t>
      </w:r>
    </w:p>
    <w:p w:rsidR="00756B53" w:rsidRPr="00E83DA2" w:rsidRDefault="00756B53" w:rsidP="00756B53">
      <w:pPr>
        <w:rPr>
          <w:rFonts w:ascii="Gill Sans MT" w:hAnsi="Gill Sans MT"/>
          <w:b/>
        </w:rPr>
      </w:pPr>
    </w:p>
    <w:p w:rsidR="00756B53" w:rsidRPr="00E83DA2" w:rsidRDefault="00756B53" w:rsidP="00756B53">
      <w:pPr>
        <w:rPr>
          <w:rStyle w:val="InstructionText"/>
          <w:szCs w:val="24"/>
        </w:rPr>
      </w:pPr>
      <w:r w:rsidRPr="00E83DA2">
        <w:rPr>
          <w:rStyle w:val="InstructionText"/>
          <w:szCs w:val="24"/>
        </w:rPr>
        <w:t>Tasmanian Urban Passenger Transport Framework</w:t>
      </w:r>
    </w:p>
    <w:p w:rsidR="00756B53" w:rsidRPr="00E83DA2" w:rsidRDefault="00756B53" w:rsidP="00756B53">
      <w:pPr>
        <w:rPr>
          <w:rFonts w:ascii="Gill Sans MT" w:hAnsi="Gill Sans MT"/>
        </w:rPr>
      </w:pPr>
      <w:r w:rsidRPr="00E83DA2">
        <w:rPr>
          <w:rFonts w:ascii="Gill Sans MT" w:hAnsi="Gill Sans MT"/>
        </w:rPr>
        <w:t xml:space="preserve">The </w:t>
      </w:r>
      <w:r w:rsidRPr="00E83DA2">
        <w:rPr>
          <w:rFonts w:ascii="Gill Sans MT" w:hAnsi="Gill Sans MT"/>
          <w:i/>
        </w:rPr>
        <w:t>Tasmanian Urban Passenger Transport Framework</w:t>
      </w:r>
      <w:r w:rsidRPr="00E83DA2">
        <w:rPr>
          <w:rFonts w:ascii="Gill Sans MT" w:hAnsi="Gill Sans MT"/>
        </w:rPr>
        <w:t xml:space="preserve"> provides the overarching policy context to meet our urban passenger transport challenges. The guiding objective is to develop a safe and responsive passenger transport system that supports improved accessibility, liveability and health outcomes for our communities and responds to the challenges of climate change.</w:t>
      </w:r>
    </w:p>
    <w:p w:rsidR="00756B53" w:rsidRPr="00E83DA2" w:rsidRDefault="00756B53" w:rsidP="00756B53">
      <w:pPr>
        <w:rPr>
          <w:rFonts w:ascii="Gill Sans MT" w:hAnsi="Gill Sans MT"/>
        </w:rPr>
      </w:pPr>
      <w:r w:rsidRPr="00E83DA2">
        <w:rPr>
          <w:rFonts w:ascii="Gill Sans MT" w:hAnsi="Gill Sans MT"/>
        </w:rPr>
        <w:t xml:space="preserve">The Framework recognises the need to significantly improve outcomes across a range of areas in order to deliver better modal choice for people, initiate real </w:t>
      </w:r>
      <w:r w:rsidRPr="00E83DA2">
        <w:rPr>
          <w:rFonts w:ascii="Gill Sans MT" w:hAnsi="Gill Sans MT"/>
        </w:rPr>
        <w:lastRenderedPageBreak/>
        <w:t>behavioural change, reduce environmental impacts, and facilitate greater integration of transport and land use planning.</w:t>
      </w:r>
    </w:p>
    <w:p w:rsidR="00756B53" w:rsidRPr="00E83DA2" w:rsidRDefault="00756B53" w:rsidP="00756B53">
      <w:pPr>
        <w:rPr>
          <w:rFonts w:ascii="Gill Sans MT" w:hAnsi="Gill Sans MT"/>
        </w:rPr>
      </w:pPr>
      <w:r w:rsidRPr="00E83DA2">
        <w:rPr>
          <w:rFonts w:ascii="Gill Sans MT" w:hAnsi="Gill Sans MT"/>
        </w:rPr>
        <w:t>Key actions of the Framework include:</w:t>
      </w:r>
    </w:p>
    <w:tbl>
      <w:tblPr>
        <w:tblStyle w:val="TableGrid"/>
        <w:tblW w:w="0" w:type="auto"/>
        <w:tblLook w:val="04A0"/>
      </w:tblPr>
      <w:tblGrid>
        <w:gridCol w:w="1384"/>
        <w:gridCol w:w="3544"/>
        <w:gridCol w:w="4314"/>
      </w:tblGrid>
      <w:tr w:rsidR="00472E28" w:rsidRPr="00E83DA2" w:rsidTr="008D2E39">
        <w:trPr>
          <w:trHeight w:val="424"/>
          <w:tblHeader/>
        </w:trPr>
        <w:tc>
          <w:tcPr>
            <w:tcW w:w="9242" w:type="dxa"/>
            <w:gridSpan w:val="3"/>
            <w:shd w:val="clear" w:color="auto" w:fill="4F81BD" w:themeFill="accent1"/>
            <w:vAlign w:val="center"/>
          </w:tcPr>
          <w:p w:rsidR="00472E28" w:rsidRPr="00E83DA2" w:rsidRDefault="00444FF8" w:rsidP="008D2E39">
            <w:pPr>
              <w:rPr>
                <w:rFonts w:ascii="Gill Sans MT" w:hAnsi="Gill Sans MT"/>
                <w:b/>
                <w:sz w:val="18"/>
                <w:szCs w:val="18"/>
              </w:rPr>
            </w:pPr>
            <w:r>
              <w:rPr>
                <w:rFonts w:ascii="Gill Sans MT" w:hAnsi="Gill Sans MT"/>
                <w:b/>
                <w:i/>
                <w:sz w:val="18"/>
                <w:szCs w:val="18"/>
              </w:rPr>
              <w:t>Figure 4</w:t>
            </w:r>
            <w:r w:rsidR="00472E28" w:rsidRPr="00E83DA2">
              <w:rPr>
                <w:rFonts w:ascii="Gill Sans MT" w:hAnsi="Gill Sans MT"/>
                <w:b/>
                <w:i/>
                <w:sz w:val="18"/>
                <w:szCs w:val="18"/>
              </w:rPr>
              <w:t xml:space="preserve">. </w:t>
            </w:r>
            <w:r w:rsidR="00472E28" w:rsidRPr="00E83DA2">
              <w:rPr>
                <w:rFonts w:ascii="Gill Sans MT" w:hAnsi="Gill Sans MT"/>
                <w:b/>
                <w:sz w:val="18"/>
                <w:szCs w:val="18"/>
              </w:rPr>
              <w:t xml:space="preserve">Key actions, </w:t>
            </w:r>
            <w:r w:rsidR="00472E28" w:rsidRPr="00E83DA2">
              <w:rPr>
                <w:rFonts w:ascii="Gill Sans MT" w:hAnsi="Gill Sans MT"/>
                <w:b/>
                <w:i/>
                <w:sz w:val="18"/>
                <w:szCs w:val="18"/>
              </w:rPr>
              <w:t>Tasmanian Urban Passenger Transport Framework.</w:t>
            </w:r>
          </w:p>
        </w:tc>
      </w:tr>
      <w:tr w:rsidR="00756B53" w:rsidRPr="00E83DA2" w:rsidTr="008D2E39">
        <w:trPr>
          <w:tblHeader/>
        </w:trPr>
        <w:tc>
          <w:tcPr>
            <w:tcW w:w="1384" w:type="dxa"/>
            <w:shd w:val="clear" w:color="auto" w:fill="4F81BD" w:themeFill="accent1"/>
          </w:tcPr>
          <w:p w:rsidR="00756B53" w:rsidRPr="00E83DA2" w:rsidRDefault="00756B53" w:rsidP="008D2E39">
            <w:pPr>
              <w:rPr>
                <w:rFonts w:ascii="Gill Sans MT" w:hAnsi="Gill Sans MT"/>
                <w:b/>
                <w:sz w:val="18"/>
                <w:szCs w:val="18"/>
              </w:rPr>
            </w:pPr>
            <w:r w:rsidRPr="00E83DA2">
              <w:rPr>
                <w:rFonts w:ascii="Gill Sans MT" w:hAnsi="Gill Sans MT"/>
                <w:b/>
                <w:sz w:val="18"/>
                <w:szCs w:val="18"/>
              </w:rPr>
              <w:t>Action Area</w:t>
            </w:r>
          </w:p>
        </w:tc>
        <w:tc>
          <w:tcPr>
            <w:tcW w:w="3544" w:type="dxa"/>
            <w:shd w:val="clear" w:color="auto" w:fill="4F81BD" w:themeFill="accent1"/>
          </w:tcPr>
          <w:p w:rsidR="00756B53" w:rsidRPr="00E83DA2" w:rsidRDefault="00756B53" w:rsidP="008D2E39">
            <w:pPr>
              <w:rPr>
                <w:rFonts w:ascii="Gill Sans MT" w:hAnsi="Gill Sans MT"/>
                <w:b/>
                <w:sz w:val="18"/>
                <w:szCs w:val="18"/>
              </w:rPr>
            </w:pPr>
            <w:r w:rsidRPr="00E83DA2">
              <w:rPr>
                <w:rFonts w:ascii="Gill Sans MT" w:hAnsi="Gill Sans MT"/>
                <w:b/>
                <w:sz w:val="18"/>
                <w:szCs w:val="18"/>
              </w:rPr>
              <w:t>Vision</w:t>
            </w:r>
          </w:p>
        </w:tc>
        <w:tc>
          <w:tcPr>
            <w:tcW w:w="4314" w:type="dxa"/>
            <w:shd w:val="clear" w:color="auto" w:fill="4F81BD" w:themeFill="accent1"/>
          </w:tcPr>
          <w:p w:rsidR="00756B53" w:rsidRPr="00E83DA2" w:rsidRDefault="00756B53" w:rsidP="008D2E39">
            <w:pPr>
              <w:rPr>
                <w:rFonts w:ascii="Gill Sans MT" w:hAnsi="Gill Sans MT"/>
                <w:b/>
                <w:sz w:val="18"/>
                <w:szCs w:val="18"/>
              </w:rPr>
            </w:pPr>
            <w:r w:rsidRPr="00E83DA2">
              <w:rPr>
                <w:rFonts w:ascii="Gill Sans MT" w:hAnsi="Gill Sans MT"/>
                <w:b/>
                <w:sz w:val="18"/>
                <w:szCs w:val="18"/>
              </w:rPr>
              <w:t>Identified Opportunities</w:t>
            </w:r>
          </w:p>
        </w:tc>
      </w:tr>
      <w:tr w:rsidR="00756B53" w:rsidRPr="00E83DA2" w:rsidTr="008D2E39">
        <w:tc>
          <w:tcPr>
            <w:tcW w:w="1384" w:type="dxa"/>
          </w:tcPr>
          <w:p w:rsidR="00756B53" w:rsidRPr="00E83DA2" w:rsidRDefault="00756B53" w:rsidP="008D2E39">
            <w:pPr>
              <w:rPr>
                <w:rFonts w:ascii="Gill Sans MT" w:hAnsi="Gill Sans MT"/>
                <w:sz w:val="18"/>
                <w:szCs w:val="18"/>
              </w:rPr>
            </w:pPr>
            <w:r w:rsidRPr="00E83DA2">
              <w:rPr>
                <w:rFonts w:ascii="Gill Sans MT" w:hAnsi="Gill Sans MT"/>
                <w:sz w:val="18"/>
                <w:szCs w:val="18"/>
              </w:rPr>
              <w:t>Moving Minds</w:t>
            </w:r>
          </w:p>
        </w:tc>
        <w:tc>
          <w:tcPr>
            <w:tcW w:w="3544" w:type="dxa"/>
          </w:tcPr>
          <w:p w:rsidR="00756B53" w:rsidRPr="00E83DA2" w:rsidRDefault="00756B53" w:rsidP="008D2E39">
            <w:pPr>
              <w:pStyle w:val="ListParagraph"/>
              <w:numPr>
                <w:ilvl w:val="0"/>
                <w:numId w:val="65"/>
              </w:numPr>
              <w:rPr>
                <w:rFonts w:ascii="Gill Sans MT" w:hAnsi="Gill Sans MT"/>
                <w:sz w:val="18"/>
                <w:szCs w:val="18"/>
              </w:rPr>
            </w:pPr>
            <w:r w:rsidRPr="00E83DA2">
              <w:rPr>
                <w:rFonts w:ascii="Gill Sans MT" w:hAnsi="Gill Sans MT"/>
                <w:sz w:val="18"/>
                <w:szCs w:val="18"/>
              </w:rPr>
              <w:t>Increased public awareness, acceptance and usage of public transport, walking and cycling options.</w:t>
            </w:r>
          </w:p>
          <w:p w:rsidR="00756B53" w:rsidRPr="00E83DA2" w:rsidRDefault="00756B53" w:rsidP="008D2E39">
            <w:pPr>
              <w:pStyle w:val="ListParagraph"/>
              <w:numPr>
                <w:ilvl w:val="0"/>
                <w:numId w:val="65"/>
              </w:numPr>
              <w:rPr>
                <w:rFonts w:ascii="Gill Sans MT" w:hAnsi="Gill Sans MT"/>
                <w:sz w:val="18"/>
                <w:szCs w:val="18"/>
              </w:rPr>
            </w:pPr>
            <w:r w:rsidRPr="00E83DA2">
              <w:rPr>
                <w:rFonts w:ascii="Gill Sans MT" w:hAnsi="Gill Sans MT"/>
                <w:sz w:val="18"/>
                <w:szCs w:val="18"/>
              </w:rPr>
              <w:t>Building partnerships between key stakeholders.</w:t>
            </w:r>
          </w:p>
        </w:tc>
        <w:tc>
          <w:tcPr>
            <w:tcW w:w="4314" w:type="dxa"/>
          </w:tcPr>
          <w:p w:rsidR="00756B53" w:rsidRPr="00E83DA2" w:rsidRDefault="00756B53" w:rsidP="008D2E39">
            <w:pPr>
              <w:pStyle w:val="ListParagraph"/>
              <w:numPr>
                <w:ilvl w:val="0"/>
                <w:numId w:val="65"/>
              </w:numPr>
              <w:rPr>
                <w:rFonts w:ascii="Gill Sans MT" w:hAnsi="Gill Sans MT"/>
                <w:sz w:val="18"/>
                <w:szCs w:val="18"/>
              </w:rPr>
            </w:pPr>
            <w:r w:rsidRPr="00E83DA2">
              <w:rPr>
                <w:rFonts w:ascii="Gill Sans MT" w:hAnsi="Gill Sans MT"/>
                <w:sz w:val="18"/>
                <w:szCs w:val="18"/>
              </w:rPr>
              <w:t xml:space="preserve">Implement travel behaviour initiatives to target household travel choices, including </w:t>
            </w:r>
            <w:proofErr w:type="spellStart"/>
            <w:r w:rsidRPr="00E83DA2">
              <w:rPr>
                <w:rFonts w:ascii="Gill Sans MT" w:hAnsi="Gill Sans MT"/>
                <w:sz w:val="18"/>
                <w:szCs w:val="18"/>
              </w:rPr>
              <w:t>TravelSmart</w:t>
            </w:r>
            <w:proofErr w:type="spellEnd"/>
            <w:r w:rsidRPr="00E83DA2">
              <w:rPr>
                <w:rFonts w:ascii="Gill Sans MT" w:hAnsi="Gill Sans MT"/>
                <w:sz w:val="18"/>
                <w:szCs w:val="18"/>
              </w:rPr>
              <w:t xml:space="preserve"> and school and workplace travel plans</w:t>
            </w:r>
          </w:p>
          <w:p w:rsidR="00756B53" w:rsidRPr="00E83DA2" w:rsidRDefault="00756B53" w:rsidP="008D2E39">
            <w:pPr>
              <w:pStyle w:val="ListParagraph"/>
              <w:numPr>
                <w:ilvl w:val="0"/>
                <w:numId w:val="65"/>
              </w:numPr>
              <w:rPr>
                <w:rFonts w:ascii="Gill Sans MT" w:hAnsi="Gill Sans MT"/>
                <w:sz w:val="18"/>
                <w:szCs w:val="18"/>
              </w:rPr>
            </w:pPr>
            <w:r w:rsidRPr="00E83DA2">
              <w:rPr>
                <w:rFonts w:ascii="Gill Sans MT" w:hAnsi="Gill Sans MT"/>
                <w:sz w:val="18"/>
                <w:szCs w:val="18"/>
              </w:rPr>
              <w:t>Support car pooling programmes</w:t>
            </w:r>
          </w:p>
          <w:p w:rsidR="00756B53" w:rsidRPr="00E83DA2" w:rsidRDefault="00756B53" w:rsidP="008D2E39">
            <w:pPr>
              <w:pStyle w:val="ListParagraph"/>
              <w:numPr>
                <w:ilvl w:val="0"/>
                <w:numId w:val="65"/>
              </w:numPr>
              <w:rPr>
                <w:rFonts w:ascii="Gill Sans MT" w:hAnsi="Gill Sans MT"/>
                <w:sz w:val="18"/>
                <w:szCs w:val="18"/>
              </w:rPr>
            </w:pPr>
            <w:r w:rsidRPr="00E83DA2">
              <w:rPr>
                <w:rFonts w:ascii="Gill Sans MT" w:hAnsi="Gill Sans MT"/>
                <w:sz w:val="18"/>
                <w:szCs w:val="18"/>
              </w:rPr>
              <w:t>Establish an Urban Transport Advisory Group to guide implementation of the Framework</w:t>
            </w:r>
          </w:p>
          <w:p w:rsidR="00756B53" w:rsidRPr="00E83DA2" w:rsidRDefault="00756B53" w:rsidP="008D2E39">
            <w:pPr>
              <w:pStyle w:val="ListParagraph"/>
              <w:numPr>
                <w:ilvl w:val="0"/>
                <w:numId w:val="65"/>
              </w:numPr>
              <w:rPr>
                <w:rFonts w:ascii="Gill Sans MT" w:hAnsi="Gill Sans MT"/>
                <w:sz w:val="18"/>
                <w:szCs w:val="18"/>
              </w:rPr>
            </w:pPr>
            <w:r w:rsidRPr="00E83DA2">
              <w:rPr>
                <w:rFonts w:ascii="Gill Sans MT" w:hAnsi="Gill Sans MT"/>
                <w:sz w:val="18"/>
                <w:szCs w:val="18"/>
              </w:rPr>
              <w:t>Improve the marketing of alternative transport modes</w:t>
            </w:r>
          </w:p>
        </w:tc>
      </w:tr>
      <w:tr w:rsidR="00756B53" w:rsidRPr="00E83DA2" w:rsidTr="008D2E39">
        <w:tc>
          <w:tcPr>
            <w:tcW w:w="1384" w:type="dxa"/>
          </w:tcPr>
          <w:p w:rsidR="00756B53" w:rsidRPr="00E83DA2" w:rsidRDefault="00756B53" w:rsidP="008D2E39">
            <w:pPr>
              <w:rPr>
                <w:rFonts w:ascii="Gill Sans MT" w:hAnsi="Gill Sans MT"/>
                <w:sz w:val="18"/>
                <w:szCs w:val="18"/>
              </w:rPr>
            </w:pPr>
            <w:r w:rsidRPr="00E83DA2">
              <w:rPr>
                <w:rFonts w:ascii="Gill Sans MT" w:hAnsi="Gill Sans MT"/>
                <w:sz w:val="18"/>
                <w:szCs w:val="18"/>
              </w:rPr>
              <w:t>Moving Places</w:t>
            </w:r>
          </w:p>
        </w:tc>
        <w:tc>
          <w:tcPr>
            <w:tcW w:w="3544" w:type="dxa"/>
          </w:tcPr>
          <w:p w:rsidR="00756B53" w:rsidRPr="00E83DA2" w:rsidRDefault="00756B53" w:rsidP="008D2E39">
            <w:pPr>
              <w:pStyle w:val="ListParagraph"/>
              <w:numPr>
                <w:ilvl w:val="0"/>
                <w:numId w:val="66"/>
              </w:numPr>
              <w:rPr>
                <w:rFonts w:ascii="Gill Sans MT" w:hAnsi="Gill Sans MT"/>
                <w:sz w:val="18"/>
                <w:szCs w:val="18"/>
              </w:rPr>
            </w:pPr>
            <w:r w:rsidRPr="00E83DA2">
              <w:rPr>
                <w:rFonts w:ascii="Gill Sans MT" w:hAnsi="Gill Sans MT"/>
                <w:sz w:val="18"/>
                <w:szCs w:val="18"/>
              </w:rPr>
              <w:t>Consolidation of population around designated transit corridors, providing the critical population density to support future mass transit systems.</w:t>
            </w:r>
          </w:p>
          <w:p w:rsidR="00756B53" w:rsidRPr="00E83DA2" w:rsidRDefault="00756B53" w:rsidP="008D2E39">
            <w:pPr>
              <w:pStyle w:val="ListParagraph"/>
              <w:numPr>
                <w:ilvl w:val="0"/>
                <w:numId w:val="66"/>
              </w:numPr>
              <w:rPr>
                <w:rFonts w:ascii="Gill Sans MT" w:hAnsi="Gill Sans MT"/>
                <w:sz w:val="18"/>
                <w:szCs w:val="18"/>
              </w:rPr>
            </w:pPr>
            <w:r w:rsidRPr="00E83DA2">
              <w:rPr>
                <w:rFonts w:ascii="Gill Sans MT" w:hAnsi="Gill Sans MT"/>
                <w:sz w:val="18"/>
                <w:szCs w:val="18"/>
              </w:rPr>
              <w:t>Strengthening the role of regional urban centres to support more localised access to commercial centres and other key facilities.</w:t>
            </w:r>
          </w:p>
        </w:tc>
        <w:tc>
          <w:tcPr>
            <w:tcW w:w="4314" w:type="dxa"/>
          </w:tcPr>
          <w:p w:rsidR="00756B53" w:rsidRPr="00E83DA2" w:rsidRDefault="00756B53" w:rsidP="008D2E39">
            <w:pPr>
              <w:pStyle w:val="ListParagraph"/>
              <w:numPr>
                <w:ilvl w:val="0"/>
                <w:numId w:val="66"/>
              </w:numPr>
              <w:rPr>
                <w:rFonts w:ascii="Gill Sans MT" w:hAnsi="Gill Sans MT"/>
                <w:sz w:val="18"/>
                <w:szCs w:val="18"/>
              </w:rPr>
            </w:pPr>
            <w:r w:rsidRPr="00E83DA2">
              <w:rPr>
                <w:rFonts w:ascii="Gill Sans MT" w:hAnsi="Gill Sans MT"/>
                <w:sz w:val="18"/>
                <w:szCs w:val="18"/>
              </w:rPr>
              <w:t>Designated transit corridors for high frequency bus services</w:t>
            </w:r>
          </w:p>
          <w:p w:rsidR="00756B53" w:rsidRPr="00E83DA2" w:rsidRDefault="00756B53" w:rsidP="008D2E39">
            <w:pPr>
              <w:pStyle w:val="ListParagraph"/>
              <w:numPr>
                <w:ilvl w:val="0"/>
                <w:numId w:val="66"/>
              </w:numPr>
              <w:rPr>
                <w:rFonts w:ascii="Gill Sans MT" w:hAnsi="Gill Sans MT"/>
                <w:sz w:val="18"/>
                <w:szCs w:val="18"/>
              </w:rPr>
            </w:pPr>
            <w:r w:rsidRPr="00E83DA2">
              <w:rPr>
                <w:rFonts w:ascii="Gill Sans MT" w:hAnsi="Gill Sans MT"/>
                <w:sz w:val="18"/>
                <w:szCs w:val="18"/>
              </w:rPr>
              <w:t>Integration of transport and land use planning</w:t>
            </w:r>
          </w:p>
          <w:p w:rsidR="00756B53" w:rsidRPr="00E83DA2" w:rsidRDefault="00756B53" w:rsidP="008D2E39">
            <w:pPr>
              <w:pStyle w:val="ListParagraph"/>
              <w:numPr>
                <w:ilvl w:val="0"/>
                <w:numId w:val="66"/>
              </w:numPr>
              <w:rPr>
                <w:rFonts w:ascii="Gill Sans MT" w:hAnsi="Gill Sans MT"/>
                <w:sz w:val="18"/>
                <w:szCs w:val="18"/>
              </w:rPr>
            </w:pPr>
            <w:r w:rsidRPr="00E83DA2">
              <w:rPr>
                <w:rFonts w:ascii="Gill Sans MT" w:hAnsi="Gill Sans MT"/>
                <w:sz w:val="18"/>
                <w:szCs w:val="18"/>
              </w:rPr>
              <w:t>Development of Metropolitan (Integrated Land Use and Transport) Plans</w:t>
            </w:r>
          </w:p>
        </w:tc>
      </w:tr>
      <w:tr w:rsidR="00756B53" w:rsidRPr="00E83DA2" w:rsidTr="008D2E39">
        <w:tc>
          <w:tcPr>
            <w:tcW w:w="1384" w:type="dxa"/>
          </w:tcPr>
          <w:p w:rsidR="00756B53" w:rsidRPr="00E83DA2" w:rsidRDefault="00756B53" w:rsidP="008D2E39">
            <w:pPr>
              <w:rPr>
                <w:rFonts w:ascii="Gill Sans MT" w:hAnsi="Gill Sans MT"/>
                <w:sz w:val="18"/>
                <w:szCs w:val="18"/>
              </w:rPr>
            </w:pPr>
            <w:r w:rsidRPr="00E83DA2">
              <w:rPr>
                <w:rFonts w:ascii="Gill Sans MT" w:hAnsi="Gill Sans MT"/>
                <w:sz w:val="18"/>
                <w:szCs w:val="18"/>
              </w:rPr>
              <w:t>Moving People</w:t>
            </w:r>
          </w:p>
        </w:tc>
        <w:tc>
          <w:tcPr>
            <w:tcW w:w="3544" w:type="dxa"/>
          </w:tcPr>
          <w:p w:rsidR="00756B53" w:rsidRPr="00E83DA2" w:rsidRDefault="00756B53" w:rsidP="008D2E39">
            <w:pPr>
              <w:pStyle w:val="ListParagraph"/>
              <w:numPr>
                <w:ilvl w:val="0"/>
                <w:numId w:val="67"/>
              </w:numPr>
              <w:rPr>
                <w:rFonts w:ascii="Gill Sans MT" w:hAnsi="Gill Sans MT"/>
                <w:sz w:val="18"/>
                <w:szCs w:val="18"/>
              </w:rPr>
            </w:pPr>
            <w:r w:rsidRPr="00E83DA2">
              <w:rPr>
                <w:rFonts w:ascii="Gill Sans MT" w:hAnsi="Gill Sans MT"/>
                <w:sz w:val="18"/>
                <w:szCs w:val="18"/>
              </w:rPr>
              <w:t>High frequency public transport delivered with high quality infrastructure that enhances the attractiveness, efficiency and utility of public transport.</w:t>
            </w:r>
          </w:p>
        </w:tc>
        <w:tc>
          <w:tcPr>
            <w:tcW w:w="4314" w:type="dxa"/>
          </w:tcPr>
          <w:p w:rsidR="00756B53" w:rsidRPr="00E83DA2" w:rsidRDefault="00756B53" w:rsidP="008D2E39">
            <w:pPr>
              <w:pStyle w:val="ListParagraph"/>
              <w:numPr>
                <w:ilvl w:val="0"/>
                <w:numId w:val="67"/>
              </w:numPr>
              <w:rPr>
                <w:rFonts w:ascii="Gill Sans MT" w:hAnsi="Gill Sans MT"/>
                <w:sz w:val="18"/>
                <w:szCs w:val="18"/>
              </w:rPr>
            </w:pPr>
            <w:r w:rsidRPr="00E83DA2">
              <w:rPr>
                <w:rFonts w:ascii="Gill Sans MT" w:hAnsi="Gill Sans MT"/>
                <w:sz w:val="18"/>
                <w:szCs w:val="18"/>
              </w:rPr>
              <w:t>Improving frequency and span of services</w:t>
            </w:r>
          </w:p>
          <w:p w:rsidR="00756B53" w:rsidRPr="00E83DA2" w:rsidRDefault="00756B53" w:rsidP="008D2E39">
            <w:pPr>
              <w:pStyle w:val="ListParagraph"/>
              <w:numPr>
                <w:ilvl w:val="0"/>
                <w:numId w:val="67"/>
              </w:numPr>
              <w:rPr>
                <w:rFonts w:ascii="Gill Sans MT" w:hAnsi="Gill Sans MT"/>
                <w:sz w:val="18"/>
                <w:szCs w:val="18"/>
              </w:rPr>
            </w:pPr>
            <w:r w:rsidRPr="00E83DA2">
              <w:rPr>
                <w:rFonts w:ascii="Gill Sans MT" w:hAnsi="Gill Sans MT"/>
                <w:sz w:val="18"/>
                <w:szCs w:val="18"/>
              </w:rPr>
              <w:t>Development of off-bus infrastructure</w:t>
            </w:r>
          </w:p>
          <w:p w:rsidR="00756B53" w:rsidRPr="00E83DA2" w:rsidRDefault="00756B53" w:rsidP="008D2E39">
            <w:pPr>
              <w:pStyle w:val="ListParagraph"/>
              <w:numPr>
                <w:ilvl w:val="0"/>
                <w:numId w:val="67"/>
              </w:numPr>
              <w:rPr>
                <w:rFonts w:ascii="Gill Sans MT" w:hAnsi="Gill Sans MT"/>
                <w:sz w:val="18"/>
                <w:szCs w:val="18"/>
              </w:rPr>
            </w:pPr>
            <w:r w:rsidRPr="00E83DA2">
              <w:rPr>
                <w:rFonts w:ascii="Gill Sans MT" w:hAnsi="Gill Sans MT"/>
                <w:sz w:val="18"/>
                <w:szCs w:val="18"/>
              </w:rPr>
              <w:t>Pricing mechanisms</w:t>
            </w:r>
          </w:p>
          <w:p w:rsidR="00756B53" w:rsidRPr="00E83DA2" w:rsidRDefault="00756B53" w:rsidP="008D2E39">
            <w:pPr>
              <w:pStyle w:val="ListParagraph"/>
              <w:numPr>
                <w:ilvl w:val="0"/>
                <w:numId w:val="67"/>
              </w:numPr>
              <w:rPr>
                <w:rFonts w:ascii="Gill Sans MT" w:hAnsi="Gill Sans MT"/>
                <w:sz w:val="18"/>
                <w:szCs w:val="18"/>
              </w:rPr>
            </w:pPr>
            <w:r w:rsidRPr="00E83DA2">
              <w:rPr>
                <w:rFonts w:ascii="Gill Sans MT" w:hAnsi="Gill Sans MT"/>
                <w:sz w:val="18"/>
                <w:szCs w:val="18"/>
              </w:rPr>
              <w:t>Better provision of information</w:t>
            </w:r>
          </w:p>
          <w:p w:rsidR="00756B53" w:rsidRPr="00E83DA2" w:rsidRDefault="00756B53" w:rsidP="008D2E39">
            <w:pPr>
              <w:pStyle w:val="ListParagraph"/>
              <w:numPr>
                <w:ilvl w:val="0"/>
                <w:numId w:val="67"/>
              </w:numPr>
              <w:rPr>
                <w:rFonts w:ascii="Gill Sans MT" w:hAnsi="Gill Sans MT"/>
                <w:sz w:val="18"/>
                <w:szCs w:val="18"/>
              </w:rPr>
            </w:pPr>
            <w:r w:rsidRPr="00E83DA2">
              <w:rPr>
                <w:rFonts w:ascii="Gill Sans MT" w:hAnsi="Gill Sans MT"/>
                <w:sz w:val="18"/>
                <w:szCs w:val="18"/>
              </w:rPr>
              <w:t>Integration of modes</w:t>
            </w:r>
          </w:p>
          <w:p w:rsidR="00756B53" w:rsidRPr="00E83DA2" w:rsidRDefault="00756B53" w:rsidP="008D2E39">
            <w:pPr>
              <w:pStyle w:val="ListParagraph"/>
              <w:numPr>
                <w:ilvl w:val="0"/>
                <w:numId w:val="67"/>
              </w:numPr>
              <w:rPr>
                <w:rFonts w:ascii="Gill Sans MT" w:hAnsi="Gill Sans MT"/>
                <w:sz w:val="18"/>
                <w:szCs w:val="18"/>
              </w:rPr>
            </w:pPr>
            <w:r w:rsidRPr="00E83DA2">
              <w:rPr>
                <w:rFonts w:ascii="Gill Sans MT" w:hAnsi="Gill Sans MT"/>
                <w:sz w:val="18"/>
                <w:szCs w:val="18"/>
              </w:rPr>
              <w:t>Delivering transit priority on key corridors</w:t>
            </w:r>
          </w:p>
          <w:p w:rsidR="00756B53" w:rsidRPr="00E83DA2" w:rsidRDefault="00756B53" w:rsidP="008D2E39">
            <w:pPr>
              <w:pStyle w:val="ListParagraph"/>
              <w:numPr>
                <w:ilvl w:val="0"/>
                <w:numId w:val="67"/>
              </w:numPr>
              <w:rPr>
                <w:rFonts w:ascii="Gill Sans MT" w:hAnsi="Gill Sans MT"/>
                <w:sz w:val="18"/>
                <w:szCs w:val="18"/>
              </w:rPr>
            </w:pPr>
            <w:r w:rsidRPr="00E83DA2">
              <w:rPr>
                <w:rFonts w:ascii="Gill Sans MT" w:hAnsi="Gill Sans MT"/>
                <w:sz w:val="18"/>
                <w:szCs w:val="18"/>
              </w:rPr>
              <w:t>Marketing services</w:t>
            </w:r>
          </w:p>
        </w:tc>
      </w:tr>
      <w:tr w:rsidR="00756B53" w:rsidRPr="00E83DA2" w:rsidTr="008D2E39">
        <w:tc>
          <w:tcPr>
            <w:tcW w:w="1384" w:type="dxa"/>
          </w:tcPr>
          <w:p w:rsidR="00756B53" w:rsidRPr="00E83DA2" w:rsidRDefault="00756B53" w:rsidP="008D2E39">
            <w:pPr>
              <w:rPr>
                <w:rFonts w:ascii="Gill Sans MT" w:hAnsi="Gill Sans MT"/>
                <w:sz w:val="18"/>
                <w:szCs w:val="18"/>
              </w:rPr>
            </w:pPr>
            <w:r w:rsidRPr="00E83DA2">
              <w:rPr>
                <w:rFonts w:ascii="Gill Sans MT" w:hAnsi="Gill Sans MT"/>
                <w:sz w:val="18"/>
                <w:szCs w:val="18"/>
              </w:rPr>
              <w:t>Moving Policies</w:t>
            </w:r>
          </w:p>
        </w:tc>
        <w:tc>
          <w:tcPr>
            <w:tcW w:w="3544" w:type="dxa"/>
          </w:tcPr>
          <w:p w:rsidR="00756B53" w:rsidRPr="00E83DA2" w:rsidRDefault="00756B53" w:rsidP="008D2E39">
            <w:pPr>
              <w:pStyle w:val="ListParagraph"/>
              <w:numPr>
                <w:ilvl w:val="0"/>
                <w:numId w:val="68"/>
              </w:numPr>
              <w:rPr>
                <w:rFonts w:ascii="Gill Sans MT" w:hAnsi="Gill Sans MT"/>
                <w:sz w:val="18"/>
                <w:szCs w:val="18"/>
              </w:rPr>
            </w:pPr>
            <w:r w:rsidRPr="00E83DA2">
              <w:rPr>
                <w:rFonts w:ascii="Gill Sans MT" w:hAnsi="Gill Sans MT"/>
                <w:sz w:val="18"/>
                <w:szCs w:val="18"/>
              </w:rPr>
              <w:t>Encouraging use of alternatives to private vehicles.</w:t>
            </w:r>
          </w:p>
        </w:tc>
        <w:tc>
          <w:tcPr>
            <w:tcW w:w="4314" w:type="dxa"/>
          </w:tcPr>
          <w:p w:rsidR="00756B53" w:rsidRPr="00E83DA2" w:rsidRDefault="00756B53" w:rsidP="008D2E39">
            <w:pPr>
              <w:pStyle w:val="ListParagraph"/>
              <w:numPr>
                <w:ilvl w:val="0"/>
                <w:numId w:val="68"/>
              </w:numPr>
              <w:rPr>
                <w:rFonts w:ascii="Gill Sans MT" w:hAnsi="Gill Sans MT"/>
                <w:sz w:val="18"/>
                <w:szCs w:val="18"/>
              </w:rPr>
            </w:pPr>
            <w:r w:rsidRPr="00E83DA2">
              <w:rPr>
                <w:rFonts w:ascii="Gill Sans MT" w:hAnsi="Gill Sans MT"/>
                <w:sz w:val="18"/>
                <w:szCs w:val="18"/>
              </w:rPr>
              <w:t>Reduce State Government car parking spaces</w:t>
            </w:r>
          </w:p>
          <w:p w:rsidR="00756B53" w:rsidRPr="00E83DA2" w:rsidRDefault="00756B53" w:rsidP="008D2E39">
            <w:pPr>
              <w:pStyle w:val="ListParagraph"/>
              <w:numPr>
                <w:ilvl w:val="0"/>
                <w:numId w:val="68"/>
              </w:numPr>
              <w:rPr>
                <w:rFonts w:ascii="Gill Sans MT" w:hAnsi="Gill Sans MT"/>
                <w:sz w:val="18"/>
                <w:szCs w:val="18"/>
              </w:rPr>
            </w:pPr>
            <w:r w:rsidRPr="00E83DA2">
              <w:rPr>
                <w:rFonts w:ascii="Gill Sans MT" w:hAnsi="Gill Sans MT"/>
                <w:sz w:val="18"/>
                <w:szCs w:val="18"/>
              </w:rPr>
              <w:t>Metropolitan car parking strategies to address:</w:t>
            </w:r>
          </w:p>
          <w:p w:rsidR="00756B53" w:rsidRPr="00E83DA2" w:rsidRDefault="00756B53" w:rsidP="008D2E39">
            <w:pPr>
              <w:pStyle w:val="ListParagraph"/>
              <w:numPr>
                <w:ilvl w:val="1"/>
                <w:numId w:val="68"/>
              </w:numPr>
              <w:ind w:left="616" w:hanging="284"/>
              <w:rPr>
                <w:rFonts w:ascii="Gill Sans MT" w:hAnsi="Gill Sans MT"/>
                <w:sz w:val="18"/>
                <w:szCs w:val="18"/>
              </w:rPr>
            </w:pPr>
            <w:r w:rsidRPr="00E83DA2">
              <w:rPr>
                <w:rFonts w:ascii="Gill Sans MT" w:hAnsi="Gill Sans MT"/>
                <w:sz w:val="18"/>
                <w:szCs w:val="18"/>
              </w:rPr>
              <w:t>Minimum parking requirements</w:t>
            </w:r>
          </w:p>
          <w:p w:rsidR="00756B53" w:rsidRPr="00E83DA2" w:rsidRDefault="00756B53" w:rsidP="008D2E39">
            <w:pPr>
              <w:pStyle w:val="ListParagraph"/>
              <w:numPr>
                <w:ilvl w:val="1"/>
                <w:numId w:val="68"/>
              </w:numPr>
              <w:ind w:left="616" w:hanging="284"/>
              <w:rPr>
                <w:rFonts w:ascii="Gill Sans MT" w:hAnsi="Gill Sans MT"/>
                <w:sz w:val="18"/>
                <w:szCs w:val="18"/>
              </w:rPr>
            </w:pPr>
            <w:r w:rsidRPr="00E83DA2">
              <w:rPr>
                <w:rFonts w:ascii="Gill Sans MT" w:hAnsi="Gill Sans MT"/>
                <w:sz w:val="18"/>
                <w:szCs w:val="18"/>
              </w:rPr>
              <w:t>Shared parking provisions</w:t>
            </w:r>
          </w:p>
          <w:p w:rsidR="00756B53" w:rsidRPr="00E83DA2" w:rsidRDefault="00756B53" w:rsidP="008D2E39">
            <w:pPr>
              <w:pStyle w:val="ListParagraph"/>
              <w:numPr>
                <w:ilvl w:val="1"/>
                <w:numId w:val="68"/>
              </w:numPr>
              <w:ind w:left="616" w:hanging="284"/>
              <w:rPr>
                <w:rFonts w:ascii="Gill Sans MT" w:hAnsi="Gill Sans MT"/>
                <w:sz w:val="18"/>
                <w:szCs w:val="18"/>
              </w:rPr>
            </w:pPr>
            <w:r w:rsidRPr="00E83DA2">
              <w:rPr>
                <w:rFonts w:ascii="Gill Sans MT" w:hAnsi="Gill Sans MT"/>
                <w:sz w:val="18"/>
                <w:szCs w:val="18"/>
              </w:rPr>
              <w:t>Uniformity of parking requirements</w:t>
            </w:r>
          </w:p>
        </w:tc>
      </w:tr>
      <w:tr w:rsidR="00756B53" w:rsidRPr="00E83DA2" w:rsidTr="008D2E39">
        <w:tc>
          <w:tcPr>
            <w:tcW w:w="1384" w:type="dxa"/>
          </w:tcPr>
          <w:p w:rsidR="00756B53" w:rsidRPr="00E83DA2" w:rsidRDefault="00756B53" w:rsidP="008D2E39">
            <w:pPr>
              <w:rPr>
                <w:rFonts w:ascii="Gill Sans MT" w:hAnsi="Gill Sans MT"/>
                <w:sz w:val="18"/>
                <w:szCs w:val="18"/>
              </w:rPr>
            </w:pPr>
            <w:r w:rsidRPr="00E83DA2">
              <w:rPr>
                <w:rFonts w:ascii="Gill Sans MT" w:hAnsi="Gill Sans MT"/>
                <w:sz w:val="18"/>
                <w:szCs w:val="18"/>
              </w:rPr>
              <w:t>Moving Legs</w:t>
            </w:r>
          </w:p>
        </w:tc>
        <w:tc>
          <w:tcPr>
            <w:tcW w:w="3544" w:type="dxa"/>
          </w:tcPr>
          <w:p w:rsidR="00756B53" w:rsidRPr="00E83DA2" w:rsidRDefault="00756B53" w:rsidP="008D2E39">
            <w:pPr>
              <w:pStyle w:val="ListParagraph"/>
              <w:numPr>
                <w:ilvl w:val="0"/>
                <w:numId w:val="69"/>
              </w:numPr>
              <w:rPr>
                <w:rFonts w:ascii="Gill Sans MT" w:hAnsi="Gill Sans MT"/>
                <w:sz w:val="18"/>
                <w:szCs w:val="18"/>
              </w:rPr>
            </w:pPr>
            <w:r w:rsidRPr="00E83DA2">
              <w:rPr>
                <w:rFonts w:ascii="Gill Sans MT" w:hAnsi="Gill Sans MT"/>
                <w:sz w:val="18"/>
                <w:szCs w:val="18"/>
              </w:rPr>
              <w:t>Encouraging walking and cycling through infrastructure, land use planning and behavioural change.</w:t>
            </w:r>
          </w:p>
        </w:tc>
        <w:tc>
          <w:tcPr>
            <w:tcW w:w="4314" w:type="dxa"/>
          </w:tcPr>
          <w:p w:rsidR="00756B53" w:rsidRPr="00E83DA2" w:rsidRDefault="00756B53" w:rsidP="008D2E39">
            <w:pPr>
              <w:pStyle w:val="ListParagraph"/>
              <w:numPr>
                <w:ilvl w:val="0"/>
                <w:numId w:val="69"/>
              </w:numPr>
              <w:rPr>
                <w:rFonts w:ascii="Gill Sans MT" w:hAnsi="Gill Sans MT"/>
                <w:sz w:val="18"/>
                <w:szCs w:val="18"/>
              </w:rPr>
            </w:pPr>
            <w:r w:rsidRPr="00E83DA2">
              <w:rPr>
                <w:rFonts w:ascii="Gill Sans MT" w:hAnsi="Gill Sans MT"/>
                <w:sz w:val="18"/>
                <w:szCs w:val="18"/>
              </w:rPr>
              <w:t>Implement the Walking and Cycling for Active Transport Strategy which will include:</w:t>
            </w:r>
          </w:p>
          <w:p w:rsidR="00756B53" w:rsidRPr="00E83DA2" w:rsidRDefault="00756B53" w:rsidP="008D2E39">
            <w:pPr>
              <w:pStyle w:val="ListParagraph"/>
              <w:numPr>
                <w:ilvl w:val="1"/>
                <w:numId w:val="69"/>
              </w:numPr>
              <w:ind w:left="616" w:hanging="284"/>
              <w:rPr>
                <w:rFonts w:ascii="Gill Sans MT" w:hAnsi="Gill Sans MT"/>
                <w:sz w:val="18"/>
                <w:szCs w:val="18"/>
              </w:rPr>
            </w:pPr>
            <w:r w:rsidRPr="00E83DA2">
              <w:rPr>
                <w:rFonts w:ascii="Gill Sans MT" w:hAnsi="Gill Sans MT"/>
                <w:sz w:val="18"/>
                <w:szCs w:val="18"/>
              </w:rPr>
              <w:t>Mapping the existing network</w:t>
            </w:r>
          </w:p>
          <w:p w:rsidR="00756B53" w:rsidRPr="00E83DA2" w:rsidRDefault="00756B53" w:rsidP="008D2E39">
            <w:pPr>
              <w:pStyle w:val="ListParagraph"/>
              <w:numPr>
                <w:ilvl w:val="1"/>
                <w:numId w:val="69"/>
              </w:numPr>
              <w:ind w:left="616" w:hanging="284"/>
              <w:rPr>
                <w:rFonts w:ascii="Gill Sans MT" w:hAnsi="Gill Sans MT"/>
                <w:sz w:val="18"/>
                <w:szCs w:val="18"/>
              </w:rPr>
            </w:pPr>
            <w:r w:rsidRPr="00E83DA2">
              <w:rPr>
                <w:rFonts w:ascii="Gill Sans MT" w:hAnsi="Gill Sans MT"/>
                <w:sz w:val="18"/>
                <w:szCs w:val="18"/>
              </w:rPr>
              <w:t>Gathering data on usage and potential future demand</w:t>
            </w:r>
          </w:p>
          <w:p w:rsidR="00756B53" w:rsidRPr="00E83DA2" w:rsidRDefault="00756B53" w:rsidP="008D2E39">
            <w:pPr>
              <w:pStyle w:val="ListParagraph"/>
              <w:numPr>
                <w:ilvl w:val="1"/>
                <w:numId w:val="69"/>
              </w:numPr>
              <w:ind w:left="616" w:hanging="284"/>
              <w:rPr>
                <w:rFonts w:ascii="Gill Sans MT" w:hAnsi="Gill Sans MT"/>
                <w:sz w:val="18"/>
                <w:szCs w:val="18"/>
              </w:rPr>
            </w:pPr>
            <w:r w:rsidRPr="00E83DA2">
              <w:rPr>
                <w:rFonts w:ascii="Gill Sans MT" w:hAnsi="Gill Sans MT"/>
                <w:sz w:val="18"/>
                <w:szCs w:val="18"/>
              </w:rPr>
              <w:t>Identifying new routes and linkages</w:t>
            </w:r>
          </w:p>
          <w:p w:rsidR="00756B53" w:rsidRPr="00E83DA2" w:rsidRDefault="00756B53" w:rsidP="008D2E39">
            <w:pPr>
              <w:pStyle w:val="ListParagraph"/>
              <w:numPr>
                <w:ilvl w:val="1"/>
                <w:numId w:val="69"/>
              </w:numPr>
              <w:ind w:left="616" w:hanging="284"/>
              <w:rPr>
                <w:rFonts w:ascii="Gill Sans MT" w:hAnsi="Gill Sans MT"/>
                <w:sz w:val="18"/>
                <w:szCs w:val="18"/>
              </w:rPr>
            </w:pPr>
            <w:r w:rsidRPr="00E83DA2">
              <w:rPr>
                <w:rFonts w:ascii="Gill Sans MT" w:hAnsi="Gill Sans MT"/>
                <w:sz w:val="18"/>
                <w:szCs w:val="18"/>
              </w:rPr>
              <w:t>Safety, signage and supporting infrastructure</w:t>
            </w:r>
          </w:p>
        </w:tc>
      </w:tr>
      <w:tr w:rsidR="00756B53" w:rsidRPr="00E83DA2" w:rsidTr="008D2E39">
        <w:tc>
          <w:tcPr>
            <w:tcW w:w="1384" w:type="dxa"/>
          </w:tcPr>
          <w:p w:rsidR="00756B53" w:rsidRPr="00E83DA2" w:rsidRDefault="00756B53" w:rsidP="008D2E39">
            <w:pPr>
              <w:rPr>
                <w:rFonts w:ascii="Gill Sans MT" w:hAnsi="Gill Sans MT"/>
                <w:sz w:val="18"/>
                <w:szCs w:val="18"/>
              </w:rPr>
            </w:pPr>
            <w:r w:rsidRPr="00E83DA2">
              <w:rPr>
                <w:rFonts w:ascii="Gill Sans MT" w:hAnsi="Gill Sans MT"/>
                <w:sz w:val="18"/>
                <w:szCs w:val="18"/>
              </w:rPr>
              <w:t>Moving Forward</w:t>
            </w:r>
          </w:p>
        </w:tc>
        <w:tc>
          <w:tcPr>
            <w:tcW w:w="3544" w:type="dxa"/>
          </w:tcPr>
          <w:p w:rsidR="00756B53" w:rsidRPr="00E83DA2" w:rsidRDefault="00756B53" w:rsidP="008D2E39">
            <w:pPr>
              <w:pStyle w:val="ListParagraph"/>
              <w:numPr>
                <w:ilvl w:val="0"/>
                <w:numId w:val="70"/>
              </w:numPr>
              <w:rPr>
                <w:rFonts w:ascii="Gill Sans MT" w:hAnsi="Gill Sans MT"/>
                <w:sz w:val="18"/>
                <w:szCs w:val="18"/>
              </w:rPr>
            </w:pPr>
            <w:r w:rsidRPr="00E83DA2">
              <w:rPr>
                <w:rFonts w:ascii="Gill Sans MT" w:hAnsi="Gill Sans MT"/>
                <w:sz w:val="18"/>
                <w:szCs w:val="18"/>
              </w:rPr>
              <w:t>Adopting a long-term approach to integrated land use and transport planning.</w:t>
            </w:r>
          </w:p>
        </w:tc>
        <w:tc>
          <w:tcPr>
            <w:tcW w:w="4314" w:type="dxa"/>
          </w:tcPr>
          <w:p w:rsidR="00756B53" w:rsidRPr="00E83DA2" w:rsidRDefault="00756B53" w:rsidP="008D2E39">
            <w:pPr>
              <w:pStyle w:val="ListParagraph"/>
              <w:numPr>
                <w:ilvl w:val="0"/>
                <w:numId w:val="70"/>
              </w:numPr>
              <w:rPr>
                <w:rFonts w:ascii="Gill Sans MT" w:hAnsi="Gill Sans MT"/>
                <w:sz w:val="18"/>
                <w:szCs w:val="18"/>
              </w:rPr>
            </w:pPr>
            <w:r w:rsidRPr="00E83DA2">
              <w:rPr>
                <w:rFonts w:ascii="Gill Sans MT" w:hAnsi="Gill Sans MT"/>
                <w:sz w:val="18"/>
                <w:szCs w:val="18"/>
              </w:rPr>
              <w:t>Establishing a Strategic Integrated Land and Transport Committee in conjunction with the Tasmanian Planning Commission and 3 regional authorities</w:t>
            </w:r>
          </w:p>
          <w:p w:rsidR="00756B53" w:rsidRPr="00E83DA2" w:rsidRDefault="00756B53" w:rsidP="008D2E39">
            <w:pPr>
              <w:pStyle w:val="ListParagraph"/>
              <w:numPr>
                <w:ilvl w:val="0"/>
                <w:numId w:val="70"/>
              </w:numPr>
              <w:rPr>
                <w:rFonts w:ascii="Gill Sans MT" w:hAnsi="Gill Sans MT"/>
                <w:sz w:val="18"/>
                <w:szCs w:val="18"/>
              </w:rPr>
            </w:pPr>
            <w:r w:rsidRPr="00E83DA2">
              <w:rPr>
                <w:rFonts w:ascii="Gill Sans MT" w:hAnsi="Gill Sans MT"/>
                <w:sz w:val="18"/>
                <w:szCs w:val="18"/>
              </w:rPr>
              <w:t>Implementing the Key Initiatives of the Framework</w:t>
            </w:r>
          </w:p>
          <w:p w:rsidR="00756B53" w:rsidRPr="00E83DA2" w:rsidRDefault="00756B53" w:rsidP="008D2E39">
            <w:pPr>
              <w:pStyle w:val="ListParagraph"/>
              <w:numPr>
                <w:ilvl w:val="0"/>
                <w:numId w:val="70"/>
              </w:numPr>
              <w:rPr>
                <w:rFonts w:ascii="Gill Sans MT" w:hAnsi="Gill Sans MT"/>
                <w:sz w:val="18"/>
                <w:szCs w:val="18"/>
              </w:rPr>
            </w:pPr>
            <w:r w:rsidRPr="00E83DA2">
              <w:rPr>
                <w:rFonts w:ascii="Gill Sans MT" w:hAnsi="Gill Sans MT"/>
                <w:sz w:val="18"/>
                <w:szCs w:val="18"/>
              </w:rPr>
              <w:t>Monitoring and evaluating the implementation of measures</w:t>
            </w:r>
          </w:p>
          <w:p w:rsidR="00756B53" w:rsidRPr="00E83DA2" w:rsidRDefault="00756B53" w:rsidP="008D2E39">
            <w:pPr>
              <w:pStyle w:val="ListParagraph"/>
              <w:numPr>
                <w:ilvl w:val="0"/>
                <w:numId w:val="70"/>
              </w:numPr>
              <w:rPr>
                <w:rFonts w:ascii="Gill Sans MT" w:hAnsi="Gill Sans MT"/>
                <w:sz w:val="18"/>
                <w:szCs w:val="18"/>
              </w:rPr>
            </w:pPr>
            <w:r w:rsidRPr="00E83DA2">
              <w:rPr>
                <w:rFonts w:ascii="Gill Sans MT" w:hAnsi="Gill Sans MT"/>
                <w:sz w:val="18"/>
                <w:szCs w:val="18"/>
              </w:rPr>
              <w:t>Reviewing the Framework in five years time</w:t>
            </w:r>
          </w:p>
        </w:tc>
      </w:tr>
    </w:tbl>
    <w:p w:rsidR="00756B53" w:rsidRPr="00E83DA2" w:rsidRDefault="00756B53" w:rsidP="00756B53">
      <w:pPr>
        <w:rPr>
          <w:rFonts w:ascii="Gill Sans MT" w:hAnsi="Gill Sans MT"/>
        </w:rPr>
      </w:pPr>
    </w:p>
    <w:p w:rsidR="00756B53" w:rsidRPr="00E83DA2" w:rsidRDefault="00756B53" w:rsidP="00756B53">
      <w:pPr>
        <w:rPr>
          <w:rStyle w:val="InstructionText"/>
          <w:szCs w:val="24"/>
        </w:rPr>
      </w:pPr>
      <w:r w:rsidRPr="00E83DA2">
        <w:rPr>
          <w:rStyle w:val="InstructionText"/>
          <w:szCs w:val="24"/>
        </w:rPr>
        <w:lastRenderedPageBreak/>
        <w:t>Tasmanian Walking and Cycling for Active Transport Strategy</w:t>
      </w:r>
    </w:p>
    <w:p w:rsidR="00756B53" w:rsidRPr="00E83DA2" w:rsidRDefault="00756B53" w:rsidP="00756B53">
      <w:pPr>
        <w:rPr>
          <w:rFonts w:ascii="Gill Sans MT" w:hAnsi="Gill Sans MT"/>
        </w:rPr>
      </w:pPr>
      <w:r w:rsidRPr="00E83DA2">
        <w:rPr>
          <w:rFonts w:ascii="Gill Sans MT" w:hAnsi="Gill Sans MT"/>
        </w:rPr>
        <w:t xml:space="preserve">The </w:t>
      </w:r>
      <w:r w:rsidRPr="00E83DA2">
        <w:rPr>
          <w:rFonts w:ascii="Gill Sans MT" w:hAnsi="Gill Sans MT"/>
          <w:i/>
        </w:rPr>
        <w:t>Tasmanian Walking and Cycling for Active Transport Strategy</w:t>
      </w:r>
      <w:r w:rsidRPr="00E83DA2">
        <w:rPr>
          <w:rFonts w:ascii="Gill Sans MT" w:hAnsi="Gill Sans MT"/>
        </w:rPr>
        <w:t xml:space="preserve"> is an initiative of the </w:t>
      </w:r>
      <w:r w:rsidRPr="00E83DA2">
        <w:rPr>
          <w:rFonts w:ascii="Gill Sans MT" w:hAnsi="Gill Sans MT"/>
          <w:i/>
        </w:rPr>
        <w:t>Tasmanian Urban Passenger Transport Framework</w:t>
      </w:r>
      <w:r w:rsidRPr="00E83DA2">
        <w:rPr>
          <w:rFonts w:ascii="Gill Sans MT" w:hAnsi="Gill Sans MT"/>
        </w:rPr>
        <w:t>, focusing on the promotion of walking and cycling as viable and desirable forms of transport. Priority areas of the Strategy are:</w:t>
      </w:r>
    </w:p>
    <w:p w:rsidR="00756B53" w:rsidRPr="00E83DA2" w:rsidRDefault="00756B53" w:rsidP="00756B53">
      <w:pPr>
        <w:pStyle w:val="ListParagraph"/>
        <w:numPr>
          <w:ilvl w:val="0"/>
          <w:numId w:val="71"/>
        </w:numPr>
        <w:rPr>
          <w:rFonts w:ascii="Gill Sans MT" w:hAnsi="Gill Sans MT"/>
        </w:rPr>
      </w:pPr>
      <w:r w:rsidRPr="00E83DA2">
        <w:rPr>
          <w:rFonts w:ascii="Gill Sans MT" w:hAnsi="Gill Sans MT"/>
        </w:rPr>
        <w:t>Supportive land use systems that encourage walking and cycling;</w:t>
      </w:r>
    </w:p>
    <w:p w:rsidR="00756B53" w:rsidRPr="00E83DA2" w:rsidRDefault="00756B53" w:rsidP="00756B53">
      <w:pPr>
        <w:pStyle w:val="ListParagraph"/>
        <w:numPr>
          <w:ilvl w:val="0"/>
          <w:numId w:val="71"/>
        </w:numPr>
        <w:rPr>
          <w:rFonts w:ascii="Gill Sans MT" w:hAnsi="Gill Sans MT"/>
        </w:rPr>
      </w:pPr>
      <w:r w:rsidRPr="00E83DA2">
        <w:rPr>
          <w:rFonts w:ascii="Gill Sans MT" w:hAnsi="Gill Sans MT"/>
        </w:rPr>
        <w:t>Improved infrastructure and facilities to support walking and cycling;</w:t>
      </w:r>
    </w:p>
    <w:p w:rsidR="00756B53" w:rsidRPr="00E83DA2" w:rsidRDefault="00756B53" w:rsidP="00756B53">
      <w:pPr>
        <w:pStyle w:val="ListParagraph"/>
        <w:numPr>
          <w:ilvl w:val="0"/>
          <w:numId w:val="71"/>
        </w:numPr>
        <w:rPr>
          <w:rFonts w:ascii="Gill Sans MT" w:hAnsi="Gill Sans MT"/>
        </w:rPr>
      </w:pPr>
      <w:r w:rsidRPr="00E83DA2">
        <w:rPr>
          <w:rFonts w:ascii="Gill Sans MT" w:hAnsi="Gill Sans MT"/>
        </w:rPr>
        <w:t>Improved safety for pedestrians and cyclists;</w:t>
      </w:r>
    </w:p>
    <w:p w:rsidR="00756B53" w:rsidRPr="00E83DA2" w:rsidRDefault="00756B53" w:rsidP="00756B53">
      <w:pPr>
        <w:pStyle w:val="ListParagraph"/>
        <w:numPr>
          <w:ilvl w:val="0"/>
          <w:numId w:val="71"/>
        </w:numPr>
        <w:rPr>
          <w:rFonts w:ascii="Gill Sans MT" w:hAnsi="Gill Sans MT"/>
        </w:rPr>
      </w:pPr>
      <w:r w:rsidRPr="00E83DA2">
        <w:rPr>
          <w:rFonts w:ascii="Gill Sans MT" w:hAnsi="Gill Sans MT"/>
        </w:rPr>
        <w:t>Improved policy and planning that ensures that walking and cycling needs are considered;</w:t>
      </w:r>
    </w:p>
    <w:p w:rsidR="00756B53" w:rsidRPr="00E83DA2" w:rsidRDefault="00756B53" w:rsidP="00756B53">
      <w:pPr>
        <w:pStyle w:val="ListParagraph"/>
        <w:numPr>
          <w:ilvl w:val="0"/>
          <w:numId w:val="71"/>
        </w:numPr>
        <w:rPr>
          <w:rFonts w:ascii="Gill Sans MT" w:hAnsi="Gill Sans MT"/>
        </w:rPr>
      </w:pPr>
      <w:r w:rsidRPr="00E83DA2">
        <w:rPr>
          <w:rFonts w:ascii="Gill Sans MT" w:hAnsi="Gill Sans MT"/>
        </w:rPr>
        <w:t>Better coordination and collaboration with stakeholders;</w:t>
      </w:r>
    </w:p>
    <w:p w:rsidR="00756B53" w:rsidRPr="00E83DA2" w:rsidRDefault="00756B53" w:rsidP="00756B53">
      <w:pPr>
        <w:pStyle w:val="ListParagraph"/>
        <w:numPr>
          <w:ilvl w:val="0"/>
          <w:numId w:val="71"/>
        </w:numPr>
        <w:rPr>
          <w:rFonts w:ascii="Gill Sans MT" w:hAnsi="Gill Sans MT"/>
        </w:rPr>
      </w:pPr>
      <w:r w:rsidRPr="00E83DA2">
        <w:rPr>
          <w:rFonts w:ascii="Gill Sans MT" w:hAnsi="Gill Sans MT"/>
        </w:rPr>
        <w:t>Better understanding walking and cycling needs and patterns; and</w:t>
      </w:r>
    </w:p>
    <w:p w:rsidR="00756B53" w:rsidRPr="00E83DA2" w:rsidRDefault="00756B53" w:rsidP="00756B53">
      <w:pPr>
        <w:pStyle w:val="ListParagraph"/>
        <w:numPr>
          <w:ilvl w:val="0"/>
          <w:numId w:val="71"/>
        </w:numPr>
        <w:rPr>
          <w:rFonts w:ascii="Gill Sans MT" w:hAnsi="Gill Sans MT"/>
        </w:rPr>
      </w:pPr>
      <w:r w:rsidRPr="00E83DA2">
        <w:rPr>
          <w:rFonts w:ascii="Gill Sans MT" w:hAnsi="Gill Sans MT"/>
        </w:rPr>
        <w:t>Creating a walking and cycling culture.</w:t>
      </w:r>
    </w:p>
    <w:p w:rsidR="00756B53" w:rsidRPr="00E83DA2" w:rsidRDefault="00756B53" w:rsidP="00756B53">
      <w:pPr>
        <w:rPr>
          <w:rFonts w:ascii="Gill Sans MT" w:hAnsi="Gill Sans MT"/>
        </w:rPr>
      </w:pPr>
      <w:bookmarkStart w:id="13" w:name="OLE_LINK2"/>
      <w:bookmarkStart w:id="14" w:name="OLE_LINK3"/>
      <w:r w:rsidRPr="00E83DA2">
        <w:rPr>
          <w:rFonts w:ascii="Gill Sans MT" w:hAnsi="Gill Sans MT"/>
        </w:rPr>
        <w:t xml:space="preserve">Also linked to the </w:t>
      </w:r>
      <w:r w:rsidRPr="00E83DA2">
        <w:rPr>
          <w:rFonts w:ascii="Gill Sans MT" w:hAnsi="Gill Sans MT"/>
          <w:i/>
        </w:rPr>
        <w:t>Tasmanian Walking and Cycling for Active Transport Strategy</w:t>
      </w:r>
      <w:r w:rsidRPr="00E83DA2">
        <w:rPr>
          <w:rFonts w:ascii="Gill Sans MT" w:hAnsi="Gill Sans MT"/>
        </w:rPr>
        <w:t xml:space="preserve"> is the </w:t>
      </w:r>
      <w:r w:rsidRPr="00E83DA2">
        <w:rPr>
          <w:rFonts w:ascii="Gill Sans MT" w:hAnsi="Gill Sans MT"/>
          <w:i/>
        </w:rPr>
        <w:t>Greater Launceston Bicycle Network Plan</w:t>
      </w:r>
      <w:r w:rsidRPr="00E83DA2">
        <w:rPr>
          <w:rFonts w:ascii="Gill Sans MT" w:hAnsi="Gill Sans MT"/>
        </w:rPr>
        <w:t>, a collaborative effort between Launceston City Council, West Tamar Council, Meander Valley Council, Northern Midlands Council and Sport and Recreation Tasmania. The project recognises that cyclist often cross municipal boundaries during a journey therefore requiring a regional approach to bicycle network planning. DIER has also undertaken work with the Northern Region to identify the highest priority routes on this network.</w:t>
      </w:r>
    </w:p>
    <w:bookmarkEnd w:id="13"/>
    <w:bookmarkEnd w:id="14"/>
    <w:p w:rsidR="00756B53" w:rsidRPr="00E83DA2" w:rsidRDefault="00756B53" w:rsidP="00756B53">
      <w:pPr>
        <w:rPr>
          <w:rStyle w:val="InstructionText"/>
          <w:szCs w:val="24"/>
        </w:rPr>
      </w:pPr>
      <w:r w:rsidRPr="00E83DA2">
        <w:rPr>
          <w:rStyle w:val="InstructionText"/>
          <w:szCs w:val="24"/>
        </w:rPr>
        <w:t>North East Freight Roads Project</w:t>
      </w:r>
    </w:p>
    <w:p w:rsidR="00756B53" w:rsidRPr="00E83DA2" w:rsidRDefault="00756B53" w:rsidP="00756B53">
      <w:pPr>
        <w:rPr>
          <w:rFonts w:ascii="Gill Sans MT" w:hAnsi="Gill Sans MT"/>
        </w:rPr>
      </w:pPr>
      <w:r w:rsidRPr="00E83DA2">
        <w:rPr>
          <w:rFonts w:ascii="Gill Sans MT" w:hAnsi="Gill Sans MT"/>
        </w:rPr>
        <w:t xml:space="preserve">The North East Freight Roads Project is a package of projects to improve </w:t>
      </w:r>
      <w:r w:rsidRPr="00E83DA2">
        <w:rPr>
          <w:rFonts w:ascii="Gill Sans MT" w:hAnsi="Gill Sans MT" w:cs="Arial"/>
          <w:sz w:val="20"/>
          <w:szCs w:val="20"/>
        </w:rPr>
        <w:t>safety, efficiency</w:t>
      </w:r>
      <w:r w:rsidRPr="00E83DA2">
        <w:rPr>
          <w:rFonts w:ascii="Gill Sans MT" w:hAnsi="Gill Sans MT"/>
        </w:rPr>
        <w:t xml:space="preserve"> </w:t>
      </w:r>
      <w:r w:rsidRPr="00E83DA2">
        <w:rPr>
          <w:rFonts w:ascii="Gill Sans MT" w:hAnsi="Gill Sans MT" w:cs="Arial"/>
          <w:sz w:val="20"/>
          <w:szCs w:val="20"/>
        </w:rPr>
        <w:t xml:space="preserve">and level of service along key routes in the North East. </w:t>
      </w:r>
      <w:r w:rsidRPr="00E83DA2">
        <w:rPr>
          <w:rFonts w:ascii="Gill Sans MT" w:hAnsi="Gill Sans MT"/>
        </w:rPr>
        <w:t xml:space="preserve">The Australian and Tasmanian Governments have committed $32m and $8.5m respectively to the project, with upgrades underway and expected to be delivered over the next three years. </w:t>
      </w:r>
    </w:p>
    <w:p w:rsidR="00756B53" w:rsidRPr="00E83DA2" w:rsidRDefault="00756B53" w:rsidP="00756B53">
      <w:pPr>
        <w:spacing w:after="0"/>
        <w:rPr>
          <w:rFonts w:ascii="Gill Sans MT" w:hAnsi="Gill Sans MT"/>
        </w:rPr>
      </w:pPr>
      <w:r w:rsidRPr="00E83DA2">
        <w:rPr>
          <w:rFonts w:ascii="Gill Sans MT" w:hAnsi="Gill Sans MT"/>
        </w:rPr>
        <w:t>Project priorities are:</w:t>
      </w:r>
    </w:p>
    <w:p w:rsidR="00756B53" w:rsidRPr="00E83DA2" w:rsidRDefault="00756B53" w:rsidP="00756B53">
      <w:pPr>
        <w:pStyle w:val="ListParagraph"/>
        <w:numPr>
          <w:ilvl w:val="0"/>
          <w:numId w:val="72"/>
        </w:numPr>
        <w:spacing w:after="0" w:line="240" w:lineRule="auto"/>
        <w:rPr>
          <w:rFonts w:ascii="Gill Sans MT" w:hAnsi="Gill Sans MT"/>
          <w:b/>
          <w:bCs/>
          <w:color w:val="000000" w:themeColor="text1"/>
        </w:rPr>
      </w:pPr>
      <w:proofErr w:type="spellStart"/>
      <w:r w:rsidRPr="00E83DA2">
        <w:rPr>
          <w:rFonts w:ascii="Gill Sans MT" w:hAnsi="Gill Sans MT"/>
          <w:color w:val="000000" w:themeColor="text1"/>
        </w:rPr>
        <w:t>Tebrakunna</w:t>
      </w:r>
      <w:proofErr w:type="spellEnd"/>
      <w:r w:rsidRPr="00E83DA2">
        <w:rPr>
          <w:rFonts w:ascii="Gill Sans MT" w:hAnsi="Gill Sans MT"/>
          <w:color w:val="000000" w:themeColor="text1"/>
        </w:rPr>
        <w:t xml:space="preserve"> Bridge replacement (completed);</w:t>
      </w:r>
    </w:p>
    <w:p w:rsidR="00756B53" w:rsidRPr="00E83DA2" w:rsidRDefault="00756B53" w:rsidP="00756B53">
      <w:pPr>
        <w:pStyle w:val="ListParagraph"/>
        <w:numPr>
          <w:ilvl w:val="0"/>
          <w:numId w:val="72"/>
        </w:numPr>
        <w:spacing w:after="0" w:line="240" w:lineRule="auto"/>
        <w:rPr>
          <w:rFonts w:ascii="Gill Sans MT" w:hAnsi="Gill Sans MT"/>
          <w:b/>
          <w:bCs/>
          <w:color w:val="000000" w:themeColor="text1"/>
        </w:rPr>
      </w:pPr>
      <w:r w:rsidRPr="00E83DA2">
        <w:rPr>
          <w:rFonts w:ascii="Gill Sans MT" w:hAnsi="Gill Sans MT"/>
          <w:color w:val="000000" w:themeColor="text1"/>
        </w:rPr>
        <w:t>Bridport Main Road between Scottsdale and Bridport;</w:t>
      </w:r>
    </w:p>
    <w:p w:rsidR="00756B53" w:rsidRPr="00E83DA2" w:rsidRDefault="00756B53" w:rsidP="00756B53">
      <w:pPr>
        <w:pStyle w:val="ListParagraph"/>
        <w:numPr>
          <w:ilvl w:val="0"/>
          <w:numId w:val="72"/>
        </w:numPr>
        <w:spacing w:after="0" w:line="240" w:lineRule="auto"/>
        <w:rPr>
          <w:rFonts w:ascii="Gill Sans MT" w:hAnsi="Gill Sans MT"/>
          <w:b/>
          <w:bCs/>
          <w:color w:val="000000" w:themeColor="text1"/>
        </w:rPr>
      </w:pPr>
      <w:r w:rsidRPr="00E83DA2">
        <w:rPr>
          <w:rFonts w:ascii="Gill Sans MT" w:hAnsi="Gill Sans MT"/>
          <w:color w:val="000000" w:themeColor="text1"/>
        </w:rPr>
        <w:t xml:space="preserve">Tasman Highway/Gladstone Main Road between Branxholm and </w:t>
      </w:r>
      <w:proofErr w:type="spellStart"/>
      <w:r w:rsidRPr="00E83DA2">
        <w:rPr>
          <w:rFonts w:ascii="Gill Sans MT" w:hAnsi="Gill Sans MT"/>
          <w:color w:val="000000" w:themeColor="text1"/>
        </w:rPr>
        <w:t>Tebrakunna</w:t>
      </w:r>
      <w:proofErr w:type="spellEnd"/>
      <w:r w:rsidRPr="00E83DA2">
        <w:rPr>
          <w:rFonts w:ascii="Gill Sans MT" w:hAnsi="Gill Sans MT"/>
          <w:color w:val="000000" w:themeColor="text1"/>
        </w:rPr>
        <w:t xml:space="preserve"> Bridge;</w:t>
      </w:r>
    </w:p>
    <w:p w:rsidR="00756B53" w:rsidRPr="00E83DA2" w:rsidRDefault="00756B53" w:rsidP="00756B53">
      <w:pPr>
        <w:pStyle w:val="ListParagraph"/>
        <w:numPr>
          <w:ilvl w:val="0"/>
          <w:numId w:val="72"/>
        </w:numPr>
        <w:spacing w:after="0" w:line="240" w:lineRule="auto"/>
        <w:rPr>
          <w:rFonts w:ascii="Gill Sans MT" w:hAnsi="Gill Sans MT"/>
          <w:b/>
          <w:bCs/>
        </w:rPr>
      </w:pPr>
      <w:r w:rsidRPr="00E83DA2">
        <w:rPr>
          <w:rFonts w:ascii="Gill Sans MT" w:hAnsi="Gill Sans MT"/>
        </w:rPr>
        <w:t>Camden Road and Camden Hills Road;</w:t>
      </w:r>
    </w:p>
    <w:p w:rsidR="00756B53" w:rsidRPr="00E83DA2" w:rsidRDefault="00756B53" w:rsidP="00756B53">
      <w:pPr>
        <w:pStyle w:val="ListParagraph"/>
        <w:numPr>
          <w:ilvl w:val="0"/>
          <w:numId w:val="72"/>
        </w:numPr>
        <w:spacing w:after="0" w:line="240" w:lineRule="auto"/>
        <w:rPr>
          <w:rFonts w:ascii="Gill Sans MT" w:hAnsi="Gill Sans MT"/>
          <w:b/>
          <w:bCs/>
          <w:color w:val="000000" w:themeColor="text1"/>
        </w:rPr>
      </w:pPr>
      <w:r w:rsidRPr="00E83DA2">
        <w:rPr>
          <w:rFonts w:ascii="Gill Sans MT" w:hAnsi="Gill Sans MT"/>
          <w:color w:val="000000" w:themeColor="text1"/>
        </w:rPr>
        <w:t>Key bridges supporting the operable high productivity vehicle (HPV) network in the Mathinna region; and</w:t>
      </w:r>
    </w:p>
    <w:p w:rsidR="00756B53" w:rsidRPr="00E83DA2" w:rsidRDefault="00756B53" w:rsidP="00756B53">
      <w:pPr>
        <w:pStyle w:val="ListParagraph"/>
        <w:numPr>
          <w:ilvl w:val="0"/>
          <w:numId w:val="72"/>
        </w:numPr>
        <w:rPr>
          <w:rFonts w:ascii="Gill Sans MT" w:hAnsi="Gill Sans MT"/>
          <w:color w:val="000000" w:themeColor="text1"/>
        </w:rPr>
      </w:pPr>
      <w:proofErr w:type="spellStart"/>
      <w:r w:rsidRPr="00E83DA2">
        <w:rPr>
          <w:rFonts w:ascii="Gill Sans MT" w:hAnsi="Gill Sans MT"/>
          <w:color w:val="000000" w:themeColor="text1"/>
        </w:rPr>
        <w:t>Pross</w:t>
      </w:r>
      <w:r w:rsidR="00CA770D">
        <w:rPr>
          <w:rFonts w:ascii="Gill Sans MT" w:hAnsi="Gill Sans MT"/>
          <w:color w:val="000000" w:themeColor="text1"/>
        </w:rPr>
        <w:t>ers</w:t>
      </w:r>
      <w:proofErr w:type="spellEnd"/>
      <w:r w:rsidR="00CA770D">
        <w:rPr>
          <w:rFonts w:ascii="Gill Sans MT" w:hAnsi="Gill Sans MT"/>
          <w:color w:val="000000" w:themeColor="text1"/>
        </w:rPr>
        <w:t xml:space="preserve"> Road and Pat</w:t>
      </w:r>
      <w:r w:rsidRPr="00E83DA2">
        <w:rPr>
          <w:rFonts w:ascii="Gill Sans MT" w:hAnsi="Gill Sans MT"/>
          <w:color w:val="000000" w:themeColor="text1"/>
        </w:rPr>
        <w:t>ersonia Road intersections.</w:t>
      </w:r>
    </w:p>
    <w:p w:rsidR="00756B53" w:rsidRPr="00E83DA2" w:rsidRDefault="00756B53" w:rsidP="00756B53">
      <w:pPr>
        <w:pStyle w:val="BodyText2"/>
        <w:autoSpaceDE w:val="0"/>
        <w:autoSpaceDN w:val="0"/>
        <w:adjustRightInd w:val="0"/>
        <w:spacing w:after="200" w:line="276" w:lineRule="auto"/>
        <w:rPr>
          <w:rFonts w:ascii="Gill Sans MT" w:hAnsi="Gill Sans MT"/>
          <w:sz w:val="22"/>
          <w:szCs w:val="22"/>
        </w:rPr>
      </w:pPr>
      <w:r w:rsidRPr="00E83DA2">
        <w:rPr>
          <w:rFonts w:ascii="Gill Sans MT" w:eastAsiaTheme="minorHAnsi" w:hAnsi="Gill Sans MT" w:cstheme="minorBidi"/>
          <w:sz w:val="22"/>
          <w:szCs w:val="22"/>
        </w:rPr>
        <w:t xml:space="preserve">Forestry is most significant freight task in the region.  While recent </w:t>
      </w:r>
      <w:r w:rsidRPr="00E83DA2">
        <w:rPr>
          <w:rFonts w:ascii="Gill Sans MT" w:hAnsi="Gill Sans MT"/>
          <w:sz w:val="22"/>
          <w:szCs w:val="22"/>
        </w:rPr>
        <w:t xml:space="preserve">market changes have seen forestry freight volumes reduce across the network </w:t>
      </w:r>
      <w:proofErr w:type="spellStart"/>
      <w:r w:rsidRPr="00E83DA2">
        <w:rPr>
          <w:rFonts w:ascii="Gill Sans MT" w:hAnsi="Gill Sans MT"/>
          <w:sz w:val="22"/>
          <w:szCs w:val="22"/>
        </w:rPr>
        <w:t>statewide</w:t>
      </w:r>
      <w:proofErr w:type="spellEnd"/>
      <w:r w:rsidRPr="00E83DA2">
        <w:rPr>
          <w:rFonts w:ascii="Gill Sans MT" w:hAnsi="Gill Sans MT"/>
          <w:sz w:val="22"/>
          <w:szCs w:val="22"/>
        </w:rPr>
        <w:t xml:space="preserve">, and the current inter-governmental forestry agreement process will also likely see changes to the location of harvesting, the overall freight task in the North East is still expected to increase over the medium to longer term. This increase reflects the high proportion of plantation timber contained within the region.  </w:t>
      </w:r>
    </w:p>
    <w:p w:rsidR="00756B53" w:rsidRPr="00E83DA2" w:rsidRDefault="00756B53" w:rsidP="00756B53">
      <w:pPr>
        <w:rPr>
          <w:rStyle w:val="InstructionText"/>
          <w:szCs w:val="24"/>
        </w:rPr>
      </w:pPr>
      <w:r w:rsidRPr="00E83DA2">
        <w:rPr>
          <w:rStyle w:val="InstructionText"/>
          <w:szCs w:val="24"/>
        </w:rPr>
        <w:lastRenderedPageBreak/>
        <w:t>Midland Highway Partnership Agreement</w:t>
      </w:r>
    </w:p>
    <w:p w:rsidR="00756B53" w:rsidRPr="00E83DA2" w:rsidRDefault="00756B53" w:rsidP="00756B53">
      <w:pPr>
        <w:jc w:val="both"/>
        <w:rPr>
          <w:rFonts w:ascii="Gill Sans MT" w:hAnsi="Gill Sans MT"/>
        </w:rPr>
      </w:pPr>
      <w:r w:rsidRPr="00E83DA2">
        <w:rPr>
          <w:rFonts w:ascii="Gill Sans MT" w:hAnsi="Gill Sans MT"/>
        </w:rPr>
        <w:t xml:space="preserve">The </w:t>
      </w:r>
      <w:r w:rsidRPr="00E83DA2">
        <w:rPr>
          <w:rFonts w:ascii="Gill Sans MT" w:hAnsi="Gill Sans MT"/>
          <w:i/>
        </w:rPr>
        <w:t>Midland Highway Partnership Agreement</w:t>
      </w:r>
      <w:r w:rsidRPr="00E83DA2">
        <w:rPr>
          <w:rFonts w:ascii="Gill Sans MT" w:hAnsi="Gill Sans MT"/>
        </w:rPr>
        <w:t xml:space="preserve"> is a joint agreement between the Tasmanian Government and seven local government areas through which the Midland Highway passes. In the Northern Region, this includes the Northern Midlands Council and Launceston City Council. The Agreement outlines the agreed priority projects over the short, medium and longer term. </w:t>
      </w:r>
    </w:p>
    <w:p w:rsidR="00756B53" w:rsidRPr="00E83DA2" w:rsidRDefault="00756B53" w:rsidP="00756B53">
      <w:pPr>
        <w:jc w:val="both"/>
        <w:rPr>
          <w:rFonts w:ascii="Gill Sans MT" w:hAnsi="Gill Sans MT"/>
        </w:rPr>
      </w:pPr>
      <w:r w:rsidRPr="00E83DA2">
        <w:rPr>
          <w:rFonts w:ascii="Gill Sans MT" w:hAnsi="Gill Sans MT"/>
        </w:rPr>
        <w:t>Priority projects relating to the Northern Region include:</w:t>
      </w:r>
    </w:p>
    <w:tbl>
      <w:tblPr>
        <w:tblStyle w:val="TableGrid"/>
        <w:tblW w:w="9214" w:type="dxa"/>
        <w:tblInd w:w="108" w:type="dxa"/>
        <w:tblLook w:val="04A0"/>
      </w:tblPr>
      <w:tblGrid>
        <w:gridCol w:w="1418"/>
        <w:gridCol w:w="7796"/>
      </w:tblGrid>
      <w:tr w:rsidR="008D2E39" w:rsidRPr="00E83DA2" w:rsidTr="008D2E39">
        <w:trPr>
          <w:trHeight w:val="451"/>
          <w:tblHeader/>
        </w:trPr>
        <w:tc>
          <w:tcPr>
            <w:tcW w:w="9214" w:type="dxa"/>
            <w:gridSpan w:val="2"/>
            <w:shd w:val="clear" w:color="auto" w:fill="4F81BD" w:themeFill="accent1"/>
            <w:vAlign w:val="center"/>
          </w:tcPr>
          <w:p w:rsidR="008D2E39" w:rsidRPr="00E83DA2" w:rsidRDefault="00444FF8" w:rsidP="008D2E39">
            <w:pPr>
              <w:rPr>
                <w:rFonts w:ascii="Gill Sans MT" w:hAnsi="Gill Sans MT"/>
                <w:b/>
                <w:sz w:val="20"/>
                <w:szCs w:val="20"/>
              </w:rPr>
            </w:pPr>
            <w:r>
              <w:rPr>
                <w:rFonts w:ascii="Gill Sans MT" w:hAnsi="Gill Sans MT"/>
                <w:b/>
                <w:i/>
                <w:sz w:val="20"/>
                <w:szCs w:val="20"/>
              </w:rPr>
              <w:t>Figure 5</w:t>
            </w:r>
            <w:r w:rsidR="008D2E39" w:rsidRPr="00E83DA2">
              <w:rPr>
                <w:rFonts w:ascii="Gill Sans MT" w:hAnsi="Gill Sans MT"/>
                <w:b/>
                <w:i/>
                <w:sz w:val="20"/>
                <w:szCs w:val="20"/>
              </w:rPr>
              <w:t xml:space="preserve">. </w:t>
            </w:r>
            <w:r w:rsidR="008D2E39" w:rsidRPr="00E83DA2">
              <w:rPr>
                <w:rFonts w:ascii="Gill Sans MT" w:hAnsi="Gill Sans MT"/>
                <w:b/>
                <w:sz w:val="20"/>
                <w:szCs w:val="20"/>
              </w:rPr>
              <w:t xml:space="preserve">Priority projects for Northern Region, </w:t>
            </w:r>
            <w:r w:rsidR="008D2E39" w:rsidRPr="00E83DA2">
              <w:rPr>
                <w:rFonts w:ascii="Gill Sans MT" w:hAnsi="Gill Sans MT"/>
                <w:b/>
                <w:i/>
                <w:sz w:val="20"/>
                <w:szCs w:val="20"/>
              </w:rPr>
              <w:t>Midland Highway Partnership Agreement.</w:t>
            </w:r>
          </w:p>
        </w:tc>
      </w:tr>
      <w:tr w:rsidR="00756B53" w:rsidRPr="00E83DA2" w:rsidTr="008D2E39">
        <w:trPr>
          <w:tblHeader/>
        </w:trPr>
        <w:tc>
          <w:tcPr>
            <w:tcW w:w="1418" w:type="dxa"/>
            <w:shd w:val="clear" w:color="auto" w:fill="4F81BD" w:themeFill="accent1"/>
          </w:tcPr>
          <w:p w:rsidR="00756B53" w:rsidRPr="00E83DA2" w:rsidRDefault="00756B53" w:rsidP="008D2E39">
            <w:pPr>
              <w:rPr>
                <w:rFonts w:ascii="Gill Sans MT" w:hAnsi="Gill Sans MT"/>
                <w:b/>
                <w:sz w:val="20"/>
                <w:szCs w:val="20"/>
              </w:rPr>
            </w:pPr>
            <w:r w:rsidRPr="00E83DA2">
              <w:rPr>
                <w:rFonts w:ascii="Gill Sans MT" w:hAnsi="Gill Sans MT"/>
                <w:b/>
                <w:sz w:val="20"/>
                <w:szCs w:val="20"/>
              </w:rPr>
              <w:t>Timeframe</w:t>
            </w:r>
          </w:p>
        </w:tc>
        <w:tc>
          <w:tcPr>
            <w:tcW w:w="7796" w:type="dxa"/>
            <w:shd w:val="clear" w:color="auto" w:fill="4F81BD" w:themeFill="accent1"/>
          </w:tcPr>
          <w:p w:rsidR="00756B53" w:rsidRPr="00E83DA2" w:rsidRDefault="00756B53" w:rsidP="008D2E39">
            <w:pPr>
              <w:rPr>
                <w:rFonts w:ascii="Gill Sans MT" w:hAnsi="Gill Sans MT"/>
                <w:b/>
                <w:sz w:val="20"/>
                <w:szCs w:val="20"/>
              </w:rPr>
            </w:pPr>
            <w:r w:rsidRPr="00E83DA2">
              <w:rPr>
                <w:rFonts w:ascii="Gill Sans MT" w:hAnsi="Gill Sans MT"/>
                <w:b/>
                <w:sz w:val="20"/>
                <w:szCs w:val="20"/>
              </w:rPr>
              <w:t>Priority Projects</w:t>
            </w:r>
          </w:p>
        </w:tc>
      </w:tr>
      <w:tr w:rsidR="00756B53" w:rsidRPr="00E83DA2" w:rsidTr="008D2E39">
        <w:tc>
          <w:tcPr>
            <w:tcW w:w="1418" w:type="dxa"/>
          </w:tcPr>
          <w:p w:rsidR="00756B53" w:rsidRPr="00E83DA2" w:rsidRDefault="00756B53" w:rsidP="008D2E39">
            <w:pPr>
              <w:rPr>
                <w:rFonts w:ascii="Gill Sans MT" w:hAnsi="Gill Sans MT"/>
                <w:b/>
                <w:sz w:val="20"/>
                <w:szCs w:val="20"/>
              </w:rPr>
            </w:pPr>
            <w:r w:rsidRPr="00E83DA2">
              <w:rPr>
                <w:rFonts w:ascii="Gill Sans MT" w:hAnsi="Gill Sans MT"/>
                <w:sz w:val="20"/>
                <w:szCs w:val="20"/>
              </w:rPr>
              <w:t>Immediate to 5 Years</w:t>
            </w:r>
          </w:p>
        </w:tc>
        <w:tc>
          <w:tcPr>
            <w:tcW w:w="7796" w:type="dxa"/>
          </w:tcPr>
          <w:p w:rsidR="00756B53" w:rsidRPr="00E83DA2" w:rsidRDefault="00756B53" w:rsidP="008D2E39">
            <w:pPr>
              <w:pStyle w:val="ListParagraph"/>
              <w:numPr>
                <w:ilvl w:val="0"/>
                <w:numId w:val="73"/>
              </w:numPr>
              <w:rPr>
                <w:rFonts w:ascii="Gill Sans MT" w:hAnsi="Gill Sans MT"/>
                <w:sz w:val="20"/>
                <w:szCs w:val="20"/>
              </w:rPr>
            </w:pPr>
            <w:proofErr w:type="spellStart"/>
            <w:r w:rsidRPr="00E83DA2">
              <w:rPr>
                <w:rFonts w:ascii="Gill Sans MT" w:hAnsi="Gill Sans MT"/>
                <w:sz w:val="20"/>
                <w:szCs w:val="20"/>
              </w:rPr>
              <w:t>Symmons</w:t>
            </w:r>
            <w:proofErr w:type="spellEnd"/>
            <w:r w:rsidRPr="00E83DA2">
              <w:rPr>
                <w:rFonts w:ascii="Gill Sans MT" w:hAnsi="Gill Sans MT"/>
                <w:sz w:val="20"/>
                <w:szCs w:val="20"/>
              </w:rPr>
              <w:t xml:space="preserve"> Plains – road realignment to improve horizontal and vertical curves, extension of overtaking lanes and upgrade access to raceway – $30m</w:t>
            </w:r>
          </w:p>
          <w:p w:rsidR="00756B53" w:rsidRPr="00E83DA2" w:rsidRDefault="00756B53" w:rsidP="008D2E39">
            <w:pPr>
              <w:pStyle w:val="ListParagraph"/>
              <w:numPr>
                <w:ilvl w:val="0"/>
                <w:numId w:val="73"/>
              </w:numPr>
              <w:rPr>
                <w:rFonts w:ascii="Gill Sans MT" w:hAnsi="Gill Sans MT"/>
                <w:sz w:val="20"/>
                <w:szCs w:val="20"/>
              </w:rPr>
            </w:pPr>
            <w:r w:rsidRPr="00E83DA2">
              <w:rPr>
                <w:rFonts w:ascii="Gill Sans MT" w:hAnsi="Gill Sans MT"/>
                <w:sz w:val="20"/>
                <w:szCs w:val="20"/>
              </w:rPr>
              <w:t xml:space="preserve">Mona Vale Road – road realignment to improve horizontal curves consistent with adjacent sections of road– $30m </w:t>
            </w:r>
          </w:p>
          <w:p w:rsidR="00756B53" w:rsidRPr="00E83DA2" w:rsidRDefault="00756B53" w:rsidP="008D2E39">
            <w:pPr>
              <w:pStyle w:val="ListParagraph"/>
              <w:numPr>
                <w:ilvl w:val="0"/>
                <w:numId w:val="73"/>
              </w:numPr>
              <w:rPr>
                <w:rFonts w:ascii="Gill Sans MT" w:hAnsi="Gill Sans MT"/>
                <w:sz w:val="20"/>
                <w:szCs w:val="20"/>
              </w:rPr>
            </w:pPr>
            <w:r w:rsidRPr="00E83DA2">
              <w:rPr>
                <w:rFonts w:ascii="Gill Sans MT" w:hAnsi="Gill Sans MT"/>
                <w:sz w:val="20"/>
                <w:szCs w:val="20"/>
              </w:rPr>
              <w:t>White Lagoon – widening and installation of separation barrier - $6m-$7m</w:t>
            </w:r>
          </w:p>
          <w:p w:rsidR="00756B53" w:rsidRPr="00E83DA2" w:rsidRDefault="00756B53" w:rsidP="008D2E39">
            <w:pPr>
              <w:pStyle w:val="ListParagraph"/>
              <w:numPr>
                <w:ilvl w:val="0"/>
                <w:numId w:val="73"/>
              </w:numPr>
              <w:rPr>
                <w:rFonts w:ascii="Gill Sans MT" w:hAnsi="Gill Sans MT"/>
                <w:sz w:val="20"/>
                <w:szCs w:val="20"/>
              </w:rPr>
            </w:pPr>
            <w:r w:rsidRPr="00E83DA2">
              <w:rPr>
                <w:rFonts w:ascii="Gill Sans MT" w:hAnsi="Gill Sans MT"/>
                <w:sz w:val="20"/>
                <w:szCs w:val="20"/>
              </w:rPr>
              <w:t>Drummond Street, Perth – junction upgrade to improve turning movement for freight and other vehicles –$2m</w:t>
            </w:r>
          </w:p>
          <w:p w:rsidR="00756B53" w:rsidRPr="00E83DA2" w:rsidRDefault="00756B53" w:rsidP="008D2E39">
            <w:pPr>
              <w:pStyle w:val="ListParagraph"/>
              <w:numPr>
                <w:ilvl w:val="0"/>
                <w:numId w:val="73"/>
              </w:numPr>
              <w:rPr>
                <w:rFonts w:ascii="Gill Sans MT" w:hAnsi="Gill Sans MT"/>
                <w:sz w:val="20"/>
                <w:szCs w:val="20"/>
              </w:rPr>
            </w:pPr>
            <w:r w:rsidRPr="00E83DA2">
              <w:rPr>
                <w:rFonts w:ascii="Gill Sans MT" w:hAnsi="Gill Sans MT"/>
                <w:sz w:val="20"/>
                <w:szCs w:val="20"/>
              </w:rPr>
              <w:t>Campbell Town and Perth – safety and amenity improvements through shared vehicle/pedestrian zone – $1m</w:t>
            </w:r>
          </w:p>
          <w:p w:rsidR="00756B53" w:rsidRPr="00E83DA2" w:rsidRDefault="00756B53" w:rsidP="008D2E39">
            <w:pPr>
              <w:pStyle w:val="ListParagraph"/>
              <w:numPr>
                <w:ilvl w:val="0"/>
                <w:numId w:val="73"/>
              </w:numPr>
              <w:rPr>
                <w:rFonts w:ascii="Gill Sans MT" w:hAnsi="Gill Sans MT"/>
                <w:sz w:val="20"/>
                <w:szCs w:val="20"/>
              </w:rPr>
            </w:pPr>
            <w:r w:rsidRPr="00E83DA2">
              <w:rPr>
                <w:rFonts w:ascii="Gill Sans MT" w:hAnsi="Gill Sans MT"/>
                <w:sz w:val="20"/>
                <w:szCs w:val="20"/>
              </w:rPr>
              <w:t xml:space="preserve">Other specific junction upgrades, including the </w:t>
            </w:r>
            <w:proofErr w:type="spellStart"/>
            <w:r w:rsidRPr="00E83DA2">
              <w:rPr>
                <w:rFonts w:ascii="Gill Sans MT" w:hAnsi="Gill Sans MT"/>
                <w:sz w:val="20"/>
                <w:szCs w:val="20"/>
              </w:rPr>
              <w:t>Eskleigh</w:t>
            </w:r>
            <w:proofErr w:type="spellEnd"/>
            <w:r w:rsidRPr="00E83DA2">
              <w:rPr>
                <w:rFonts w:ascii="Gill Sans MT" w:hAnsi="Gill Sans MT"/>
                <w:sz w:val="20"/>
                <w:szCs w:val="20"/>
              </w:rPr>
              <w:t xml:space="preserve"> junction at Perth (M1-M9) – $14m-$23m</w:t>
            </w:r>
          </w:p>
          <w:p w:rsidR="00756B53" w:rsidRPr="00E83DA2" w:rsidRDefault="00756B53" w:rsidP="008D2E39">
            <w:pPr>
              <w:pStyle w:val="ListParagraph"/>
              <w:numPr>
                <w:ilvl w:val="0"/>
                <w:numId w:val="73"/>
              </w:numPr>
              <w:rPr>
                <w:rFonts w:ascii="Gill Sans MT" w:hAnsi="Gill Sans MT"/>
                <w:sz w:val="20"/>
                <w:szCs w:val="20"/>
              </w:rPr>
            </w:pPr>
            <w:r w:rsidRPr="00E83DA2">
              <w:rPr>
                <w:rFonts w:ascii="Gill Sans MT" w:hAnsi="Gill Sans MT"/>
                <w:sz w:val="20"/>
                <w:szCs w:val="20"/>
              </w:rPr>
              <w:t>Pavement rehabilitation and resurfacing – various sites between Brighton and Perth – $9m</w:t>
            </w:r>
          </w:p>
          <w:p w:rsidR="00756B53" w:rsidRPr="00E83DA2" w:rsidRDefault="00756B53" w:rsidP="008D2E39">
            <w:pPr>
              <w:pStyle w:val="ListParagraph"/>
              <w:numPr>
                <w:ilvl w:val="0"/>
                <w:numId w:val="73"/>
              </w:numPr>
              <w:rPr>
                <w:rFonts w:ascii="Gill Sans MT" w:hAnsi="Gill Sans MT"/>
                <w:sz w:val="20"/>
                <w:szCs w:val="20"/>
              </w:rPr>
            </w:pPr>
            <w:r w:rsidRPr="00E83DA2">
              <w:rPr>
                <w:rFonts w:ascii="Gill Sans MT" w:hAnsi="Gill Sans MT"/>
                <w:sz w:val="20"/>
                <w:szCs w:val="20"/>
              </w:rPr>
              <w:t>Shoulder sealing to provide minimum sealed shoulder width of 1.5 metres – $50m</w:t>
            </w:r>
          </w:p>
          <w:p w:rsidR="00756B53" w:rsidRPr="00E83DA2" w:rsidRDefault="00756B53" w:rsidP="008D2E39">
            <w:pPr>
              <w:pStyle w:val="ListParagraph"/>
              <w:numPr>
                <w:ilvl w:val="0"/>
                <w:numId w:val="73"/>
              </w:numPr>
              <w:rPr>
                <w:rFonts w:ascii="Gill Sans MT" w:hAnsi="Gill Sans MT"/>
                <w:sz w:val="20"/>
                <w:szCs w:val="20"/>
              </w:rPr>
            </w:pPr>
            <w:r w:rsidRPr="00E83DA2">
              <w:rPr>
                <w:rFonts w:ascii="Gill Sans MT" w:hAnsi="Gill Sans MT"/>
                <w:sz w:val="20"/>
                <w:szCs w:val="20"/>
              </w:rPr>
              <w:t>Sight distance improvements, delineation and roadside hazard protection – $15m</w:t>
            </w:r>
          </w:p>
          <w:p w:rsidR="00756B53" w:rsidRPr="00E83DA2" w:rsidRDefault="00756B53" w:rsidP="008D2E39">
            <w:pPr>
              <w:pStyle w:val="ListParagraph"/>
              <w:numPr>
                <w:ilvl w:val="0"/>
                <w:numId w:val="73"/>
              </w:numPr>
              <w:rPr>
                <w:rFonts w:ascii="Gill Sans MT" w:hAnsi="Gill Sans MT"/>
                <w:sz w:val="20"/>
                <w:szCs w:val="20"/>
              </w:rPr>
            </w:pPr>
            <w:r w:rsidRPr="00E83DA2">
              <w:rPr>
                <w:rFonts w:ascii="Gill Sans MT" w:hAnsi="Gill Sans MT"/>
                <w:sz w:val="20"/>
                <w:szCs w:val="20"/>
              </w:rPr>
              <w:t>Vehicle responsive and weather responsive electronic signs – $1m</w:t>
            </w:r>
          </w:p>
        </w:tc>
      </w:tr>
      <w:tr w:rsidR="00756B53" w:rsidRPr="00E83DA2" w:rsidTr="008D2E39">
        <w:tc>
          <w:tcPr>
            <w:tcW w:w="1418" w:type="dxa"/>
          </w:tcPr>
          <w:p w:rsidR="00756B53" w:rsidRPr="00E83DA2" w:rsidRDefault="00756B53" w:rsidP="008D2E39">
            <w:pPr>
              <w:rPr>
                <w:rFonts w:ascii="Gill Sans MT" w:hAnsi="Gill Sans MT"/>
                <w:b/>
                <w:sz w:val="20"/>
                <w:szCs w:val="20"/>
              </w:rPr>
            </w:pPr>
            <w:r w:rsidRPr="00E83DA2">
              <w:rPr>
                <w:rFonts w:ascii="Gill Sans MT" w:hAnsi="Gill Sans MT"/>
                <w:sz w:val="20"/>
                <w:szCs w:val="20"/>
              </w:rPr>
              <w:t>5 to 10 Years</w:t>
            </w:r>
          </w:p>
        </w:tc>
        <w:tc>
          <w:tcPr>
            <w:tcW w:w="7796" w:type="dxa"/>
          </w:tcPr>
          <w:p w:rsidR="00756B53" w:rsidRPr="00E83DA2" w:rsidRDefault="00756B53" w:rsidP="008D2E39">
            <w:pPr>
              <w:pStyle w:val="ListParagraph"/>
              <w:numPr>
                <w:ilvl w:val="0"/>
                <w:numId w:val="74"/>
              </w:numPr>
              <w:rPr>
                <w:rFonts w:ascii="Gill Sans MT" w:hAnsi="Gill Sans MT"/>
                <w:sz w:val="20"/>
                <w:szCs w:val="20"/>
              </w:rPr>
            </w:pPr>
            <w:r w:rsidRPr="00E83DA2">
              <w:rPr>
                <w:rFonts w:ascii="Gill Sans MT" w:hAnsi="Gill Sans MT"/>
                <w:sz w:val="20"/>
                <w:szCs w:val="20"/>
              </w:rPr>
              <w:t>Perth to Breadalbane – new interchange with Evandale Main Road and divided four-lanes to Perth – $70m</w:t>
            </w:r>
          </w:p>
          <w:p w:rsidR="00756B53" w:rsidRPr="00E83DA2" w:rsidRDefault="00756B53" w:rsidP="008D2E39">
            <w:pPr>
              <w:pStyle w:val="ListParagraph"/>
              <w:numPr>
                <w:ilvl w:val="0"/>
                <w:numId w:val="74"/>
              </w:numPr>
              <w:rPr>
                <w:rFonts w:ascii="Gill Sans MT" w:hAnsi="Gill Sans MT"/>
                <w:sz w:val="20"/>
                <w:szCs w:val="20"/>
              </w:rPr>
            </w:pPr>
            <w:r w:rsidRPr="00E83DA2">
              <w:rPr>
                <w:rFonts w:ascii="Gill Sans MT" w:hAnsi="Gill Sans MT"/>
                <w:sz w:val="20"/>
                <w:szCs w:val="20"/>
              </w:rPr>
              <w:t>Ongoing program of pavement rehabilitation and resurfacing – $10m</w:t>
            </w:r>
          </w:p>
        </w:tc>
      </w:tr>
      <w:tr w:rsidR="00756B53" w:rsidRPr="00E83DA2" w:rsidTr="008D2E39">
        <w:tc>
          <w:tcPr>
            <w:tcW w:w="1418" w:type="dxa"/>
          </w:tcPr>
          <w:p w:rsidR="00756B53" w:rsidRPr="00E83DA2" w:rsidRDefault="00756B53" w:rsidP="008D2E39">
            <w:pPr>
              <w:rPr>
                <w:rFonts w:ascii="Gill Sans MT" w:hAnsi="Gill Sans MT"/>
                <w:b/>
                <w:sz w:val="20"/>
                <w:szCs w:val="20"/>
              </w:rPr>
            </w:pPr>
            <w:r w:rsidRPr="00E83DA2">
              <w:rPr>
                <w:rFonts w:ascii="Gill Sans MT" w:hAnsi="Gill Sans MT"/>
                <w:sz w:val="20"/>
                <w:szCs w:val="20"/>
              </w:rPr>
              <w:t>10 to 25 Years</w:t>
            </w:r>
          </w:p>
        </w:tc>
        <w:tc>
          <w:tcPr>
            <w:tcW w:w="7796" w:type="dxa"/>
          </w:tcPr>
          <w:p w:rsidR="00756B53" w:rsidRPr="00E83DA2" w:rsidRDefault="00756B53" w:rsidP="008D2E39">
            <w:pPr>
              <w:pStyle w:val="ListParagraph"/>
              <w:numPr>
                <w:ilvl w:val="0"/>
                <w:numId w:val="75"/>
              </w:numPr>
              <w:rPr>
                <w:rFonts w:ascii="Gill Sans MT" w:hAnsi="Gill Sans MT"/>
                <w:sz w:val="20"/>
                <w:szCs w:val="20"/>
              </w:rPr>
            </w:pPr>
            <w:r w:rsidRPr="00E83DA2">
              <w:rPr>
                <w:rFonts w:ascii="Gill Sans MT" w:hAnsi="Gill Sans MT"/>
                <w:sz w:val="20"/>
                <w:szCs w:val="20"/>
              </w:rPr>
              <w:t>Esk Main Road junction at Conara – improvement to alignment and grade separated junction with Esk Main Road – $50m</w:t>
            </w:r>
          </w:p>
          <w:p w:rsidR="00756B53" w:rsidRPr="00E83DA2" w:rsidRDefault="00756B53" w:rsidP="008D2E39">
            <w:pPr>
              <w:pStyle w:val="ListParagraph"/>
              <w:numPr>
                <w:ilvl w:val="0"/>
                <w:numId w:val="75"/>
              </w:numPr>
              <w:rPr>
                <w:rFonts w:ascii="Gill Sans MT" w:hAnsi="Gill Sans MT"/>
                <w:sz w:val="20"/>
                <w:szCs w:val="20"/>
              </w:rPr>
            </w:pPr>
            <w:r w:rsidRPr="00E83DA2">
              <w:rPr>
                <w:rFonts w:ascii="Gill Sans MT" w:hAnsi="Gill Sans MT"/>
                <w:sz w:val="20"/>
                <w:szCs w:val="20"/>
              </w:rPr>
              <w:t>Perth – western bypass – connecting Midland Highway, Illawarra Main Road and Southern Outlet – $120m-$210m</w:t>
            </w:r>
          </w:p>
          <w:p w:rsidR="00756B53" w:rsidRPr="00E83DA2" w:rsidRDefault="00756B53" w:rsidP="008D2E39">
            <w:pPr>
              <w:pStyle w:val="ListParagraph"/>
              <w:numPr>
                <w:ilvl w:val="0"/>
                <w:numId w:val="75"/>
              </w:numPr>
              <w:rPr>
                <w:rFonts w:ascii="Gill Sans MT" w:hAnsi="Gill Sans MT"/>
                <w:sz w:val="20"/>
                <w:szCs w:val="20"/>
              </w:rPr>
            </w:pPr>
            <w:r w:rsidRPr="00E83DA2">
              <w:rPr>
                <w:rFonts w:ascii="Gill Sans MT" w:hAnsi="Gill Sans MT"/>
                <w:sz w:val="20"/>
                <w:szCs w:val="20"/>
              </w:rPr>
              <w:t>Ongoing program of pavement rehabilitation and resurfacing</w:t>
            </w:r>
          </w:p>
          <w:p w:rsidR="00756B53" w:rsidRPr="00E83DA2" w:rsidRDefault="00756B53" w:rsidP="008D2E39">
            <w:pPr>
              <w:pStyle w:val="ListParagraph"/>
              <w:numPr>
                <w:ilvl w:val="0"/>
                <w:numId w:val="75"/>
              </w:numPr>
              <w:rPr>
                <w:rFonts w:ascii="Gill Sans MT" w:hAnsi="Gill Sans MT"/>
                <w:sz w:val="20"/>
                <w:szCs w:val="20"/>
              </w:rPr>
            </w:pPr>
            <w:r w:rsidRPr="00E83DA2">
              <w:rPr>
                <w:rFonts w:ascii="Gill Sans MT" w:hAnsi="Gill Sans MT"/>
                <w:sz w:val="20"/>
                <w:szCs w:val="20"/>
              </w:rPr>
              <w:t>Ongoing program of widening, overtaking lanes and separation barriers –$200m-$300m</w:t>
            </w:r>
          </w:p>
        </w:tc>
      </w:tr>
    </w:tbl>
    <w:p w:rsidR="00756B53" w:rsidRPr="00E83DA2" w:rsidRDefault="00756B53" w:rsidP="00756B53">
      <w:pPr>
        <w:rPr>
          <w:rFonts w:ascii="Gill Sans MT" w:hAnsi="Gill Sans MT"/>
        </w:rPr>
      </w:pPr>
    </w:p>
    <w:p w:rsidR="00756B53" w:rsidRPr="00E83DA2" w:rsidRDefault="00756B53" w:rsidP="00756B53">
      <w:pPr>
        <w:rPr>
          <w:rStyle w:val="InstructionText"/>
          <w:szCs w:val="24"/>
        </w:rPr>
      </w:pPr>
      <w:r w:rsidRPr="00E83DA2">
        <w:rPr>
          <w:rStyle w:val="InstructionText"/>
          <w:szCs w:val="24"/>
        </w:rPr>
        <w:t>Tasmanian AusLink Corridor Strategy 2007</w:t>
      </w:r>
    </w:p>
    <w:p w:rsidR="00756B53" w:rsidRPr="00E83DA2" w:rsidRDefault="00756B53" w:rsidP="00756B53">
      <w:pPr>
        <w:rPr>
          <w:rFonts w:ascii="Gill Sans MT" w:hAnsi="Gill Sans MT"/>
        </w:rPr>
      </w:pPr>
      <w:r w:rsidRPr="00E83DA2">
        <w:rPr>
          <w:rFonts w:ascii="Gill Sans MT" w:hAnsi="Gill Sans MT"/>
        </w:rPr>
        <w:t xml:space="preserve">The National Network links the key population centres of Hobart, Launceston, Devonport and Burnie, major ports at Burnie, Bell Bay, Devonport and Hobart, and key industrial centres. The network covers Tasmania’s major intrastate passenger and freight corridors, in terms of function and total passenger and freight volumes. </w:t>
      </w:r>
    </w:p>
    <w:p w:rsidR="00756B53" w:rsidRPr="00E83DA2" w:rsidRDefault="00756B53" w:rsidP="00756B53">
      <w:pPr>
        <w:rPr>
          <w:rFonts w:ascii="Gill Sans MT" w:hAnsi="Gill Sans MT"/>
        </w:rPr>
      </w:pPr>
      <w:r w:rsidRPr="00E83DA2">
        <w:rPr>
          <w:rFonts w:ascii="Gill Sans MT" w:hAnsi="Gill Sans MT"/>
        </w:rPr>
        <w:t>In the Northern region the National Network includes the East Tamar Highway between Launceston and Bell Bay, se</w:t>
      </w:r>
      <w:r w:rsidR="00A50F40">
        <w:rPr>
          <w:rFonts w:ascii="Gill Sans MT" w:hAnsi="Gill Sans MT"/>
        </w:rPr>
        <w:t>ctions of the Midland and Bass H</w:t>
      </w:r>
      <w:r w:rsidRPr="00E83DA2">
        <w:rPr>
          <w:rFonts w:ascii="Gill Sans MT" w:hAnsi="Gill Sans MT"/>
        </w:rPr>
        <w:t xml:space="preserve">ighways, the </w:t>
      </w:r>
      <w:r w:rsidRPr="00E83DA2">
        <w:rPr>
          <w:rFonts w:ascii="Gill Sans MT" w:hAnsi="Gill Sans MT"/>
        </w:rPr>
        <w:lastRenderedPageBreak/>
        <w:t>North-South Rail Line and Western Rail Line. Other key road links identified in as significant in the AusLink Corridor Strategy, but which are not part of the network, include Illawarra Main Road and Evandale Main Road to the Western Junction.</w:t>
      </w:r>
    </w:p>
    <w:p w:rsidR="00756B53" w:rsidRPr="00E83DA2" w:rsidRDefault="00756B53" w:rsidP="00756B53">
      <w:pPr>
        <w:rPr>
          <w:rFonts w:ascii="Gill Sans MT" w:hAnsi="Gill Sans MT"/>
        </w:rPr>
      </w:pPr>
      <w:r w:rsidRPr="00E83DA2">
        <w:rPr>
          <w:rFonts w:ascii="Gill Sans MT" w:hAnsi="Gill Sans MT"/>
        </w:rPr>
        <w:t xml:space="preserve">The </w:t>
      </w:r>
      <w:r w:rsidRPr="00E83DA2">
        <w:rPr>
          <w:rFonts w:ascii="Gill Sans MT" w:hAnsi="Gill Sans MT"/>
          <w:i/>
        </w:rPr>
        <w:t>Tasmanian AusLink Corridor Strategy 2007</w:t>
      </w:r>
      <w:r w:rsidRPr="00E83DA2">
        <w:rPr>
          <w:rFonts w:ascii="Gill Sans MT" w:hAnsi="Gill Sans MT"/>
        </w:rPr>
        <w:t xml:space="preserve"> represents a statement of the Tasmanian and Australian Government’s shared strategic priorities for the long-term development of the National Network. The Strategy provides guidance to on specific network issues and priorities, and has been a key input to the successful securing of funding for major projects (Brighton Bypass, East Tamar Highway, increased rail funding).</w:t>
      </w:r>
    </w:p>
    <w:tbl>
      <w:tblPr>
        <w:tblStyle w:val="TableGrid"/>
        <w:tblW w:w="0" w:type="auto"/>
        <w:tblLook w:val="04A0"/>
      </w:tblPr>
      <w:tblGrid>
        <w:gridCol w:w="4621"/>
        <w:gridCol w:w="4621"/>
      </w:tblGrid>
      <w:tr w:rsidR="008D2E39" w:rsidRPr="00E83DA2" w:rsidTr="008D2E39">
        <w:trPr>
          <w:trHeight w:val="437"/>
          <w:tblHeader/>
        </w:trPr>
        <w:tc>
          <w:tcPr>
            <w:tcW w:w="9242" w:type="dxa"/>
            <w:gridSpan w:val="2"/>
            <w:shd w:val="clear" w:color="auto" w:fill="4F81BD" w:themeFill="accent1"/>
            <w:vAlign w:val="center"/>
          </w:tcPr>
          <w:p w:rsidR="008D2E39" w:rsidRPr="00E83DA2" w:rsidRDefault="00444FF8" w:rsidP="008D2E39">
            <w:pPr>
              <w:rPr>
                <w:rFonts w:ascii="Gill Sans MT" w:hAnsi="Gill Sans MT"/>
                <w:b/>
                <w:sz w:val="20"/>
                <w:szCs w:val="20"/>
              </w:rPr>
            </w:pPr>
            <w:r>
              <w:rPr>
                <w:rFonts w:ascii="Gill Sans MT" w:hAnsi="Gill Sans MT"/>
                <w:b/>
                <w:i/>
                <w:sz w:val="20"/>
                <w:szCs w:val="20"/>
              </w:rPr>
              <w:t>Figure 6</w:t>
            </w:r>
            <w:r w:rsidR="008D2E39" w:rsidRPr="00E83DA2">
              <w:rPr>
                <w:rFonts w:ascii="Gill Sans MT" w:hAnsi="Gill Sans MT"/>
                <w:b/>
                <w:i/>
                <w:sz w:val="20"/>
                <w:szCs w:val="20"/>
              </w:rPr>
              <w:t>.</w:t>
            </w:r>
            <w:r w:rsidR="008D2E39" w:rsidRPr="00E83DA2">
              <w:rPr>
                <w:rFonts w:ascii="Gill Sans MT" w:hAnsi="Gill Sans MT"/>
                <w:b/>
                <w:sz w:val="20"/>
                <w:szCs w:val="20"/>
              </w:rPr>
              <w:t xml:space="preserve"> Short- and Long-term priorities, </w:t>
            </w:r>
            <w:r w:rsidR="008D2E39" w:rsidRPr="00E83DA2">
              <w:rPr>
                <w:rFonts w:ascii="Gill Sans MT" w:hAnsi="Gill Sans MT"/>
                <w:b/>
                <w:i/>
                <w:sz w:val="20"/>
                <w:szCs w:val="20"/>
              </w:rPr>
              <w:t xml:space="preserve">Tasmanian </w:t>
            </w:r>
            <w:proofErr w:type="spellStart"/>
            <w:r w:rsidR="008D2E39" w:rsidRPr="00E83DA2">
              <w:rPr>
                <w:rFonts w:ascii="Gill Sans MT" w:hAnsi="Gill Sans MT"/>
                <w:b/>
                <w:i/>
                <w:sz w:val="20"/>
                <w:szCs w:val="20"/>
              </w:rPr>
              <w:t>Auslink</w:t>
            </w:r>
            <w:proofErr w:type="spellEnd"/>
            <w:r w:rsidR="008D2E39" w:rsidRPr="00E83DA2">
              <w:rPr>
                <w:rFonts w:ascii="Gill Sans MT" w:hAnsi="Gill Sans MT"/>
                <w:b/>
                <w:i/>
                <w:sz w:val="20"/>
                <w:szCs w:val="20"/>
              </w:rPr>
              <w:t xml:space="preserve"> Corridor Strategy 2007.</w:t>
            </w:r>
          </w:p>
        </w:tc>
      </w:tr>
      <w:tr w:rsidR="00756B53" w:rsidRPr="00E83DA2" w:rsidTr="008D2E39">
        <w:trPr>
          <w:tblHeader/>
        </w:trPr>
        <w:tc>
          <w:tcPr>
            <w:tcW w:w="4621" w:type="dxa"/>
            <w:shd w:val="clear" w:color="auto" w:fill="4F81BD" w:themeFill="accent1"/>
          </w:tcPr>
          <w:p w:rsidR="00756B53" w:rsidRPr="00E83DA2" w:rsidRDefault="00756B53" w:rsidP="008D2E39">
            <w:pPr>
              <w:rPr>
                <w:rFonts w:ascii="Gill Sans MT" w:hAnsi="Gill Sans MT"/>
                <w:b/>
                <w:sz w:val="20"/>
                <w:szCs w:val="20"/>
              </w:rPr>
            </w:pPr>
            <w:r w:rsidRPr="00E83DA2">
              <w:rPr>
                <w:rFonts w:ascii="Gill Sans MT" w:hAnsi="Gill Sans MT"/>
                <w:b/>
                <w:sz w:val="20"/>
                <w:szCs w:val="20"/>
              </w:rPr>
              <w:t>Short Term Priorities (to 2015)</w:t>
            </w:r>
          </w:p>
        </w:tc>
        <w:tc>
          <w:tcPr>
            <w:tcW w:w="4621" w:type="dxa"/>
            <w:shd w:val="clear" w:color="auto" w:fill="4F81BD" w:themeFill="accent1"/>
          </w:tcPr>
          <w:p w:rsidR="00756B53" w:rsidRPr="00E83DA2" w:rsidRDefault="00756B53" w:rsidP="008D2E39">
            <w:pPr>
              <w:rPr>
                <w:rFonts w:ascii="Gill Sans MT" w:hAnsi="Gill Sans MT"/>
                <w:b/>
                <w:sz w:val="20"/>
                <w:szCs w:val="20"/>
              </w:rPr>
            </w:pPr>
            <w:r w:rsidRPr="00E83DA2">
              <w:rPr>
                <w:rFonts w:ascii="Gill Sans MT" w:hAnsi="Gill Sans MT"/>
                <w:b/>
                <w:sz w:val="20"/>
                <w:szCs w:val="20"/>
              </w:rPr>
              <w:t>Long Term Priorities (beyond 2015)</w:t>
            </w:r>
          </w:p>
        </w:tc>
      </w:tr>
      <w:tr w:rsidR="00756B53" w:rsidRPr="00E83DA2" w:rsidTr="008D2E39">
        <w:tc>
          <w:tcPr>
            <w:tcW w:w="4621" w:type="dxa"/>
          </w:tcPr>
          <w:p w:rsidR="00756B53" w:rsidRPr="00E83DA2" w:rsidRDefault="00756B53" w:rsidP="008D2E39">
            <w:pPr>
              <w:pStyle w:val="ListParagraph"/>
              <w:numPr>
                <w:ilvl w:val="0"/>
                <w:numId w:val="76"/>
              </w:numPr>
              <w:rPr>
                <w:rFonts w:ascii="Gill Sans MT" w:hAnsi="Gill Sans MT"/>
                <w:sz w:val="18"/>
                <w:szCs w:val="18"/>
              </w:rPr>
            </w:pPr>
            <w:r w:rsidRPr="00E83DA2">
              <w:rPr>
                <w:rFonts w:ascii="Gill Sans MT" w:hAnsi="Gill Sans MT"/>
                <w:sz w:val="18"/>
                <w:szCs w:val="18"/>
              </w:rPr>
              <w:t>Improve road infrastructure and separate vehicles from hazards on high speed sections of the network.</w:t>
            </w:r>
          </w:p>
          <w:p w:rsidR="00756B53" w:rsidRPr="00E83DA2" w:rsidRDefault="00756B53" w:rsidP="008D2E39">
            <w:pPr>
              <w:pStyle w:val="ListParagraph"/>
              <w:numPr>
                <w:ilvl w:val="0"/>
                <w:numId w:val="76"/>
              </w:numPr>
              <w:rPr>
                <w:rFonts w:ascii="Gill Sans MT" w:hAnsi="Gill Sans MT"/>
                <w:sz w:val="18"/>
                <w:szCs w:val="18"/>
              </w:rPr>
            </w:pPr>
            <w:r w:rsidRPr="00E83DA2">
              <w:rPr>
                <w:rFonts w:ascii="Gill Sans MT" w:hAnsi="Gill Sans MT"/>
                <w:sz w:val="18"/>
                <w:szCs w:val="18"/>
              </w:rPr>
              <w:t>Improve road infrastructure and alignment on the Bass Highway between Port Sorell Main Road and Deloraine</w:t>
            </w:r>
          </w:p>
          <w:p w:rsidR="00756B53" w:rsidRPr="00E83DA2" w:rsidRDefault="00756B53" w:rsidP="008D2E39">
            <w:pPr>
              <w:pStyle w:val="ListParagraph"/>
              <w:numPr>
                <w:ilvl w:val="0"/>
                <w:numId w:val="76"/>
              </w:numPr>
              <w:rPr>
                <w:rFonts w:ascii="Gill Sans MT" w:hAnsi="Gill Sans MT"/>
                <w:sz w:val="18"/>
                <w:szCs w:val="18"/>
              </w:rPr>
            </w:pPr>
            <w:r w:rsidRPr="00E83DA2">
              <w:rPr>
                <w:rFonts w:ascii="Gill Sans MT" w:hAnsi="Gill Sans MT"/>
                <w:sz w:val="18"/>
                <w:szCs w:val="18"/>
              </w:rPr>
              <w:t>Improve rail infrastructure between Brighton and Western Junction to reduce north-south rail turnaround time and increase the pulling capacity of locomotives.</w:t>
            </w:r>
          </w:p>
          <w:p w:rsidR="00756B53" w:rsidRPr="00E83DA2" w:rsidRDefault="00756B53" w:rsidP="008D2E39">
            <w:pPr>
              <w:pStyle w:val="ListParagraph"/>
              <w:numPr>
                <w:ilvl w:val="0"/>
                <w:numId w:val="76"/>
              </w:numPr>
              <w:rPr>
                <w:rFonts w:ascii="Gill Sans MT" w:hAnsi="Gill Sans MT"/>
                <w:sz w:val="18"/>
                <w:szCs w:val="18"/>
              </w:rPr>
            </w:pPr>
            <w:r w:rsidRPr="00E83DA2">
              <w:rPr>
                <w:rFonts w:ascii="Gill Sans MT" w:hAnsi="Gill Sans MT"/>
                <w:sz w:val="18"/>
                <w:szCs w:val="18"/>
              </w:rPr>
              <w:t>Develop options that align land transport freight networks and the long-term role and function of ports.</w:t>
            </w:r>
          </w:p>
          <w:p w:rsidR="00756B53" w:rsidRPr="00E83DA2" w:rsidRDefault="00756B53" w:rsidP="008D2E39">
            <w:pPr>
              <w:pStyle w:val="ListParagraph"/>
              <w:numPr>
                <w:ilvl w:val="0"/>
                <w:numId w:val="76"/>
              </w:numPr>
              <w:rPr>
                <w:rFonts w:ascii="Gill Sans MT" w:hAnsi="Gill Sans MT"/>
                <w:sz w:val="18"/>
                <w:szCs w:val="18"/>
              </w:rPr>
            </w:pPr>
            <w:r w:rsidRPr="00E83DA2">
              <w:rPr>
                <w:rFonts w:ascii="Gill Sans MT" w:hAnsi="Gill Sans MT"/>
                <w:sz w:val="18"/>
                <w:szCs w:val="18"/>
              </w:rPr>
              <w:t>Develop options for improving the intermodal transport in greater Launceston.</w:t>
            </w:r>
          </w:p>
          <w:p w:rsidR="00756B53" w:rsidRPr="00E83DA2" w:rsidRDefault="00756B53" w:rsidP="008D2E39">
            <w:pPr>
              <w:pStyle w:val="ListParagraph"/>
              <w:numPr>
                <w:ilvl w:val="0"/>
                <w:numId w:val="76"/>
              </w:numPr>
              <w:rPr>
                <w:rFonts w:ascii="Gill Sans MT" w:hAnsi="Gill Sans MT"/>
                <w:sz w:val="18"/>
                <w:szCs w:val="18"/>
              </w:rPr>
            </w:pPr>
            <w:r w:rsidRPr="00E83DA2">
              <w:rPr>
                <w:rFonts w:ascii="Gill Sans MT" w:hAnsi="Gill Sans MT"/>
                <w:sz w:val="18"/>
                <w:szCs w:val="18"/>
              </w:rPr>
              <w:t>Develop infrastructure improvement options for Bathurst and Wellington Streets and East Tamar Highway from Windermere to Mount Direction</w:t>
            </w:r>
          </w:p>
        </w:tc>
        <w:tc>
          <w:tcPr>
            <w:tcW w:w="4621" w:type="dxa"/>
          </w:tcPr>
          <w:p w:rsidR="00756B53" w:rsidRPr="00E83DA2" w:rsidRDefault="00756B53" w:rsidP="008D2E39">
            <w:pPr>
              <w:pStyle w:val="ListParagraph"/>
              <w:numPr>
                <w:ilvl w:val="0"/>
                <w:numId w:val="76"/>
              </w:numPr>
              <w:rPr>
                <w:rFonts w:ascii="Gill Sans MT" w:hAnsi="Gill Sans MT"/>
                <w:sz w:val="18"/>
                <w:szCs w:val="18"/>
              </w:rPr>
            </w:pPr>
            <w:r w:rsidRPr="00E83DA2">
              <w:rPr>
                <w:rFonts w:ascii="Gill Sans MT" w:hAnsi="Gill Sans MT"/>
                <w:sz w:val="18"/>
                <w:szCs w:val="18"/>
              </w:rPr>
              <w:t>Improve road infrastructure on sections of the East Tamar Highway that have not been completed to enhance mass safety and efficiency</w:t>
            </w:r>
          </w:p>
          <w:p w:rsidR="00756B53" w:rsidRPr="00E83DA2" w:rsidRDefault="00756B53" w:rsidP="008D2E39">
            <w:pPr>
              <w:pStyle w:val="ListParagraph"/>
              <w:numPr>
                <w:ilvl w:val="0"/>
                <w:numId w:val="76"/>
              </w:numPr>
              <w:rPr>
                <w:rFonts w:ascii="Gill Sans MT" w:hAnsi="Gill Sans MT"/>
                <w:sz w:val="18"/>
                <w:szCs w:val="18"/>
              </w:rPr>
            </w:pPr>
            <w:r w:rsidRPr="00E83DA2">
              <w:rPr>
                <w:rFonts w:ascii="Gill Sans MT" w:hAnsi="Gill Sans MT"/>
                <w:sz w:val="18"/>
                <w:szCs w:val="18"/>
              </w:rPr>
              <w:t>Improve road infrastructure on the Bass Highway between Deloraine and Illawarra Main Road</w:t>
            </w:r>
          </w:p>
          <w:p w:rsidR="00756B53" w:rsidRPr="00E83DA2" w:rsidRDefault="00756B53" w:rsidP="008D2E39">
            <w:pPr>
              <w:pStyle w:val="ListParagraph"/>
              <w:numPr>
                <w:ilvl w:val="0"/>
                <w:numId w:val="76"/>
              </w:numPr>
              <w:rPr>
                <w:rFonts w:ascii="Gill Sans MT" w:hAnsi="Gill Sans MT"/>
                <w:sz w:val="18"/>
                <w:szCs w:val="18"/>
              </w:rPr>
            </w:pPr>
            <w:r w:rsidRPr="00E83DA2">
              <w:rPr>
                <w:rFonts w:ascii="Gill Sans MT" w:hAnsi="Gill Sans MT"/>
                <w:sz w:val="18"/>
                <w:szCs w:val="18"/>
              </w:rPr>
              <w:t>Improve road infrastructure and traffic management systems of Launceston’s Bathurst and Wellington Streets.</w:t>
            </w:r>
          </w:p>
          <w:p w:rsidR="00756B53" w:rsidRPr="00E83DA2" w:rsidRDefault="00756B53" w:rsidP="008D2E39">
            <w:pPr>
              <w:pStyle w:val="ListParagraph"/>
              <w:numPr>
                <w:ilvl w:val="0"/>
                <w:numId w:val="76"/>
              </w:numPr>
              <w:rPr>
                <w:rFonts w:ascii="Gill Sans MT" w:hAnsi="Gill Sans MT"/>
                <w:sz w:val="18"/>
                <w:szCs w:val="18"/>
              </w:rPr>
            </w:pPr>
            <w:r w:rsidRPr="00E83DA2">
              <w:rPr>
                <w:rFonts w:ascii="Gill Sans MT" w:hAnsi="Gill Sans MT"/>
                <w:sz w:val="18"/>
                <w:szCs w:val="18"/>
              </w:rPr>
              <w:t>Improve road infrastructure of the Midland Highway between Perth and Breadalbane.</w:t>
            </w:r>
          </w:p>
          <w:p w:rsidR="00756B53" w:rsidRPr="00E83DA2" w:rsidRDefault="00756B53" w:rsidP="008D2E39">
            <w:pPr>
              <w:pStyle w:val="ListParagraph"/>
              <w:numPr>
                <w:ilvl w:val="0"/>
                <w:numId w:val="76"/>
              </w:numPr>
              <w:rPr>
                <w:rFonts w:ascii="Gill Sans MT" w:hAnsi="Gill Sans MT"/>
                <w:sz w:val="18"/>
                <w:szCs w:val="18"/>
              </w:rPr>
            </w:pPr>
            <w:r w:rsidRPr="00E83DA2">
              <w:rPr>
                <w:rFonts w:ascii="Gill Sans MT" w:hAnsi="Gill Sans MT"/>
                <w:sz w:val="18"/>
                <w:szCs w:val="18"/>
              </w:rPr>
              <w:t>Improve the Illawarra Main Road to enhance safety, efficiency and level of service</w:t>
            </w:r>
          </w:p>
          <w:p w:rsidR="00756B53" w:rsidRPr="00E83DA2" w:rsidRDefault="00756B53" w:rsidP="008D2E39">
            <w:pPr>
              <w:pStyle w:val="ListParagraph"/>
              <w:ind w:left="360"/>
              <w:rPr>
                <w:rFonts w:ascii="Gill Sans MT" w:hAnsi="Gill Sans MT"/>
                <w:sz w:val="18"/>
                <w:szCs w:val="18"/>
              </w:rPr>
            </w:pPr>
          </w:p>
        </w:tc>
      </w:tr>
    </w:tbl>
    <w:p w:rsidR="00756B53" w:rsidRPr="00E83DA2" w:rsidRDefault="00756B53" w:rsidP="00756B53">
      <w:pPr>
        <w:rPr>
          <w:rFonts w:ascii="Gill Sans MT" w:hAnsi="Gill Sans MT"/>
        </w:rPr>
      </w:pPr>
    </w:p>
    <w:p w:rsidR="00756B53" w:rsidRPr="00E83DA2" w:rsidRDefault="00756B53" w:rsidP="00756B53">
      <w:pPr>
        <w:rPr>
          <w:rStyle w:val="InstructionText"/>
          <w:szCs w:val="24"/>
        </w:rPr>
      </w:pPr>
      <w:r w:rsidRPr="00E83DA2">
        <w:rPr>
          <w:rStyle w:val="InstructionText"/>
          <w:szCs w:val="24"/>
        </w:rPr>
        <w:t>Economic Development Plan</w:t>
      </w:r>
    </w:p>
    <w:p w:rsidR="00756B53" w:rsidRPr="00E83DA2" w:rsidRDefault="00756B53" w:rsidP="00756B53">
      <w:pPr>
        <w:rPr>
          <w:rStyle w:val="InstructionText"/>
          <w:i w:val="0"/>
          <w:color w:val="000000"/>
        </w:rPr>
      </w:pPr>
      <w:r w:rsidRPr="00E83DA2">
        <w:rPr>
          <w:rStyle w:val="InstructionText"/>
          <w:i w:val="0"/>
          <w:color w:val="000000"/>
        </w:rPr>
        <w:t xml:space="preserve">The </w:t>
      </w:r>
      <w:r w:rsidRPr="00E83DA2">
        <w:rPr>
          <w:rStyle w:val="InstructionText"/>
          <w:color w:val="000000"/>
        </w:rPr>
        <w:t xml:space="preserve">Economic Development Plan </w:t>
      </w:r>
      <w:r w:rsidRPr="00E83DA2">
        <w:rPr>
          <w:rStyle w:val="InstructionText"/>
          <w:i w:val="0"/>
          <w:color w:val="000000"/>
        </w:rPr>
        <w:t xml:space="preserve">(EDP) was launched in August 2011 and presents </w:t>
      </w:r>
      <w:proofErr w:type="gramStart"/>
      <w:r w:rsidRPr="00E83DA2">
        <w:rPr>
          <w:rStyle w:val="InstructionText"/>
          <w:i w:val="0"/>
          <w:color w:val="000000"/>
        </w:rPr>
        <w:t>an</w:t>
      </w:r>
      <w:proofErr w:type="gramEnd"/>
      <w:r w:rsidRPr="00E83DA2">
        <w:rPr>
          <w:rStyle w:val="InstructionText"/>
          <w:i w:val="0"/>
          <w:color w:val="000000"/>
        </w:rPr>
        <w:t xml:space="preserve"> holistic framework for the Tasmanian Government to deploy across agencies in making the most of the State’s assets in securing prosperity and jobs. The overarching vision of the EDP is to improve the prosperity of all Tasmanians through economic development which is socially and environmentally sustainable and is supported by four goals:</w:t>
      </w:r>
    </w:p>
    <w:p w:rsidR="00756B53" w:rsidRPr="00E83DA2" w:rsidRDefault="00756B53" w:rsidP="00756B53">
      <w:pPr>
        <w:keepLines/>
        <w:numPr>
          <w:ilvl w:val="0"/>
          <w:numId w:val="3"/>
        </w:numPr>
        <w:spacing w:before="100" w:beforeAutospacing="1" w:after="100" w:afterAutospacing="1" w:line="240" w:lineRule="auto"/>
        <w:rPr>
          <w:rStyle w:val="InstructionText"/>
          <w:i w:val="0"/>
          <w:color w:val="000000"/>
        </w:rPr>
      </w:pPr>
      <w:r w:rsidRPr="00E83DA2">
        <w:rPr>
          <w:rStyle w:val="InstructionText"/>
          <w:i w:val="0"/>
          <w:color w:val="000000"/>
        </w:rPr>
        <w:t>To support and grow businesses in Tasmania.</w:t>
      </w:r>
    </w:p>
    <w:p w:rsidR="00756B53" w:rsidRPr="00E83DA2" w:rsidRDefault="00756B53" w:rsidP="00756B53">
      <w:pPr>
        <w:keepLines/>
        <w:numPr>
          <w:ilvl w:val="0"/>
          <w:numId w:val="3"/>
        </w:numPr>
        <w:spacing w:before="100" w:beforeAutospacing="1" w:after="100" w:afterAutospacing="1" w:line="240" w:lineRule="auto"/>
        <w:rPr>
          <w:rStyle w:val="InstructionText"/>
          <w:i w:val="0"/>
          <w:color w:val="000000"/>
        </w:rPr>
      </w:pPr>
      <w:r w:rsidRPr="00E83DA2">
        <w:rPr>
          <w:rStyle w:val="InstructionText"/>
          <w:i w:val="0"/>
          <w:color w:val="000000"/>
        </w:rPr>
        <w:t>To maximise Tasmania’s economic potential in key sectors.</w:t>
      </w:r>
    </w:p>
    <w:p w:rsidR="00756B53" w:rsidRPr="00E83DA2" w:rsidRDefault="00756B53" w:rsidP="00756B53">
      <w:pPr>
        <w:keepLines/>
        <w:numPr>
          <w:ilvl w:val="0"/>
          <w:numId w:val="3"/>
        </w:numPr>
        <w:spacing w:before="100" w:beforeAutospacing="1" w:after="100" w:afterAutospacing="1" w:line="240" w:lineRule="auto"/>
        <w:rPr>
          <w:rStyle w:val="InstructionText"/>
          <w:i w:val="0"/>
          <w:color w:val="000000"/>
        </w:rPr>
      </w:pPr>
      <w:r w:rsidRPr="00E83DA2">
        <w:rPr>
          <w:rStyle w:val="InstructionText"/>
          <w:i w:val="0"/>
          <w:color w:val="000000"/>
        </w:rPr>
        <w:t>To improve the social and environmental sustainability of the economy.</w:t>
      </w:r>
    </w:p>
    <w:p w:rsidR="00756B53" w:rsidRPr="00E83DA2" w:rsidRDefault="00756B53" w:rsidP="00756B53">
      <w:pPr>
        <w:keepLines/>
        <w:numPr>
          <w:ilvl w:val="0"/>
          <w:numId w:val="3"/>
        </w:numPr>
        <w:spacing w:before="100" w:beforeAutospacing="1" w:after="100" w:afterAutospacing="1" w:line="240" w:lineRule="auto"/>
        <w:rPr>
          <w:rStyle w:val="InstructionText"/>
          <w:i w:val="0"/>
          <w:color w:val="000000"/>
        </w:rPr>
      </w:pPr>
      <w:r w:rsidRPr="00E83DA2">
        <w:rPr>
          <w:rStyle w:val="InstructionText"/>
          <w:i w:val="0"/>
          <w:color w:val="000000"/>
        </w:rPr>
        <w:t>To support and grow communities within regions.</w:t>
      </w:r>
    </w:p>
    <w:p w:rsidR="00E94152" w:rsidRDefault="00E94152" w:rsidP="00756B53">
      <w:pPr>
        <w:rPr>
          <w:rStyle w:val="InstructionText"/>
          <w:i w:val="0"/>
          <w:color w:val="000000"/>
        </w:rPr>
      </w:pPr>
    </w:p>
    <w:p w:rsidR="00756B53" w:rsidRPr="00E83DA2" w:rsidRDefault="00756B53" w:rsidP="00756B53">
      <w:pPr>
        <w:rPr>
          <w:rStyle w:val="InstructionText"/>
          <w:i w:val="0"/>
          <w:color w:val="000000"/>
        </w:rPr>
      </w:pPr>
      <w:r w:rsidRPr="00E83DA2">
        <w:rPr>
          <w:rStyle w:val="InstructionText"/>
          <w:i w:val="0"/>
          <w:color w:val="000000"/>
        </w:rPr>
        <w:lastRenderedPageBreak/>
        <w:t>The EDP builds upon and integrates the Tasmanian Infrastructure Strategy, the Tasmanian Skills Strategy and the Tasmanian Innovation Strategy. The EDP will be supported by a system that:</w:t>
      </w:r>
    </w:p>
    <w:p w:rsidR="00756B53" w:rsidRPr="00E83DA2" w:rsidRDefault="00756B53" w:rsidP="00756B53">
      <w:pPr>
        <w:keepLines/>
        <w:numPr>
          <w:ilvl w:val="0"/>
          <w:numId w:val="4"/>
        </w:numPr>
        <w:spacing w:before="100" w:beforeAutospacing="1" w:after="100" w:afterAutospacing="1" w:line="240" w:lineRule="auto"/>
        <w:rPr>
          <w:rStyle w:val="InstructionText"/>
          <w:i w:val="0"/>
          <w:color w:val="000000"/>
        </w:rPr>
      </w:pPr>
      <w:r w:rsidRPr="00E83DA2">
        <w:rPr>
          <w:rStyle w:val="InstructionText"/>
          <w:i w:val="0"/>
          <w:color w:val="000000"/>
        </w:rPr>
        <w:t>Sets a long-term (10 year plus) vision with four rolling implementation plans;</w:t>
      </w:r>
    </w:p>
    <w:p w:rsidR="00756B53" w:rsidRPr="00E83DA2" w:rsidRDefault="00756B53" w:rsidP="00756B53">
      <w:pPr>
        <w:keepLines/>
        <w:numPr>
          <w:ilvl w:val="0"/>
          <w:numId w:val="4"/>
        </w:numPr>
        <w:spacing w:before="100" w:beforeAutospacing="1" w:after="100" w:afterAutospacing="1" w:line="240" w:lineRule="auto"/>
        <w:rPr>
          <w:rStyle w:val="InstructionText"/>
          <w:i w:val="0"/>
          <w:color w:val="000000"/>
        </w:rPr>
      </w:pPr>
      <w:r w:rsidRPr="00E83DA2">
        <w:rPr>
          <w:rStyle w:val="InstructionText"/>
          <w:i w:val="0"/>
          <w:color w:val="000000"/>
        </w:rPr>
        <w:t>Guides decision-making and resource allocation;</w:t>
      </w:r>
    </w:p>
    <w:p w:rsidR="00756B53" w:rsidRPr="00E83DA2" w:rsidRDefault="00756B53" w:rsidP="00756B53">
      <w:pPr>
        <w:keepLines/>
        <w:numPr>
          <w:ilvl w:val="0"/>
          <w:numId w:val="4"/>
        </w:numPr>
        <w:spacing w:before="100" w:beforeAutospacing="1" w:after="100" w:afterAutospacing="1" w:line="240" w:lineRule="auto"/>
        <w:rPr>
          <w:rStyle w:val="InstructionText"/>
          <w:i w:val="0"/>
          <w:color w:val="000000"/>
        </w:rPr>
      </w:pPr>
      <w:r w:rsidRPr="00E83DA2">
        <w:rPr>
          <w:rStyle w:val="InstructionText"/>
          <w:i w:val="0"/>
          <w:color w:val="000000"/>
        </w:rPr>
        <w:t>Is dynamic and regularly updated;</w:t>
      </w:r>
    </w:p>
    <w:p w:rsidR="00756B53" w:rsidRPr="00E83DA2" w:rsidRDefault="00756B53" w:rsidP="00756B53">
      <w:pPr>
        <w:keepLines/>
        <w:numPr>
          <w:ilvl w:val="0"/>
          <w:numId w:val="4"/>
        </w:numPr>
        <w:spacing w:before="100" w:beforeAutospacing="1" w:after="100" w:afterAutospacing="1" w:line="240" w:lineRule="auto"/>
        <w:rPr>
          <w:rStyle w:val="InstructionText"/>
          <w:i w:val="0"/>
          <w:color w:val="000000"/>
        </w:rPr>
      </w:pPr>
      <w:r w:rsidRPr="00E83DA2">
        <w:rPr>
          <w:rStyle w:val="InstructionText"/>
          <w:i w:val="0"/>
          <w:color w:val="000000"/>
        </w:rPr>
        <w:t>Provides an overarching framework for related strategies;</w:t>
      </w:r>
    </w:p>
    <w:p w:rsidR="00756B53" w:rsidRPr="00E83DA2" w:rsidRDefault="00756B53" w:rsidP="00756B53">
      <w:pPr>
        <w:keepLines/>
        <w:numPr>
          <w:ilvl w:val="0"/>
          <w:numId w:val="4"/>
        </w:numPr>
        <w:spacing w:before="100" w:beforeAutospacing="1" w:after="100" w:afterAutospacing="1" w:line="240" w:lineRule="auto"/>
        <w:rPr>
          <w:rStyle w:val="InstructionText"/>
          <w:i w:val="0"/>
          <w:color w:val="000000"/>
        </w:rPr>
      </w:pPr>
      <w:r w:rsidRPr="00E83DA2">
        <w:rPr>
          <w:rStyle w:val="InstructionText"/>
          <w:i w:val="0"/>
          <w:color w:val="000000"/>
        </w:rPr>
        <w:t>Sets out a governance structure for stakeholder engagement; and</w:t>
      </w:r>
    </w:p>
    <w:p w:rsidR="00756B53" w:rsidRPr="00E83DA2" w:rsidRDefault="00756B53" w:rsidP="00756B53">
      <w:pPr>
        <w:keepLines/>
        <w:numPr>
          <w:ilvl w:val="0"/>
          <w:numId w:val="4"/>
        </w:numPr>
        <w:spacing w:before="100" w:beforeAutospacing="1" w:after="100" w:afterAutospacing="1" w:line="240" w:lineRule="auto"/>
        <w:rPr>
          <w:rStyle w:val="InstructionText"/>
          <w:i w:val="0"/>
          <w:color w:val="000000"/>
        </w:rPr>
      </w:pPr>
      <w:r w:rsidRPr="00E83DA2">
        <w:rPr>
          <w:rStyle w:val="InstructionText"/>
          <w:i w:val="0"/>
          <w:color w:val="000000"/>
        </w:rPr>
        <w:t>Is measurable and simple to evaluate.</w:t>
      </w:r>
    </w:p>
    <w:p w:rsidR="00756B53" w:rsidRPr="00E83DA2" w:rsidRDefault="00756B53" w:rsidP="00756B53">
      <w:pPr>
        <w:keepLines/>
        <w:spacing w:before="100" w:beforeAutospacing="1" w:after="100" w:afterAutospacing="1" w:line="240" w:lineRule="auto"/>
        <w:rPr>
          <w:rStyle w:val="InstructionText"/>
          <w:i w:val="0"/>
          <w:color w:val="000000"/>
        </w:rPr>
      </w:pPr>
      <w:bookmarkStart w:id="15" w:name="OLE_LINK4"/>
      <w:r w:rsidRPr="00E83DA2">
        <w:rPr>
          <w:rStyle w:val="InstructionText"/>
          <w:i w:val="0"/>
          <w:color w:val="000000"/>
        </w:rPr>
        <w:t>The Tasmanian Infrastructure Strategy and the regional integrated transport plans will be coordinated with regional economic development plans.</w:t>
      </w:r>
      <w:bookmarkEnd w:id="15"/>
      <w:r w:rsidRPr="00E83DA2">
        <w:rPr>
          <w:rStyle w:val="InstructionText"/>
          <w:i w:val="0"/>
          <w:color w:val="000000"/>
        </w:rPr>
        <w:t xml:space="preserve">  </w:t>
      </w:r>
      <w:r w:rsidR="00300BCC">
        <w:rPr>
          <w:rStyle w:val="InstructionText"/>
          <w:i w:val="0"/>
          <w:color w:val="000000"/>
        </w:rPr>
        <w:t xml:space="preserve">The Northern </w:t>
      </w:r>
      <w:r w:rsidRPr="00E83DA2">
        <w:rPr>
          <w:rStyle w:val="InstructionText"/>
          <w:i w:val="0"/>
          <w:color w:val="000000"/>
        </w:rPr>
        <w:t>Reg</w:t>
      </w:r>
      <w:r w:rsidR="00300BCC">
        <w:rPr>
          <w:rStyle w:val="InstructionText"/>
          <w:i w:val="0"/>
          <w:color w:val="000000"/>
        </w:rPr>
        <w:t>ional economic development plan</w:t>
      </w:r>
      <w:r w:rsidRPr="00E83DA2">
        <w:rPr>
          <w:rStyle w:val="InstructionText"/>
          <w:i w:val="0"/>
          <w:color w:val="000000"/>
        </w:rPr>
        <w:t xml:space="preserve"> </w:t>
      </w:r>
      <w:r w:rsidR="00300BCC">
        <w:rPr>
          <w:rStyle w:val="InstructionText"/>
          <w:i w:val="0"/>
          <w:color w:val="000000"/>
        </w:rPr>
        <w:t>was</w:t>
      </w:r>
      <w:r w:rsidRPr="00E83DA2">
        <w:rPr>
          <w:rStyle w:val="InstructionText"/>
          <w:i w:val="0"/>
          <w:color w:val="000000"/>
        </w:rPr>
        <w:t xml:space="preserve"> completed in </w:t>
      </w:r>
      <w:r w:rsidR="000E63DC">
        <w:rPr>
          <w:rStyle w:val="InstructionText"/>
          <w:i w:val="0"/>
          <w:color w:val="000000"/>
        </w:rPr>
        <w:t>Novemb</w:t>
      </w:r>
      <w:r w:rsidR="00300BCC">
        <w:rPr>
          <w:rStyle w:val="InstructionText"/>
          <w:i w:val="0"/>
          <w:color w:val="000000"/>
        </w:rPr>
        <w:t xml:space="preserve">er 2012 and provides profiles for priority industries in the region.  It also includes a regional action plan detailing actions being </w:t>
      </w:r>
      <w:proofErr w:type="gramStart"/>
      <w:r w:rsidR="00300BCC">
        <w:rPr>
          <w:rStyle w:val="InstructionText"/>
          <w:i w:val="0"/>
          <w:color w:val="000000"/>
        </w:rPr>
        <w:t>progressed</w:t>
      </w:r>
      <w:proofErr w:type="gramEnd"/>
      <w:r w:rsidR="00300BCC">
        <w:rPr>
          <w:rStyle w:val="InstructionText"/>
          <w:i w:val="0"/>
          <w:color w:val="000000"/>
        </w:rPr>
        <w:t xml:space="preserve"> by local, Tasmanian and Australian governments within the region.</w:t>
      </w:r>
    </w:p>
    <w:p w:rsidR="00756B53" w:rsidRPr="00E83DA2" w:rsidRDefault="00756B53" w:rsidP="00756B53">
      <w:pPr>
        <w:rPr>
          <w:rStyle w:val="InstructionText"/>
          <w:szCs w:val="24"/>
        </w:rPr>
      </w:pPr>
      <w:r w:rsidRPr="00E83DA2">
        <w:rPr>
          <w:rStyle w:val="InstructionText"/>
          <w:szCs w:val="24"/>
        </w:rPr>
        <w:t>Regional Land Use Strategy of Northern Tasmania</w:t>
      </w:r>
    </w:p>
    <w:p w:rsidR="00756B53" w:rsidRPr="00E83DA2" w:rsidRDefault="00756B53" w:rsidP="00756B53">
      <w:pPr>
        <w:rPr>
          <w:rFonts w:ascii="Gill Sans MT" w:hAnsi="Gill Sans MT"/>
        </w:rPr>
      </w:pPr>
      <w:r w:rsidRPr="00E83DA2">
        <w:rPr>
          <w:rFonts w:ascii="Gill Sans MT" w:hAnsi="Gill Sans MT"/>
        </w:rPr>
        <w:t xml:space="preserve">Northern Tasmania Development (NTD) in partnership with the State Government has developed the </w:t>
      </w:r>
      <w:r w:rsidRPr="00E83DA2">
        <w:rPr>
          <w:rFonts w:ascii="Gill Sans MT" w:hAnsi="Gill Sans MT"/>
          <w:i/>
        </w:rPr>
        <w:t>Regional Land Use Strategy of Northern Tasmania</w:t>
      </w:r>
      <w:r w:rsidRPr="00E83DA2">
        <w:rPr>
          <w:rFonts w:ascii="Gill Sans MT" w:hAnsi="Gill Sans MT"/>
        </w:rPr>
        <w:t xml:space="preserve"> to guide future development in Northern Tasmania, including interim planning schemes. The Regional Land Use Strategy (RLUS) was gazetted on 27 October 2011.</w:t>
      </w:r>
    </w:p>
    <w:p w:rsidR="00756B53" w:rsidRPr="00E83DA2" w:rsidRDefault="00756B53" w:rsidP="00756B53">
      <w:pPr>
        <w:rPr>
          <w:rFonts w:ascii="Gill Sans MT" w:hAnsi="Gill Sans MT"/>
        </w:rPr>
      </w:pPr>
      <w:r w:rsidRPr="00E83DA2">
        <w:rPr>
          <w:rFonts w:ascii="Gill Sans MT" w:hAnsi="Gill Sans MT"/>
        </w:rPr>
        <w:t>Key strategies relevant to the NITP include:</w:t>
      </w:r>
    </w:p>
    <w:tbl>
      <w:tblPr>
        <w:tblStyle w:val="TableGrid"/>
        <w:tblW w:w="0" w:type="auto"/>
        <w:tblInd w:w="108" w:type="dxa"/>
        <w:tblLook w:val="04A0"/>
      </w:tblPr>
      <w:tblGrid>
        <w:gridCol w:w="3119"/>
        <w:gridCol w:w="6015"/>
      </w:tblGrid>
      <w:tr w:rsidR="008D2E39" w:rsidRPr="00E83DA2" w:rsidTr="008D2E39">
        <w:trPr>
          <w:trHeight w:val="481"/>
          <w:tblHeader/>
        </w:trPr>
        <w:tc>
          <w:tcPr>
            <w:tcW w:w="9134" w:type="dxa"/>
            <w:gridSpan w:val="2"/>
            <w:shd w:val="clear" w:color="auto" w:fill="4F81BD" w:themeFill="accent1"/>
            <w:vAlign w:val="center"/>
          </w:tcPr>
          <w:p w:rsidR="008D2E39" w:rsidRPr="00E83DA2" w:rsidRDefault="00444FF8" w:rsidP="008D2E39">
            <w:pPr>
              <w:rPr>
                <w:rFonts w:ascii="Gill Sans MT" w:hAnsi="Gill Sans MT"/>
                <w:b/>
                <w:sz w:val="20"/>
                <w:szCs w:val="20"/>
              </w:rPr>
            </w:pPr>
            <w:r>
              <w:rPr>
                <w:rFonts w:ascii="Gill Sans MT" w:hAnsi="Gill Sans MT"/>
                <w:b/>
                <w:i/>
                <w:sz w:val="20"/>
                <w:szCs w:val="20"/>
              </w:rPr>
              <w:t>Figure 7</w:t>
            </w:r>
            <w:r w:rsidR="008D2E39" w:rsidRPr="00E83DA2">
              <w:rPr>
                <w:rFonts w:ascii="Gill Sans MT" w:hAnsi="Gill Sans MT"/>
                <w:b/>
                <w:i/>
                <w:sz w:val="20"/>
                <w:szCs w:val="20"/>
              </w:rPr>
              <w:t xml:space="preserve">. </w:t>
            </w:r>
            <w:r w:rsidR="008D2E39" w:rsidRPr="00E83DA2">
              <w:rPr>
                <w:rFonts w:ascii="Gill Sans MT" w:hAnsi="Gill Sans MT"/>
                <w:b/>
                <w:sz w:val="20"/>
                <w:szCs w:val="20"/>
              </w:rPr>
              <w:t xml:space="preserve">Key strategies relevant to NITP, </w:t>
            </w:r>
            <w:r w:rsidR="008D2E39" w:rsidRPr="00E83DA2">
              <w:rPr>
                <w:rFonts w:ascii="Gill Sans MT" w:hAnsi="Gill Sans MT"/>
                <w:b/>
                <w:i/>
                <w:sz w:val="20"/>
                <w:szCs w:val="20"/>
              </w:rPr>
              <w:t>Regional Land Use Strategy of Northern Tasmania.</w:t>
            </w:r>
          </w:p>
        </w:tc>
      </w:tr>
      <w:tr w:rsidR="00756B53" w:rsidRPr="00E83DA2" w:rsidTr="008D2E39">
        <w:trPr>
          <w:tblHeader/>
        </w:trPr>
        <w:tc>
          <w:tcPr>
            <w:tcW w:w="3119" w:type="dxa"/>
            <w:shd w:val="clear" w:color="auto" w:fill="4F81BD" w:themeFill="accent1"/>
          </w:tcPr>
          <w:p w:rsidR="00756B53" w:rsidRPr="00E83DA2" w:rsidRDefault="00756B53" w:rsidP="008D2E39">
            <w:pPr>
              <w:rPr>
                <w:rFonts w:ascii="Gill Sans MT" w:hAnsi="Gill Sans MT"/>
                <w:b/>
                <w:sz w:val="20"/>
                <w:szCs w:val="20"/>
              </w:rPr>
            </w:pPr>
            <w:r w:rsidRPr="00E83DA2">
              <w:rPr>
                <w:rFonts w:ascii="Gill Sans MT" w:hAnsi="Gill Sans MT"/>
                <w:b/>
                <w:sz w:val="20"/>
                <w:szCs w:val="20"/>
              </w:rPr>
              <w:t>Strategic Direction</w:t>
            </w:r>
          </w:p>
        </w:tc>
        <w:tc>
          <w:tcPr>
            <w:tcW w:w="6015" w:type="dxa"/>
            <w:shd w:val="clear" w:color="auto" w:fill="4F81BD" w:themeFill="accent1"/>
          </w:tcPr>
          <w:p w:rsidR="00756B53" w:rsidRPr="00E83DA2" w:rsidRDefault="00756B53" w:rsidP="008D2E39">
            <w:pPr>
              <w:rPr>
                <w:rFonts w:ascii="Gill Sans MT" w:hAnsi="Gill Sans MT"/>
                <w:b/>
                <w:sz w:val="20"/>
                <w:szCs w:val="20"/>
              </w:rPr>
            </w:pPr>
            <w:r w:rsidRPr="00E83DA2">
              <w:rPr>
                <w:rFonts w:ascii="Gill Sans MT" w:hAnsi="Gill Sans MT"/>
                <w:b/>
                <w:sz w:val="20"/>
                <w:szCs w:val="20"/>
              </w:rPr>
              <w:t>Objectives</w:t>
            </w:r>
          </w:p>
        </w:tc>
      </w:tr>
      <w:tr w:rsidR="00756B53" w:rsidRPr="00E83DA2" w:rsidTr="008D2E39">
        <w:tc>
          <w:tcPr>
            <w:tcW w:w="3119" w:type="dxa"/>
          </w:tcPr>
          <w:p w:rsidR="00756B53" w:rsidRPr="00E83DA2" w:rsidRDefault="00756B53" w:rsidP="008D2E39">
            <w:pPr>
              <w:rPr>
                <w:rFonts w:ascii="Gill Sans MT" w:hAnsi="Gill Sans MT"/>
                <w:sz w:val="20"/>
                <w:szCs w:val="20"/>
              </w:rPr>
            </w:pPr>
            <w:r w:rsidRPr="00E83DA2">
              <w:rPr>
                <w:rFonts w:ascii="Gill Sans MT" w:hAnsi="Gill Sans MT"/>
                <w:sz w:val="20"/>
                <w:szCs w:val="20"/>
              </w:rPr>
              <w:t>2.  Adopt an integrated and coordinated approach to all of government infrastructure, transport and land use planning by achieving the following strategy objectives:</w:t>
            </w:r>
          </w:p>
        </w:tc>
        <w:tc>
          <w:tcPr>
            <w:tcW w:w="6015" w:type="dxa"/>
          </w:tcPr>
          <w:p w:rsidR="00756B53" w:rsidRPr="00E83DA2" w:rsidRDefault="00756B53" w:rsidP="008D2E39">
            <w:pPr>
              <w:pStyle w:val="ListParagraph"/>
              <w:numPr>
                <w:ilvl w:val="0"/>
                <w:numId w:val="77"/>
              </w:numPr>
              <w:ind w:left="459" w:hanging="425"/>
              <w:rPr>
                <w:rFonts w:ascii="Gill Sans MT" w:hAnsi="Gill Sans MT"/>
                <w:sz w:val="20"/>
                <w:szCs w:val="20"/>
              </w:rPr>
            </w:pPr>
            <w:r w:rsidRPr="00E83DA2">
              <w:rPr>
                <w:rFonts w:ascii="Gill Sans MT" w:hAnsi="Gill Sans MT"/>
                <w:sz w:val="20"/>
                <w:szCs w:val="20"/>
              </w:rPr>
              <w:t>Coordinate the provision of necessary transport, energy, communications and other infrastructure services with appropriate zoned and located land for development that can add value to the level and return of investment.</w:t>
            </w:r>
          </w:p>
          <w:p w:rsidR="00756B53" w:rsidRPr="00E83DA2" w:rsidRDefault="00756B53" w:rsidP="008D2E39">
            <w:pPr>
              <w:pStyle w:val="ListParagraph"/>
              <w:numPr>
                <w:ilvl w:val="0"/>
                <w:numId w:val="77"/>
              </w:numPr>
              <w:ind w:left="459" w:hanging="425"/>
              <w:rPr>
                <w:rFonts w:ascii="Gill Sans MT" w:hAnsi="Gill Sans MT"/>
                <w:sz w:val="20"/>
                <w:szCs w:val="20"/>
              </w:rPr>
            </w:pPr>
            <w:r w:rsidRPr="00E83DA2">
              <w:rPr>
                <w:rFonts w:ascii="Gill Sans MT" w:hAnsi="Gill Sans MT"/>
                <w:sz w:val="20"/>
                <w:szCs w:val="20"/>
              </w:rPr>
              <w:t>Coordinate transport planning and lands use planning by:</w:t>
            </w:r>
          </w:p>
          <w:p w:rsidR="00756B53" w:rsidRPr="00E83DA2" w:rsidRDefault="00756B53" w:rsidP="008D2E39">
            <w:pPr>
              <w:pStyle w:val="ListParagraph"/>
              <w:numPr>
                <w:ilvl w:val="1"/>
                <w:numId w:val="77"/>
              </w:numPr>
              <w:ind w:left="884" w:hanging="425"/>
              <w:rPr>
                <w:rFonts w:ascii="Gill Sans MT" w:hAnsi="Gill Sans MT"/>
                <w:sz w:val="20"/>
                <w:szCs w:val="20"/>
              </w:rPr>
            </w:pPr>
            <w:r w:rsidRPr="00E83DA2">
              <w:rPr>
                <w:rFonts w:ascii="Gill Sans MT" w:hAnsi="Gill Sans MT"/>
                <w:sz w:val="20"/>
                <w:szCs w:val="20"/>
              </w:rPr>
              <w:t>Safeguarding planned network improvements;</w:t>
            </w:r>
          </w:p>
          <w:p w:rsidR="00756B53" w:rsidRPr="00E83DA2" w:rsidRDefault="00756B53" w:rsidP="008D2E39">
            <w:pPr>
              <w:pStyle w:val="ListParagraph"/>
              <w:numPr>
                <w:ilvl w:val="1"/>
                <w:numId w:val="77"/>
              </w:numPr>
              <w:ind w:left="884" w:hanging="425"/>
              <w:rPr>
                <w:rFonts w:ascii="Gill Sans MT" w:hAnsi="Gill Sans MT"/>
                <w:sz w:val="20"/>
                <w:szCs w:val="20"/>
              </w:rPr>
            </w:pPr>
            <w:r w:rsidRPr="00E83DA2">
              <w:rPr>
                <w:rFonts w:ascii="Gill Sans MT" w:hAnsi="Gill Sans MT"/>
                <w:sz w:val="20"/>
                <w:szCs w:val="20"/>
              </w:rPr>
              <w:t>Identifying key transport networks and future networks; and</w:t>
            </w:r>
          </w:p>
          <w:p w:rsidR="00756B53" w:rsidRPr="00E83DA2" w:rsidRDefault="00756B53" w:rsidP="008D2E39">
            <w:pPr>
              <w:pStyle w:val="ListParagraph"/>
              <w:numPr>
                <w:ilvl w:val="1"/>
                <w:numId w:val="77"/>
              </w:numPr>
              <w:ind w:left="884" w:hanging="425"/>
              <w:rPr>
                <w:rFonts w:ascii="Gill Sans MT" w:hAnsi="Gill Sans MT"/>
                <w:sz w:val="20"/>
                <w:szCs w:val="20"/>
              </w:rPr>
            </w:pPr>
            <w:r w:rsidRPr="00E83DA2">
              <w:rPr>
                <w:rFonts w:ascii="Gill Sans MT" w:hAnsi="Gill Sans MT"/>
                <w:sz w:val="20"/>
                <w:szCs w:val="20"/>
              </w:rPr>
              <w:t>Understanding transport growth predictions.</w:t>
            </w:r>
          </w:p>
          <w:p w:rsidR="00756B53" w:rsidRPr="00E83DA2" w:rsidRDefault="00756B53" w:rsidP="008D2E39">
            <w:pPr>
              <w:pStyle w:val="ListParagraph"/>
              <w:numPr>
                <w:ilvl w:val="0"/>
                <w:numId w:val="77"/>
              </w:numPr>
              <w:ind w:left="459" w:hanging="425"/>
              <w:rPr>
                <w:rFonts w:ascii="Gill Sans MT" w:hAnsi="Gill Sans MT"/>
                <w:sz w:val="20"/>
                <w:szCs w:val="20"/>
              </w:rPr>
            </w:pPr>
            <w:r w:rsidRPr="00E83DA2">
              <w:rPr>
                <w:rFonts w:ascii="Gill Sans MT" w:hAnsi="Gill Sans MT"/>
                <w:sz w:val="20"/>
                <w:szCs w:val="20"/>
              </w:rPr>
              <w:t>Encourage sustainable modes of transport by:</w:t>
            </w:r>
          </w:p>
          <w:p w:rsidR="00756B53" w:rsidRPr="00E83DA2" w:rsidRDefault="00756B53" w:rsidP="008D2E39">
            <w:pPr>
              <w:pStyle w:val="ListParagraph"/>
              <w:numPr>
                <w:ilvl w:val="1"/>
                <w:numId w:val="77"/>
              </w:numPr>
              <w:ind w:left="884" w:hanging="425"/>
              <w:rPr>
                <w:rFonts w:ascii="Gill Sans MT" w:hAnsi="Gill Sans MT"/>
                <w:sz w:val="20"/>
                <w:szCs w:val="20"/>
              </w:rPr>
            </w:pPr>
            <w:r w:rsidRPr="00E83DA2">
              <w:rPr>
                <w:rFonts w:ascii="Gill Sans MT" w:hAnsi="Gill Sans MT"/>
                <w:sz w:val="20"/>
                <w:szCs w:val="20"/>
              </w:rPr>
              <w:t>Protecting the rail and road network from encroachment of sensitive uses;</w:t>
            </w:r>
          </w:p>
          <w:p w:rsidR="00756B53" w:rsidRPr="00E83DA2" w:rsidRDefault="00756B53" w:rsidP="008D2E39">
            <w:pPr>
              <w:pStyle w:val="ListParagraph"/>
              <w:numPr>
                <w:ilvl w:val="1"/>
                <w:numId w:val="77"/>
              </w:numPr>
              <w:ind w:left="884" w:hanging="425"/>
              <w:rPr>
                <w:rFonts w:ascii="Gill Sans MT" w:hAnsi="Gill Sans MT"/>
                <w:sz w:val="20"/>
                <w:szCs w:val="20"/>
              </w:rPr>
            </w:pPr>
            <w:r w:rsidRPr="00E83DA2">
              <w:rPr>
                <w:rFonts w:ascii="Gill Sans MT" w:hAnsi="Gill Sans MT"/>
                <w:sz w:val="20"/>
                <w:szCs w:val="20"/>
              </w:rPr>
              <w:t>Ensuring traffic impacts and car parking are adequately considered; and</w:t>
            </w:r>
          </w:p>
          <w:p w:rsidR="00756B53" w:rsidRPr="00E83DA2" w:rsidRDefault="00756B53" w:rsidP="008D2E39">
            <w:pPr>
              <w:pStyle w:val="ListParagraph"/>
              <w:numPr>
                <w:ilvl w:val="1"/>
                <w:numId w:val="77"/>
              </w:numPr>
              <w:ind w:left="884" w:hanging="425"/>
              <w:rPr>
                <w:rFonts w:ascii="Gill Sans MT" w:hAnsi="Gill Sans MT"/>
                <w:sz w:val="20"/>
                <w:szCs w:val="20"/>
              </w:rPr>
            </w:pPr>
            <w:r w:rsidRPr="00E83DA2">
              <w:rPr>
                <w:rFonts w:ascii="Gill Sans MT" w:hAnsi="Gill Sans MT"/>
                <w:sz w:val="20"/>
                <w:szCs w:val="20"/>
              </w:rPr>
              <w:t>Encouraging greater cycling, walking and public transport use.</w:t>
            </w:r>
          </w:p>
        </w:tc>
      </w:tr>
    </w:tbl>
    <w:p w:rsidR="00CD3D8C" w:rsidRDefault="00CD3D8C" w:rsidP="008D2E39">
      <w:pPr>
        <w:rPr>
          <w:rFonts w:ascii="Gill Sans MT" w:hAnsi="Gill Sans MT"/>
          <w:sz w:val="20"/>
          <w:szCs w:val="20"/>
        </w:rPr>
        <w:sectPr w:rsidR="00CD3D8C" w:rsidSect="00103702">
          <w:headerReference w:type="even" r:id="rId10"/>
          <w:footerReference w:type="even" r:id="rId11"/>
          <w:headerReference w:type="first" r:id="rId12"/>
          <w:footerReference w:type="first" r:id="rId13"/>
          <w:pgSz w:w="11906" w:h="16838"/>
          <w:pgMar w:top="1440" w:right="1440" w:bottom="1440" w:left="1440" w:header="708" w:footer="708" w:gutter="0"/>
          <w:cols w:space="708"/>
          <w:docGrid w:linePitch="360"/>
        </w:sectPr>
      </w:pPr>
    </w:p>
    <w:tbl>
      <w:tblPr>
        <w:tblStyle w:val="TableGrid"/>
        <w:tblW w:w="0" w:type="auto"/>
        <w:tblInd w:w="108" w:type="dxa"/>
        <w:tblLook w:val="04A0"/>
      </w:tblPr>
      <w:tblGrid>
        <w:gridCol w:w="3119"/>
        <w:gridCol w:w="6015"/>
      </w:tblGrid>
      <w:tr w:rsidR="00756B53" w:rsidRPr="00E83DA2" w:rsidTr="008D2E39">
        <w:tc>
          <w:tcPr>
            <w:tcW w:w="3119" w:type="dxa"/>
          </w:tcPr>
          <w:p w:rsidR="00756B53" w:rsidRPr="00E83DA2" w:rsidRDefault="00756B53" w:rsidP="008D2E39">
            <w:pPr>
              <w:rPr>
                <w:rFonts w:ascii="Gill Sans MT" w:hAnsi="Gill Sans MT"/>
                <w:sz w:val="20"/>
                <w:szCs w:val="20"/>
              </w:rPr>
            </w:pPr>
            <w:r w:rsidRPr="00E83DA2">
              <w:rPr>
                <w:rFonts w:ascii="Gill Sans MT" w:hAnsi="Gill Sans MT"/>
                <w:sz w:val="20"/>
                <w:szCs w:val="20"/>
              </w:rPr>
              <w:lastRenderedPageBreak/>
              <w:t>3.  Develop a thorough understanding of key industry needs, including future demand and spatial (location) requirements by achieving the following strategy objectives:</w:t>
            </w:r>
          </w:p>
        </w:tc>
        <w:tc>
          <w:tcPr>
            <w:tcW w:w="6015" w:type="dxa"/>
          </w:tcPr>
          <w:p w:rsidR="00756B53" w:rsidRPr="00E83DA2" w:rsidRDefault="00756B53" w:rsidP="008D2E39">
            <w:pPr>
              <w:pStyle w:val="ListParagraph"/>
              <w:numPr>
                <w:ilvl w:val="0"/>
                <w:numId w:val="84"/>
              </w:numPr>
              <w:rPr>
                <w:rFonts w:ascii="Gill Sans MT" w:hAnsi="Gill Sans MT"/>
                <w:sz w:val="20"/>
                <w:szCs w:val="20"/>
              </w:rPr>
            </w:pPr>
            <w:r w:rsidRPr="00E83DA2">
              <w:rPr>
                <w:rFonts w:ascii="Gill Sans MT" w:hAnsi="Gill Sans MT"/>
                <w:sz w:val="20"/>
                <w:szCs w:val="20"/>
              </w:rPr>
              <w:t>To support industrial development including freight distribution and logistics by:</w:t>
            </w:r>
          </w:p>
          <w:p w:rsidR="00756B53" w:rsidRPr="00E83DA2" w:rsidRDefault="00756B53" w:rsidP="008D2E39">
            <w:pPr>
              <w:pStyle w:val="ListParagraph"/>
              <w:numPr>
                <w:ilvl w:val="0"/>
                <w:numId w:val="78"/>
              </w:numPr>
              <w:rPr>
                <w:rFonts w:ascii="Gill Sans MT" w:hAnsi="Gill Sans MT"/>
                <w:sz w:val="20"/>
                <w:szCs w:val="20"/>
              </w:rPr>
            </w:pPr>
            <w:r w:rsidRPr="00E83DA2">
              <w:rPr>
                <w:rFonts w:ascii="Gill Sans MT" w:hAnsi="Gill Sans MT"/>
                <w:sz w:val="20"/>
                <w:szCs w:val="20"/>
              </w:rPr>
              <w:t>Identifying the growth and infrastructure needs of the key transport hubs of Bell Bay and the Launceston Airport precinct and intra-regional freight links to outside the region (south and north-west).</w:t>
            </w:r>
          </w:p>
        </w:tc>
      </w:tr>
      <w:tr w:rsidR="00756B53" w:rsidRPr="00E83DA2" w:rsidTr="008D2E39">
        <w:tc>
          <w:tcPr>
            <w:tcW w:w="3119" w:type="dxa"/>
          </w:tcPr>
          <w:p w:rsidR="00756B53" w:rsidRPr="00E83DA2" w:rsidRDefault="00756B53" w:rsidP="008D2E39">
            <w:pPr>
              <w:rPr>
                <w:rFonts w:ascii="Gill Sans MT" w:hAnsi="Gill Sans MT"/>
                <w:sz w:val="20"/>
                <w:szCs w:val="20"/>
              </w:rPr>
            </w:pPr>
            <w:r w:rsidRPr="00E83DA2">
              <w:rPr>
                <w:rFonts w:ascii="Gill Sans MT" w:hAnsi="Gill Sans MT"/>
                <w:sz w:val="20"/>
                <w:szCs w:val="20"/>
              </w:rPr>
              <w:t>7.  Enhance social inclusion by achieving the following strategy objectives:</w:t>
            </w:r>
          </w:p>
        </w:tc>
        <w:tc>
          <w:tcPr>
            <w:tcW w:w="6015" w:type="dxa"/>
          </w:tcPr>
          <w:p w:rsidR="00756B53" w:rsidRPr="00E83DA2" w:rsidRDefault="00756B53" w:rsidP="008D2E39">
            <w:pPr>
              <w:pStyle w:val="ListParagraph"/>
              <w:numPr>
                <w:ilvl w:val="0"/>
                <w:numId w:val="85"/>
              </w:numPr>
              <w:rPr>
                <w:rFonts w:ascii="Gill Sans MT" w:hAnsi="Gill Sans MT"/>
                <w:sz w:val="20"/>
                <w:szCs w:val="20"/>
              </w:rPr>
            </w:pPr>
            <w:r w:rsidRPr="00E83DA2">
              <w:rPr>
                <w:rFonts w:ascii="Gill Sans MT" w:hAnsi="Gill Sans MT"/>
                <w:sz w:val="20"/>
                <w:szCs w:val="20"/>
              </w:rPr>
              <w:t>Improve accessibility through improved walking and cycling provision, and to integrate public transport;</w:t>
            </w:r>
          </w:p>
          <w:p w:rsidR="00756B53" w:rsidRPr="00E83DA2" w:rsidRDefault="00756B53" w:rsidP="008D2E39">
            <w:pPr>
              <w:pStyle w:val="ListParagraph"/>
              <w:numPr>
                <w:ilvl w:val="0"/>
                <w:numId w:val="85"/>
              </w:numPr>
              <w:rPr>
                <w:rFonts w:ascii="Gill Sans MT" w:hAnsi="Gill Sans MT"/>
                <w:sz w:val="20"/>
                <w:szCs w:val="20"/>
              </w:rPr>
            </w:pPr>
            <w:r w:rsidRPr="00E83DA2">
              <w:rPr>
                <w:rFonts w:ascii="Gill Sans MT" w:hAnsi="Gill Sans MT"/>
                <w:sz w:val="20"/>
                <w:szCs w:val="20"/>
              </w:rPr>
              <w:t>Consider accessibility of services in the location of new dwellings and affordability issues;</w:t>
            </w:r>
          </w:p>
          <w:p w:rsidR="00756B53" w:rsidRPr="00E83DA2" w:rsidRDefault="00756B53" w:rsidP="008D2E39">
            <w:pPr>
              <w:pStyle w:val="ListParagraph"/>
              <w:numPr>
                <w:ilvl w:val="0"/>
                <w:numId w:val="85"/>
              </w:numPr>
              <w:rPr>
                <w:rFonts w:ascii="Gill Sans MT" w:hAnsi="Gill Sans MT"/>
                <w:sz w:val="20"/>
                <w:szCs w:val="20"/>
              </w:rPr>
            </w:pPr>
            <w:r w:rsidRPr="00E83DA2">
              <w:rPr>
                <w:rFonts w:ascii="Gill Sans MT" w:hAnsi="Gill Sans MT"/>
                <w:sz w:val="20"/>
                <w:szCs w:val="20"/>
              </w:rPr>
              <w:t>Provide for mixed land uses such as the integration of residential and service uses.</w:t>
            </w:r>
          </w:p>
          <w:p w:rsidR="00756B53" w:rsidRPr="00E83DA2" w:rsidRDefault="00756B53" w:rsidP="008D2E39">
            <w:pPr>
              <w:rPr>
                <w:rFonts w:ascii="Gill Sans MT" w:hAnsi="Gill Sans MT"/>
                <w:sz w:val="20"/>
                <w:szCs w:val="20"/>
              </w:rPr>
            </w:pPr>
          </w:p>
        </w:tc>
      </w:tr>
    </w:tbl>
    <w:p w:rsidR="00756B53" w:rsidRPr="00E83DA2" w:rsidRDefault="00756B53" w:rsidP="00756B53">
      <w:pPr>
        <w:rPr>
          <w:rFonts w:ascii="Gill Sans MT" w:hAnsi="Gill Sans MT"/>
        </w:rPr>
      </w:pPr>
    </w:p>
    <w:p w:rsidR="00756B53" w:rsidRPr="00E83DA2" w:rsidRDefault="00756B53" w:rsidP="00756B53">
      <w:pPr>
        <w:rPr>
          <w:rFonts w:ascii="Gill Sans MT" w:hAnsi="Gill Sans MT"/>
        </w:rPr>
      </w:pPr>
      <w:r w:rsidRPr="00E83DA2">
        <w:rPr>
          <w:rFonts w:ascii="Gill Sans MT" w:hAnsi="Gill Sans MT"/>
        </w:rPr>
        <w:t>Key regional policies and actions relevant to the NITP include:</w:t>
      </w:r>
    </w:p>
    <w:tbl>
      <w:tblPr>
        <w:tblStyle w:val="TableGrid"/>
        <w:tblW w:w="0" w:type="auto"/>
        <w:tblLook w:val="04A0"/>
      </w:tblPr>
      <w:tblGrid>
        <w:gridCol w:w="4621"/>
        <w:gridCol w:w="4621"/>
      </w:tblGrid>
      <w:tr w:rsidR="008D2E39" w:rsidRPr="00E83DA2" w:rsidTr="008D2E39">
        <w:trPr>
          <w:trHeight w:val="468"/>
          <w:tblHeader/>
        </w:trPr>
        <w:tc>
          <w:tcPr>
            <w:tcW w:w="9242" w:type="dxa"/>
            <w:gridSpan w:val="2"/>
            <w:shd w:val="clear" w:color="auto" w:fill="4F81BD" w:themeFill="accent1"/>
            <w:vAlign w:val="center"/>
          </w:tcPr>
          <w:p w:rsidR="008D2E39" w:rsidRPr="00E83DA2" w:rsidRDefault="00444FF8" w:rsidP="008D2E39">
            <w:pPr>
              <w:rPr>
                <w:rFonts w:ascii="Gill Sans MT" w:hAnsi="Gill Sans MT" w:cstheme="minorHAnsi"/>
                <w:b/>
                <w:i/>
                <w:sz w:val="20"/>
                <w:szCs w:val="20"/>
              </w:rPr>
            </w:pPr>
            <w:r>
              <w:rPr>
                <w:rFonts w:ascii="Gill Sans MT" w:hAnsi="Gill Sans MT" w:cstheme="minorHAnsi"/>
                <w:b/>
                <w:i/>
                <w:sz w:val="20"/>
                <w:szCs w:val="20"/>
              </w:rPr>
              <w:t>Figure 8</w:t>
            </w:r>
            <w:r w:rsidR="008D2E39" w:rsidRPr="00E83DA2">
              <w:rPr>
                <w:rFonts w:ascii="Gill Sans MT" w:hAnsi="Gill Sans MT" w:cstheme="minorHAnsi"/>
                <w:b/>
                <w:i/>
                <w:sz w:val="20"/>
                <w:szCs w:val="20"/>
              </w:rPr>
              <w:t xml:space="preserve">. </w:t>
            </w:r>
            <w:r w:rsidR="008D2E39" w:rsidRPr="00E83DA2">
              <w:rPr>
                <w:rFonts w:ascii="Gill Sans MT" w:hAnsi="Gill Sans MT" w:cstheme="minorHAnsi"/>
                <w:b/>
                <w:sz w:val="20"/>
                <w:szCs w:val="20"/>
              </w:rPr>
              <w:t xml:space="preserve">Key regional policies and actions relevant to NITP, </w:t>
            </w:r>
            <w:r w:rsidR="008D2E39" w:rsidRPr="00E83DA2">
              <w:rPr>
                <w:rFonts w:ascii="Gill Sans MT" w:hAnsi="Gill Sans MT" w:cstheme="minorHAnsi"/>
                <w:b/>
                <w:i/>
                <w:sz w:val="20"/>
                <w:szCs w:val="20"/>
              </w:rPr>
              <w:t>Regional Land Use Strategy of Northern Tasmania.</w:t>
            </w:r>
          </w:p>
        </w:tc>
      </w:tr>
      <w:tr w:rsidR="00756B53" w:rsidRPr="00E83DA2" w:rsidTr="008D2E39">
        <w:trPr>
          <w:tblHeader/>
        </w:trPr>
        <w:tc>
          <w:tcPr>
            <w:tcW w:w="4621" w:type="dxa"/>
            <w:shd w:val="clear" w:color="auto" w:fill="4F81BD" w:themeFill="accent1"/>
          </w:tcPr>
          <w:p w:rsidR="00756B53" w:rsidRPr="00E83DA2" w:rsidRDefault="00756B53" w:rsidP="008D2E39">
            <w:pPr>
              <w:rPr>
                <w:rFonts w:ascii="Gill Sans MT" w:hAnsi="Gill Sans MT" w:cstheme="minorHAnsi"/>
                <w:b/>
                <w:sz w:val="20"/>
                <w:szCs w:val="20"/>
              </w:rPr>
            </w:pPr>
            <w:r w:rsidRPr="00E83DA2">
              <w:rPr>
                <w:rFonts w:ascii="Gill Sans MT" w:hAnsi="Gill Sans MT" w:cstheme="minorHAnsi"/>
                <w:b/>
                <w:sz w:val="20"/>
                <w:szCs w:val="20"/>
              </w:rPr>
              <w:t>Policy</w:t>
            </w:r>
          </w:p>
        </w:tc>
        <w:tc>
          <w:tcPr>
            <w:tcW w:w="4621" w:type="dxa"/>
            <w:shd w:val="clear" w:color="auto" w:fill="4F81BD" w:themeFill="accent1"/>
          </w:tcPr>
          <w:p w:rsidR="00756B53" w:rsidRPr="00E83DA2" w:rsidRDefault="00756B53" w:rsidP="008D2E39">
            <w:pPr>
              <w:rPr>
                <w:rFonts w:ascii="Gill Sans MT" w:hAnsi="Gill Sans MT" w:cstheme="minorHAnsi"/>
                <w:b/>
                <w:sz w:val="20"/>
                <w:szCs w:val="20"/>
              </w:rPr>
            </w:pPr>
            <w:r w:rsidRPr="00E83DA2">
              <w:rPr>
                <w:rFonts w:ascii="Gill Sans MT" w:hAnsi="Gill Sans MT" w:cstheme="minorHAnsi"/>
                <w:b/>
                <w:sz w:val="20"/>
                <w:szCs w:val="20"/>
              </w:rPr>
              <w:t>Action</w:t>
            </w:r>
          </w:p>
        </w:tc>
      </w:tr>
      <w:tr w:rsidR="00756B53" w:rsidRPr="00E83DA2" w:rsidTr="008D2E39">
        <w:tc>
          <w:tcPr>
            <w:tcW w:w="4621" w:type="dxa"/>
          </w:tcPr>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RNS-P7 Ensure new development utilises existing infrastructure or can be provided with timely transport infrastructure, community services and employment.</w:t>
            </w:r>
          </w:p>
          <w:p w:rsidR="00756B53" w:rsidRPr="00E83DA2" w:rsidRDefault="00756B53" w:rsidP="008D2E39">
            <w:pPr>
              <w:rPr>
                <w:rFonts w:ascii="Gill Sans MT" w:hAnsi="Gill Sans MT" w:cstheme="minorHAnsi"/>
                <w:sz w:val="20"/>
                <w:szCs w:val="20"/>
              </w:rPr>
            </w:pPr>
          </w:p>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RNS-P8 Apply transit orientated development principles and practices to the planning and development of transit nodes, having regard for local circumstances and character.</w:t>
            </w:r>
          </w:p>
          <w:p w:rsidR="00756B53" w:rsidRPr="00E83DA2" w:rsidRDefault="00756B53" w:rsidP="008D2E39">
            <w:pPr>
              <w:rPr>
                <w:rFonts w:ascii="Gill Sans MT" w:hAnsi="Gill Sans MT" w:cstheme="minorHAnsi"/>
                <w:sz w:val="20"/>
                <w:szCs w:val="20"/>
              </w:rPr>
            </w:pPr>
          </w:p>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RNS-P9 Plan new public transport routes, facilities and high frequency services to ensure safe and convenient passenger accessibility, and support the interrelationship between land use and transport</w:t>
            </w:r>
          </w:p>
        </w:tc>
        <w:tc>
          <w:tcPr>
            <w:tcW w:w="4621" w:type="dxa"/>
          </w:tcPr>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RNS-A10 Prioritise amendments to planning schemes to support new urban growth areas and re-development sites with access to existing or planned transport infrastructure namely to support delivery of transit orientated development outcomes in activity centres and identified transit nodes (i.e. bus interchanges) on priority transit corridors.</w:t>
            </w:r>
          </w:p>
        </w:tc>
      </w:tr>
      <w:tr w:rsidR="00756B53" w:rsidRPr="00E83DA2" w:rsidTr="008D2E39">
        <w:tc>
          <w:tcPr>
            <w:tcW w:w="4621" w:type="dxa"/>
          </w:tcPr>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RNS-P10 Undertake land use and transport planning concurrently and sequence development with timely infrastructure provisions.</w:t>
            </w:r>
          </w:p>
          <w:p w:rsidR="00756B53" w:rsidRPr="00E83DA2" w:rsidRDefault="00756B53" w:rsidP="008D2E39">
            <w:pPr>
              <w:rPr>
                <w:rFonts w:ascii="Gill Sans MT" w:hAnsi="Gill Sans MT" w:cstheme="minorHAnsi"/>
                <w:sz w:val="20"/>
                <w:szCs w:val="20"/>
              </w:rPr>
            </w:pPr>
          </w:p>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RNS-P11 Connect active transport routes to improve accessibility and encourage transport use by a broader range of people.</w:t>
            </w:r>
          </w:p>
        </w:tc>
        <w:tc>
          <w:tcPr>
            <w:tcW w:w="4621" w:type="dxa"/>
          </w:tcPr>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RNS-A11 The Strategy will be further informed by the 2012 Northern Integrated Transport Plan. Future iterations of the strategy are to ensure planning schemes provide appropriate zoning patterns and supporting land use activities with regard to:</w:t>
            </w:r>
          </w:p>
          <w:p w:rsidR="00756B53" w:rsidRPr="00E83DA2" w:rsidRDefault="00756B53" w:rsidP="008D2E39">
            <w:pPr>
              <w:pStyle w:val="ListParagraph"/>
              <w:numPr>
                <w:ilvl w:val="0"/>
                <w:numId w:val="79"/>
              </w:numPr>
              <w:rPr>
                <w:rFonts w:ascii="Gill Sans MT" w:hAnsi="Gill Sans MT" w:cstheme="minorHAnsi"/>
                <w:sz w:val="20"/>
                <w:szCs w:val="20"/>
              </w:rPr>
            </w:pPr>
            <w:r w:rsidRPr="00E83DA2">
              <w:rPr>
                <w:rFonts w:ascii="Gill Sans MT" w:hAnsi="Gill Sans MT" w:cstheme="minorHAnsi"/>
                <w:sz w:val="20"/>
                <w:szCs w:val="20"/>
              </w:rPr>
              <w:t>Identification of transport demands and infrastructure required;</w:t>
            </w:r>
          </w:p>
          <w:p w:rsidR="00756B53" w:rsidRPr="00E83DA2" w:rsidRDefault="00756B53" w:rsidP="008D2E39">
            <w:pPr>
              <w:pStyle w:val="ListParagraph"/>
              <w:numPr>
                <w:ilvl w:val="0"/>
                <w:numId w:val="79"/>
              </w:numPr>
              <w:rPr>
                <w:rFonts w:ascii="Gill Sans MT" w:hAnsi="Gill Sans MT" w:cstheme="minorHAnsi"/>
                <w:sz w:val="20"/>
                <w:szCs w:val="20"/>
              </w:rPr>
            </w:pPr>
            <w:r w:rsidRPr="00E83DA2">
              <w:rPr>
                <w:rFonts w:ascii="Gill Sans MT" w:hAnsi="Gill Sans MT" w:cstheme="minorHAnsi"/>
                <w:sz w:val="20"/>
                <w:szCs w:val="20"/>
              </w:rPr>
              <w:t>Protection of key transport corridors from incompatible land uses; and</w:t>
            </w:r>
          </w:p>
          <w:p w:rsidR="00756B53" w:rsidRPr="00E83DA2" w:rsidRDefault="00756B53" w:rsidP="008D2E39">
            <w:pPr>
              <w:pStyle w:val="ListParagraph"/>
              <w:numPr>
                <w:ilvl w:val="0"/>
                <w:numId w:val="79"/>
              </w:numPr>
              <w:rPr>
                <w:rFonts w:ascii="Gill Sans MT" w:hAnsi="Gill Sans MT" w:cstheme="minorHAnsi"/>
                <w:sz w:val="20"/>
                <w:szCs w:val="20"/>
              </w:rPr>
            </w:pPr>
            <w:r w:rsidRPr="00E83DA2">
              <w:rPr>
                <w:rFonts w:ascii="Gill Sans MT" w:hAnsi="Gill Sans MT" w:cstheme="minorHAnsi"/>
                <w:sz w:val="20"/>
                <w:szCs w:val="20"/>
              </w:rPr>
              <w:t>Creation of sustainable land use patterns that maximise efficient use of all future transportation modes i.e. road/rail, freight routes (including land and sea ports), and public transport, pedestrian and cyclists networks.</w:t>
            </w:r>
          </w:p>
        </w:tc>
      </w:tr>
      <w:tr w:rsidR="00756B53" w:rsidRPr="00E83DA2" w:rsidTr="008D2E39">
        <w:tc>
          <w:tcPr>
            <w:tcW w:w="4621" w:type="dxa"/>
          </w:tcPr>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RNS-P12 Manage car parking provision in regional activity centres and high-capacity transport nodes to support walking, cycling and public transport accessibility.</w:t>
            </w:r>
          </w:p>
          <w:p w:rsidR="00756B53" w:rsidRPr="00E83DA2" w:rsidRDefault="00756B53" w:rsidP="008D2E39">
            <w:pPr>
              <w:rPr>
                <w:rFonts w:ascii="Gill Sans MT" w:hAnsi="Gill Sans MT" w:cstheme="minorHAnsi"/>
                <w:sz w:val="20"/>
                <w:szCs w:val="20"/>
              </w:rPr>
            </w:pPr>
          </w:p>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RNS-P13 Ensure all new development within walking distance of transit node or regional activity centre maximises pedestrian amenity, connectivity and safety.</w:t>
            </w:r>
          </w:p>
        </w:tc>
        <w:tc>
          <w:tcPr>
            <w:tcW w:w="4621" w:type="dxa"/>
          </w:tcPr>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lastRenderedPageBreak/>
              <w:t xml:space="preserve">RNS-A12 Promote the region’s Activity Centres network as multi-functional mixed use areas that provide a focus for integrating higher residential development outcomes, </w:t>
            </w:r>
            <w:r w:rsidRPr="00E83DA2">
              <w:rPr>
                <w:rFonts w:ascii="Gill Sans MT" w:hAnsi="Gill Sans MT" w:cstheme="minorHAnsi"/>
                <w:sz w:val="20"/>
                <w:szCs w:val="20"/>
              </w:rPr>
              <w:lastRenderedPageBreak/>
              <w:t>delivering of social and community facilities and services, and public transport provision.</w:t>
            </w:r>
          </w:p>
        </w:tc>
      </w:tr>
      <w:tr w:rsidR="00756B53" w:rsidRPr="00E83DA2" w:rsidTr="008D2E39">
        <w:tc>
          <w:tcPr>
            <w:tcW w:w="4621" w:type="dxa"/>
          </w:tcPr>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lastRenderedPageBreak/>
              <w:t>RAC-P5 Ensure safe and amenable access for all members of the community to Activity Centres by supporting active transport opportunities to encourage people to walk, cycle and use public transport to access Activity Centres.</w:t>
            </w:r>
          </w:p>
        </w:tc>
        <w:tc>
          <w:tcPr>
            <w:tcW w:w="4621" w:type="dxa"/>
          </w:tcPr>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RAC-A6 Ensure planning schemes have consistent policy, planning and design provisions to support and maximise public transport and pedestrian and cycle access to the hierarchy of activity centres.</w:t>
            </w:r>
          </w:p>
          <w:p w:rsidR="00756B53" w:rsidRPr="00E83DA2" w:rsidRDefault="00756B53" w:rsidP="008D2E39">
            <w:pPr>
              <w:rPr>
                <w:rFonts w:ascii="Gill Sans MT" w:hAnsi="Gill Sans MT" w:cstheme="minorHAnsi"/>
                <w:sz w:val="20"/>
                <w:szCs w:val="20"/>
              </w:rPr>
            </w:pPr>
          </w:p>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 xml:space="preserve">RAC-A7 Support the improved use of public transport and alternative modes of transport, pedestrian amenity and urban environment in a coordinated and consistent manner between the higher order activity </w:t>
            </w:r>
            <w:proofErr w:type="gramStart"/>
            <w:r w:rsidRPr="00E83DA2">
              <w:rPr>
                <w:rFonts w:ascii="Gill Sans MT" w:hAnsi="Gill Sans MT" w:cstheme="minorHAnsi"/>
                <w:sz w:val="20"/>
                <w:szCs w:val="20"/>
              </w:rPr>
              <w:t>centre</w:t>
            </w:r>
            <w:proofErr w:type="gramEnd"/>
            <w:r w:rsidRPr="00E83DA2">
              <w:rPr>
                <w:rFonts w:ascii="Gill Sans MT" w:hAnsi="Gill Sans MT" w:cstheme="minorHAnsi"/>
                <w:sz w:val="20"/>
                <w:szCs w:val="20"/>
              </w:rPr>
              <w:t>.</w:t>
            </w:r>
          </w:p>
        </w:tc>
      </w:tr>
      <w:tr w:rsidR="00756B53" w:rsidRPr="00E83DA2" w:rsidTr="008D2E39">
        <w:tc>
          <w:tcPr>
            <w:tcW w:w="4621" w:type="dxa"/>
          </w:tcPr>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RAC-P6 Improve the integration of public transport with Activity Centre planning, particularly where it relates to higher order activity centres.</w:t>
            </w:r>
          </w:p>
          <w:p w:rsidR="00756B53" w:rsidRPr="00E83DA2" w:rsidRDefault="00756B53" w:rsidP="008D2E39">
            <w:pPr>
              <w:rPr>
                <w:rFonts w:ascii="Gill Sans MT" w:hAnsi="Gill Sans MT" w:cstheme="minorHAnsi"/>
                <w:sz w:val="20"/>
                <w:szCs w:val="20"/>
              </w:rPr>
            </w:pPr>
          </w:p>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RAC-P7 Coordinate with state agencies such as DIER to ensure the ongoing delivery of high quality, high frequency public transport that meets the needs and expectations of the community and supports the Regional Activity Centres network.</w:t>
            </w:r>
          </w:p>
        </w:tc>
        <w:tc>
          <w:tcPr>
            <w:tcW w:w="4621" w:type="dxa"/>
          </w:tcPr>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RAC-A8 Ensure planning schemes support integrated land use and transport planning principles to reinforce the role and function of the Regional Activity Centres network.</w:t>
            </w:r>
          </w:p>
          <w:p w:rsidR="00756B53" w:rsidRPr="00E83DA2" w:rsidRDefault="00756B53" w:rsidP="008D2E39">
            <w:pPr>
              <w:rPr>
                <w:rFonts w:ascii="Gill Sans MT" w:hAnsi="Gill Sans MT" w:cstheme="minorHAnsi"/>
                <w:sz w:val="20"/>
                <w:szCs w:val="20"/>
              </w:rPr>
            </w:pPr>
          </w:p>
          <w:p w:rsidR="00756B53" w:rsidRPr="00E83DA2" w:rsidRDefault="00756B53" w:rsidP="008D2E39">
            <w:pPr>
              <w:rPr>
                <w:rFonts w:ascii="Gill Sans MT" w:hAnsi="Gill Sans MT" w:cstheme="minorHAnsi"/>
                <w:sz w:val="20"/>
                <w:szCs w:val="20"/>
              </w:rPr>
            </w:pPr>
            <w:r w:rsidRPr="00E83DA2">
              <w:rPr>
                <w:rFonts w:ascii="Gill Sans MT" w:hAnsi="Gill Sans MT" w:cstheme="minorHAnsi"/>
                <w:sz w:val="20"/>
                <w:szCs w:val="20"/>
              </w:rPr>
              <w:t>RAC-A9 Ensure transport strategies and future infrastructure provision support the role and function of the Regional Activity Centres network.</w:t>
            </w:r>
          </w:p>
        </w:tc>
      </w:tr>
      <w:tr w:rsidR="00756B53" w:rsidRPr="00E83DA2" w:rsidTr="008D2E39">
        <w:tc>
          <w:tcPr>
            <w:tcW w:w="4621" w:type="dxa"/>
          </w:tcPr>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RIN-P1</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Coordinate, prioritise and sequence the supply of infrastructure throughout the region to match its settlement framework. </w:t>
            </w:r>
          </w:p>
        </w:tc>
        <w:tc>
          <w:tcPr>
            <w:tcW w:w="4621" w:type="dxa"/>
          </w:tcPr>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RIN-A1</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Liaise with state agencies principally DIER to develop transport initiatives</w:t>
            </w:r>
            <w:r w:rsidRPr="00E83DA2">
              <w:rPr>
                <w:rFonts w:ascii="Gill Sans MT" w:hAnsi="Gill Sans MT" w:cstheme="minorHAnsi"/>
                <w:b/>
                <w:bCs/>
                <w:sz w:val="20"/>
                <w:szCs w:val="20"/>
              </w:rPr>
              <w:t xml:space="preserve">. </w:t>
            </w:r>
          </w:p>
        </w:tc>
      </w:tr>
      <w:tr w:rsidR="00756B53" w:rsidRPr="00E83DA2" w:rsidTr="008D2E39">
        <w:tc>
          <w:tcPr>
            <w:tcW w:w="4621" w:type="dxa"/>
          </w:tcPr>
          <w:p w:rsidR="00756B53" w:rsidRPr="00E83DA2" w:rsidRDefault="00756B53" w:rsidP="008D2E39">
            <w:pPr>
              <w:pStyle w:val="Default"/>
              <w:rPr>
                <w:rFonts w:ascii="Gill Sans MT" w:hAnsi="Gill Sans MT" w:cstheme="minorHAnsi"/>
                <w:b/>
                <w:bCs/>
                <w:sz w:val="20"/>
                <w:szCs w:val="20"/>
              </w:rPr>
            </w:pPr>
            <w:r w:rsidRPr="00E83DA2">
              <w:rPr>
                <w:rFonts w:ascii="Gill Sans MT" w:hAnsi="Gill Sans MT" w:cstheme="minorHAnsi"/>
                <w:bCs/>
                <w:sz w:val="20"/>
                <w:szCs w:val="20"/>
              </w:rPr>
              <w:t>RIN-P2</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Identify infrastructure </w:t>
            </w:r>
            <w:proofErr w:type="gramStart"/>
            <w:r w:rsidRPr="00E83DA2">
              <w:rPr>
                <w:rFonts w:ascii="Gill Sans MT" w:hAnsi="Gill Sans MT" w:cstheme="minorHAnsi"/>
                <w:sz w:val="20"/>
                <w:szCs w:val="20"/>
              </w:rPr>
              <w:t>capacity,</w:t>
            </w:r>
            <w:proofErr w:type="gramEnd"/>
            <w:r w:rsidRPr="00E83DA2">
              <w:rPr>
                <w:rFonts w:ascii="Gill Sans MT" w:hAnsi="Gill Sans MT" w:cstheme="minorHAnsi"/>
                <w:sz w:val="20"/>
                <w:szCs w:val="20"/>
              </w:rPr>
              <w:t xml:space="preserve"> need and gaps in current provision to meet requirements for projected population and economic activity. </w:t>
            </w:r>
          </w:p>
        </w:tc>
        <w:tc>
          <w:tcPr>
            <w:tcW w:w="4621" w:type="dxa"/>
          </w:tcPr>
          <w:p w:rsidR="00756B53" w:rsidRPr="00E83DA2" w:rsidRDefault="00756B53" w:rsidP="008D2E39">
            <w:pPr>
              <w:pStyle w:val="Default"/>
              <w:rPr>
                <w:rFonts w:ascii="Gill Sans MT" w:hAnsi="Gill Sans MT" w:cstheme="minorHAnsi"/>
                <w:b/>
                <w:bCs/>
                <w:sz w:val="20"/>
                <w:szCs w:val="20"/>
              </w:rPr>
            </w:pPr>
            <w:r w:rsidRPr="00E83DA2">
              <w:rPr>
                <w:rFonts w:ascii="Gill Sans MT" w:hAnsi="Gill Sans MT" w:cstheme="minorHAnsi"/>
                <w:bCs/>
                <w:sz w:val="20"/>
                <w:szCs w:val="20"/>
              </w:rPr>
              <w:t>RIN-A2</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Liaise with state agencies namely DEDTA and DIER to develop infrastructure strategies for Northern Tasmania. </w:t>
            </w:r>
          </w:p>
        </w:tc>
      </w:tr>
      <w:tr w:rsidR="00756B53" w:rsidRPr="00E83DA2" w:rsidTr="008D2E39">
        <w:tc>
          <w:tcPr>
            <w:tcW w:w="4621" w:type="dxa"/>
          </w:tcPr>
          <w:p w:rsidR="00756B53" w:rsidRPr="00E83DA2" w:rsidRDefault="00756B53" w:rsidP="008D2E39">
            <w:pPr>
              <w:pStyle w:val="Default"/>
              <w:rPr>
                <w:rFonts w:ascii="Gill Sans MT" w:hAnsi="Gill Sans MT" w:cstheme="minorHAnsi"/>
                <w:b/>
                <w:bCs/>
                <w:sz w:val="20"/>
                <w:szCs w:val="20"/>
              </w:rPr>
            </w:pPr>
            <w:r w:rsidRPr="00E83DA2">
              <w:rPr>
                <w:rFonts w:ascii="Gill Sans MT" w:hAnsi="Gill Sans MT" w:cstheme="minorHAnsi"/>
                <w:bCs/>
                <w:sz w:val="20"/>
                <w:szCs w:val="20"/>
              </w:rPr>
              <w:t>RIN-P3</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Direct new development towards settlement areas that have been identified as having spare infrastructure capacity. </w:t>
            </w:r>
          </w:p>
        </w:tc>
        <w:tc>
          <w:tcPr>
            <w:tcW w:w="4621" w:type="dxa"/>
          </w:tcPr>
          <w:p w:rsidR="00756B53" w:rsidRPr="00E83DA2" w:rsidRDefault="00756B53" w:rsidP="008D2E39">
            <w:pPr>
              <w:pStyle w:val="Default"/>
              <w:rPr>
                <w:rFonts w:ascii="Gill Sans MT" w:hAnsi="Gill Sans MT" w:cstheme="minorHAnsi"/>
                <w:b/>
                <w:bCs/>
                <w:sz w:val="20"/>
                <w:szCs w:val="20"/>
              </w:rPr>
            </w:pPr>
            <w:r w:rsidRPr="00E83DA2">
              <w:rPr>
                <w:rFonts w:ascii="Gill Sans MT" w:hAnsi="Gill Sans MT" w:cstheme="minorHAnsi"/>
                <w:bCs/>
                <w:sz w:val="20"/>
                <w:szCs w:val="20"/>
              </w:rPr>
              <w:t>RIN-A3</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Preference growth in areas in that uses under capacity of existing infrastructure and give preference to urban expansion that is in physical proximity to existing transport corridors and the higher order Activity Centres. </w:t>
            </w:r>
          </w:p>
        </w:tc>
      </w:tr>
      <w:tr w:rsidR="00756B53" w:rsidRPr="00E83DA2" w:rsidTr="008D2E39">
        <w:tc>
          <w:tcPr>
            <w:tcW w:w="4621" w:type="dxa"/>
          </w:tcPr>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RIN-P4</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Recognise the DIER Road Hierarchy and protect the operation of major road and rail corridors (existing and planned) from development that will preclude or have an adverse effect upon the existing and future operations.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b/>
                <w:bCs/>
                <w:sz w:val="20"/>
                <w:szCs w:val="20"/>
              </w:rPr>
            </w:pPr>
            <w:r w:rsidRPr="00E83DA2">
              <w:rPr>
                <w:rFonts w:ascii="Gill Sans MT" w:hAnsi="Gill Sans MT" w:cstheme="minorHAnsi"/>
                <w:bCs/>
                <w:sz w:val="20"/>
                <w:szCs w:val="20"/>
              </w:rPr>
              <w:t>RIN-P5</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Recognise and protect the region’s port, and airport and other intermodal facilities (existing and planned) and protect their operation from development that will preclude or have an adverse impact upon the existing and future operations. </w:t>
            </w:r>
          </w:p>
        </w:tc>
        <w:tc>
          <w:tcPr>
            <w:tcW w:w="4621" w:type="dxa"/>
          </w:tcPr>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RIN-A4</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Recognise and protect the operation and future expansion potential of key intermodal facilities, particularly the three major seaports and the Launceston Airport Protect from surrounding incompatible uses by applying appropriate zoning and buffers in planning schemes.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RIN-A5</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that appropriate planning mechanisms are in place to facilitate the potential Bell Bay Port Intermodal Expansion that is subject to Federal Government Funding.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RIN-A6</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commercial development near Launceston airports identifies and encourages activities that complement the role of the airport and do not affect the future operation of the airport by imposing operational constraints.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RIN-A7</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Protect the region’s road and rail infrastructure network to enable a transition between compatible land uses and an adequate separation between conflicting development (e.g. ribbon residential development and limit multiple new accesses onto regional freight roads) that would compromise safe and efficient operations of existing and future planned road and rail corridors.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RIN-A8</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Protect strategic road corridors that are predominately State Roads (Category 1-3) under Tasmanian Road Hierarchy which include: </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Midland Highway</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Illawarra Main Road</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Bass Highway</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Tasman Highway</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Birralee Frankford Main Road/West Tamar/Batman Highway corridor</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West Tamar Highway from Launceston to Frankford Main Road</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East Tamar Highway</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Bridport Main Road</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Tasman Highway from Scottsdale to Ringarooma Main Road</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 xml:space="preserve">Tasman Highway from Esk Main Road to St Helens </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Ringarooma Main Road from Tasman Highway to Ringarooma</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Lilydale Main Road from East Tamar Highway to Lalla Road (Golconda Road)</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Bell Bay Main Road</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Esk Main Road</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Evandale Main Road from Midland Highway to Launceston airport</w:t>
            </w:r>
          </w:p>
          <w:p w:rsidR="00756B53" w:rsidRPr="00E83DA2" w:rsidRDefault="00756B53" w:rsidP="008D2E39">
            <w:pPr>
              <w:pStyle w:val="Default"/>
              <w:numPr>
                <w:ilvl w:val="0"/>
                <w:numId w:val="80"/>
              </w:numPr>
              <w:rPr>
                <w:rFonts w:ascii="Gill Sans MT" w:hAnsi="Gill Sans MT" w:cstheme="minorHAnsi"/>
                <w:sz w:val="20"/>
                <w:szCs w:val="20"/>
              </w:rPr>
            </w:pPr>
            <w:r w:rsidRPr="00E83DA2">
              <w:rPr>
                <w:rFonts w:ascii="Gill Sans MT" w:hAnsi="Gill Sans MT" w:cstheme="minorHAnsi"/>
                <w:sz w:val="20"/>
                <w:szCs w:val="20"/>
              </w:rPr>
              <w:t>Kings</w:t>
            </w:r>
            <w:r w:rsidR="00B517DE">
              <w:rPr>
                <w:rFonts w:ascii="Gill Sans MT" w:hAnsi="Gill Sans MT" w:cstheme="minorHAnsi"/>
                <w:sz w:val="20"/>
                <w:szCs w:val="20"/>
              </w:rPr>
              <w:t xml:space="preserve"> M</w:t>
            </w:r>
            <w:r w:rsidRPr="00E83DA2">
              <w:rPr>
                <w:rFonts w:ascii="Gill Sans MT" w:hAnsi="Gill Sans MT" w:cstheme="minorHAnsi"/>
                <w:sz w:val="20"/>
                <w:szCs w:val="20"/>
              </w:rPr>
              <w:t xml:space="preserve">eadows Main Road. </w:t>
            </w:r>
          </w:p>
          <w:p w:rsidR="00756B53" w:rsidRPr="00E83DA2" w:rsidRDefault="00756B53" w:rsidP="008D2E39">
            <w:pPr>
              <w:pStyle w:val="Default"/>
              <w:ind w:left="360"/>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sz w:val="20"/>
                <w:szCs w:val="20"/>
              </w:rPr>
              <w:t xml:space="preserve">Other roads which are local roads may require protection include, Bathurst Wellington Streets, forestry freight routes – Mathinna Plains Road, northern section of Camden Road and </w:t>
            </w:r>
            <w:proofErr w:type="spellStart"/>
            <w:r w:rsidRPr="00E83DA2">
              <w:rPr>
                <w:rFonts w:ascii="Gill Sans MT" w:hAnsi="Gill Sans MT" w:cstheme="minorHAnsi"/>
                <w:sz w:val="20"/>
                <w:szCs w:val="20"/>
              </w:rPr>
              <w:t>Prossers</w:t>
            </w:r>
            <w:proofErr w:type="spellEnd"/>
            <w:r w:rsidRPr="00E83DA2">
              <w:rPr>
                <w:rFonts w:ascii="Gill Sans MT" w:hAnsi="Gill Sans MT" w:cstheme="minorHAnsi"/>
                <w:sz w:val="20"/>
                <w:szCs w:val="20"/>
              </w:rPr>
              <w:t xml:space="preserve"> Road.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b/>
                <w:bCs/>
                <w:sz w:val="20"/>
                <w:szCs w:val="20"/>
              </w:rPr>
            </w:pPr>
            <w:r w:rsidRPr="00E83DA2">
              <w:rPr>
                <w:rFonts w:ascii="Gill Sans MT" w:hAnsi="Gill Sans MT" w:cstheme="minorHAnsi"/>
                <w:bCs/>
                <w:sz w:val="20"/>
                <w:szCs w:val="20"/>
              </w:rPr>
              <w:lastRenderedPageBreak/>
              <w:t>RIN-A9</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appropriate zoning and/or other mechanisms within planning schemes support future roads that are currently being planned by DIER. </w:t>
            </w:r>
          </w:p>
        </w:tc>
      </w:tr>
      <w:tr w:rsidR="00756B53" w:rsidRPr="00E83DA2" w:rsidTr="008D2E39">
        <w:tc>
          <w:tcPr>
            <w:tcW w:w="4621" w:type="dxa"/>
          </w:tcPr>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lastRenderedPageBreak/>
              <w:t>RIN-P6</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Facilitate and encourage active modes of transport through land use planning. </w:t>
            </w:r>
          </w:p>
          <w:p w:rsidR="00756B53" w:rsidRPr="00E83DA2" w:rsidRDefault="00756B53" w:rsidP="008D2E39">
            <w:pPr>
              <w:pStyle w:val="Default"/>
              <w:rPr>
                <w:rFonts w:ascii="Gill Sans MT" w:hAnsi="Gill Sans MT" w:cstheme="minorHAnsi"/>
                <w:b/>
                <w:bCs/>
                <w:sz w:val="20"/>
                <w:szCs w:val="20"/>
              </w:rPr>
            </w:pPr>
          </w:p>
        </w:tc>
        <w:tc>
          <w:tcPr>
            <w:tcW w:w="4621" w:type="dxa"/>
          </w:tcPr>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RIN-A10</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that subdivision roads are designed and constructed to meet the needs of all users and to reinforce the functions, safety and efficiency of the road or communal driveway, e.g. pedestrians and cyclists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RIN-A11</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that future subdivision design allows for permeability and connectivity in the transportation network.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RIN-A12</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Incorporate contemporary guidelines and other relevant subdivision design codes into Planning Schemes to ensure the provision of facilities for walking and cycling deals with this. Examples include: </w:t>
            </w: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sz w:val="20"/>
                <w:szCs w:val="20"/>
              </w:rPr>
              <w:t xml:space="preserve">a. layout of lots and buildings must provide for connection to adjacent local roads, open space, trails, pedestrian, cycle and bus routes; and </w:t>
            </w:r>
          </w:p>
          <w:p w:rsidR="00756B53" w:rsidRPr="00E83DA2" w:rsidRDefault="00756B53" w:rsidP="008D2E39">
            <w:pPr>
              <w:pStyle w:val="Default"/>
              <w:rPr>
                <w:rFonts w:ascii="Gill Sans MT" w:hAnsi="Gill Sans MT" w:cstheme="minorHAnsi"/>
                <w:sz w:val="20"/>
                <w:szCs w:val="20"/>
              </w:rPr>
            </w:pPr>
            <w:proofErr w:type="gramStart"/>
            <w:r w:rsidRPr="00E83DA2">
              <w:rPr>
                <w:rFonts w:ascii="Gill Sans MT" w:hAnsi="Gill Sans MT" w:cstheme="minorHAnsi"/>
                <w:sz w:val="20"/>
                <w:szCs w:val="20"/>
              </w:rPr>
              <w:t>b</w:t>
            </w:r>
            <w:proofErr w:type="gramEnd"/>
            <w:r w:rsidRPr="00E83DA2">
              <w:rPr>
                <w:rFonts w:ascii="Gill Sans MT" w:hAnsi="Gill Sans MT" w:cstheme="minorHAnsi"/>
                <w:sz w:val="20"/>
                <w:szCs w:val="20"/>
              </w:rPr>
              <w:t xml:space="preserve">. roads are designed and constructed to meet the needs of all users and to reinforce the functions, safety and efficiency of the road or communal driveway, e.g. pedestrians and cyclists.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RIN-A13</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the needs of off-road and on-road facilities cycle facilities (shared pathways and engineering aspects associated with the different needs of cyclists and walkers) are addressed.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RIN-A14</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future Specific or Local Area Development Plans can provide a means of linking the development of the Principal Urban Cycling Networks (bike highways) with the work that has to be done at local level to create appropriate local cycling ‘connector routes’ and end of trip facilities.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RIN-A15</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Local Area Development Plans enable and motivate walking for transport via provision of local walking routes as part of Local Area Development Plans.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RIN-A16</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Facilitate the increased use of active transport modes for short trips by ensuring future subdivisions provide for pedestrian connectivity to open spaces, trails, and cycle </w:t>
            </w:r>
            <w:r w:rsidRPr="00E83DA2">
              <w:rPr>
                <w:rFonts w:ascii="Gill Sans MT" w:hAnsi="Gill Sans MT" w:cstheme="minorHAnsi"/>
                <w:sz w:val="20"/>
                <w:szCs w:val="20"/>
              </w:rPr>
              <w:lastRenderedPageBreak/>
              <w:t xml:space="preserve">and bus routes and include adequate provision of cycle ways.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b/>
                <w:bCs/>
                <w:sz w:val="20"/>
                <w:szCs w:val="20"/>
              </w:rPr>
            </w:pPr>
            <w:r w:rsidRPr="00E83DA2">
              <w:rPr>
                <w:rFonts w:ascii="Gill Sans MT" w:hAnsi="Gill Sans MT" w:cstheme="minorHAnsi"/>
                <w:bCs/>
                <w:sz w:val="20"/>
                <w:szCs w:val="20"/>
              </w:rPr>
              <w:t>RIN-A17</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Planning Schemes require that developments/uses that attract high numbers of people include provision of end of trip facilities (showers, bike parking, etc.) and bike parking in parking requirements – where appropriate. </w:t>
            </w:r>
          </w:p>
        </w:tc>
      </w:tr>
      <w:tr w:rsidR="00756B53" w:rsidRPr="00E83DA2" w:rsidTr="008D2E39">
        <w:tc>
          <w:tcPr>
            <w:tcW w:w="4621" w:type="dxa"/>
          </w:tcPr>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lastRenderedPageBreak/>
              <w:t>RIN-P7</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Facilitate an efficient and convenient public transportation system through land use planning. </w:t>
            </w:r>
          </w:p>
          <w:p w:rsidR="00756B53" w:rsidRPr="00E83DA2" w:rsidRDefault="00756B53" w:rsidP="008D2E39">
            <w:pPr>
              <w:pStyle w:val="Default"/>
              <w:rPr>
                <w:rFonts w:ascii="Gill Sans MT" w:hAnsi="Gill Sans MT" w:cstheme="minorHAnsi"/>
                <w:b/>
                <w:bCs/>
                <w:sz w:val="20"/>
                <w:szCs w:val="20"/>
              </w:rPr>
            </w:pPr>
          </w:p>
        </w:tc>
        <w:tc>
          <w:tcPr>
            <w:tcW w:w="4621" w:type="dxa"/>
          </w:tcPr>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RIN-A18</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that future higher density residential areas, mixed use developments and new commercial areas are integrated with public transport services.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RIN-A19</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new urban subdivisions are designed to cater for buses, e.g. road width, junction/roundabout design, entry and exit points and need to be designed in accordance with Australian Standards.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RIN-A20</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subdivision design provides interconnected road layouts which promote an efficient and contiguous public transport service together with cyclists and pedestrian movement and minimise the use of cul-de-sacs.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RIN-A21</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Consult and engage with public transport service providers in the concept design phase to determine if the area can be serviced by public transport in terms of the network and also in terms of subdivision design.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RIN-A22</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new urban </w:t>
            </w:r>
            <w:proofErr w:type="gramStart"/>
            <w:r w:rsidRPr="00E83DA2">
              <w:rPr>
                <w:rFonts w:ascii="Gill Sans MT" w:hAnsi="Gill Sans MT" w:cstheme="minorHAnsi"/>
                <w:sz w:val="20"/>
                <w:szCs w:val="20"/>
              </w:rPr>
              <w:t>development encourage</w:t>
            </w:r>
            <w:proofErr w:type="gramEnd"/>
            <w:r w:rsidRPr="00E83DA2">
              <w:rPr>
                <w:rFonts w:ascii="Gill Sans MT" w:hAnsi="Gill Sans MT" w:cstheme="minorHAnsi"/>
                <w:sz w:val="20"/>
                <w:szCs w:val="20"/>
              </w:rPr>
              <w:t xml:space="preserve"> residential densities that support more cost effective delivery of public transport services.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sz w:val="20"/>
                <w:szCs w:val="20"/>
              </w:rPr>
            </w:pPr>
            <w:r w:rsidRPr="00E83DA2">
              <w:rPr>
                <w:rFonts w:ascii="Gill Sans MT" w:hAnsi="Gill Sans MT" w:cstheme="minorHAnsi"/>
                <w:bCs/>
                <w:sz w:val="20"/>
                <w:szCs w:val="20"/>
              </w:rPr>
              <w:t>RIN-A23</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Ensure new urban development to be located adjacent to existing and preferably mixed use areas – reducing the need to travel and the distances travelled, at least for some trips. </w:t>
            </w:r>
          </w:p>
          <w:p w:rsidR="00756B53" w:rsidRPr="00E83DA2" w:rsidRDefault="00756B53" w:rsidP="008D2E39">
            <w:pPr>
              <w:pStyle w:val="Default"/>
              <w:rPr>
                <w:rFonts w:ascii="Gill Sans MT" w:hAnsi="Gill Sans MT" w:cstheme="minorHAnsi"/>
                <w:sz w:val="20"/>
                <w:szCs w:val="20"/>
              </w:rPr>
            </w:pPr>
          </w:p>
          <w:p w:rsidR="00756B53" w:rsidRPr="00E83DA2" w:rsidRDefault="00756B53" w:rsidP="008D2E39">
            <w:pPr>
              <w:pStyle w:val="Default"/>
              <w:rPr>
                <w:rFonts w:ascii="Gill Sans MT" w:hAnsi="Gill Sans MT" w:cstheme="minorHAnsi"/>
                <w:b/>
                <w:bCs/>
                <w:sz w:val="20"/>
                <w:szCs w:val="20"/>
              </w:rPr>
            </w:pPr>
            <w:r w:rsidRPr="00E83DA2">
              <w:rPr>
                <w:rFonts w:ascii="Gill Sans MT" w:hAnsi="Gill Sans MT" w:cstheme="minorHAnsi"/>
                <w:bCs/>
                <w:sz w:val="20"/>
                <w:szCs w:val="20"/>
              </w:rPr>
              <w:t>RIN-A24</w:t>
            </w:r>
            <w:r w:rsidRPr="00E83DA2">
              <w:rPr>
                <w:rFonts w:ascii="Gill Sans MT" w:hAnsi="Gill Sans MT" w:cstheme="minorHAnsi"/>
                <w:b/>
                <w:bCs/>
                <w:sz w:val="20"/>
                <w:szCs w:val="20"/>
              </w:rPr>
              <w:t xml:space="preserve"> </w:t>
            </w:r>
            <w:r w:rsidRPr="00E83DA2">
              <w:rPr>
                <w:rFonts w:ascii="Gill Sans MT" w:hAnsi="Gill Sans MT" w:cstheme="minorHAnsi"/>
                <w:sz w:val="20"/>
                <w:szCs w:val="20"/>
              </w:rPr>
              <w:t xml:space="preserve">Identify higher density residential areas, mixed use development and new commercial areas to support greater access and use of public transport services, particularly in areas which have higher frequency services. </w:t>
            </w:r>
          </w:p>
        </w:tc>
      </w:tr>
    </w:tbl>
    <w:p w:rsidR="00756B53" w:rsidRDefault="00756B53" w:rsidP="00756B53">
      <w:pPr>
        <w:rPr>
          <w:rFonts w:ascii="Gill Sans MT" w:hAnsi="Gill Sans MT"/>
        </w:rPr>
      </w:pPr>
    </w:p>
    <w:p w:rsidR="00E94152" w:rsidRPr="00E83DA2" w:rsidRDefault="00E94152" w:rsidP="00756B53">
      <w:pPr>
        <w:rPr>
          <w:rFonts w:ascii="Gill Sans MT" w:hAnsi="Gill Sans MT"/>
        </w:rPr>
      </w:pPr>
    </w:p>
    <w:p w:rsidR="00756B53" w:rsidRPr="00E83DA2" w:rsidRDefault="00756B53" w:rsidP="00756B53">
      <w:pPr>
        <w:rPr>
          <w:rStyle w:val="InstructionText"/>
        </w:rPr>
      </w:pPr>
      <w:bookmarkStart w:id="16" w:name="OLE_LINK1"/>
      <w:r w:rsidRPr="00E83DA2">
        <w:rPr>
          <w:rStyle w:val="InstructionText"/>
        </w:rPr>
        <w:t>Northern Tasmania Regional Transport Funding Priorities</w:t>
      </w:r>
    </w:p>
    <w:p w:rsidR="00756B53" w:rsidRPr="00E83DA2" w:rsidRDefault="00756B53" w:rsidP="00756B53">
      <w:pPr>
        <w:rPr>
          <w:rFonts w:ascii="Gill Sans MT" w:hAnsi="Gill Sans MT"/>
        </w:rPr>
      </w:pPr>
      <w:r w:rsidRPr="00E83DA2">
        <w:rPr>
          <w:rFonts w:ascii="Gill Sans MT" w:hAnsi="Gill Sans MT"/>
        </w:rPr>
        <w:t xml:space="preserve">The </w:t>
      </w:r>
      <w:r w:rsidRPr="00E83DA2">
        <w:rPr>
          <w:rFonts w:ascii="Gill Sans MT" w:hAnsi="Gill Sans MT"/>
          <w:i/>
        </w:rPr>
        <w:t>Northern Tasmania Regional Transport Funding Priorities</w:t>
      </w:r>
      <w:r w:rsidRPr="00E83DA2">
        <w:rPr>
          <w:rFonts w:ascii="Gill Sans MT" w:hAnsi="Gill Sans MT"/>
        </w:rPr>
        <w:t xml:space="preserve"> report was prepared in 2011 by NTD. The Report identifies regional transport funding priorities as agreed by the eight northern councils. The report is split into two sections summarising the region’s top four transport infrastructure priorities and individual projects identified as priorities for the councils. The report recommends that the individual projects form part of the review of the NITP.</w:t>
      </w:r>
    </w:p>
    <w:p w:rsidR="00756B53" w:rsidRPr="00E83DA2" w:rsidRDefault="00756B53" w:rsidP="00756B53">
      <w:pPr>
        <w:rPr>
          <w:rFonts w:ascii="Gill Sans MT" w:hAnsi="Gill Sans MT"/>
        </w:rPr>
      </w:pPr>
      <w:r w:rsidRPr="00E83DA2">
        <w:rPr>
          <w:rFonts w:ascii="Gill Sans MT" w:hAnsi="Gill Sans MT"/>
        </w:rPr>
        <w:t>The transport infrastructure priorities are (in order of priority):</w:t>
      </w:r>
    </w:p>
    <w:p w:rsidR="00756B53" w:rsidRPr="00E83DA2" w:rsidRDefault="00756B53" w:rsidP="00756B53">
      <w:pPr>
        <w:pStyle w:val="ListParagraph"/>
        <w:numPr>
          <w:ilvl w:val="0"/>
          <w:numId w:val="81"/>
        </w:numPr>
        <w:rPr>
          <w:rFonts w:ascii="Gill Sans MT" w:hAnsi="Gill Sans MT"/>
        </w:rPr>
      </w:pPr>
      <w:r w:rsidRPr="00E83DA2">
        <w:rPr>
          <w:rFonts w:ascii="Gill Sans MT" w:hAnsi="Gill Sans MT"/>
        </w:rPr>
        <w:t>Review of the Northern Tasmanian Integrated Transport Plan</w:t>
      </w:r>
    </w:p>
    <w:p w:rsidR="00756B53" w:rsidRPr="00E83DA2" w:rsidRDefault="00756B53" w:rsidP="00756B53">
      <w:pPr>
        <w:pStyle w:val="ListParagraph"/>
        <w:numPr>
          <w:ilvl w:val="0"/>
          <w:numId w:val="81"/>
        </w:numPr>
        <w:rPr>
          <w:rFonts w:ascii="Gill Sans MT" w:hAnsi="Gill Sans MT"/>
        </w:rPr>
      </w:pPr>
      <w:r w:rsidRPr="00E83DA2">
        <w:rPr>
          <w:rFonts w:ascii="Gill Sans MT" w:hAnsi="Gill Sans MT"/>
        </w:rPr>
        <w:t>Maintenance of State and National Road Network</w:t>
      </w:r>
    </w:p>
    <w:p w:rsidR="00756B53" w:rsidRPr="00E83DA2" w:rsidRDefault="00756B53" w:rsidP="00756B53">
      <w:pPr>
        <w:pStyle w:val="ListParagraph"/>
        <w:numPr>
          <w:ilvl w:val="0"/>
          <w:numId w:val="81"/>
        </w:numPr>
        <w:rPr>
          <w:rFonts w:ascii="Gill Sans MT" w:hAnsi="Gill Sans MT"/>
        </w:rPr>
      </w:pPr>
      <w:r w:rsidRPr="00E83DA2">
        <w:rPr>
          <w:rFonts w:ascii="Gill Sans MT" w:hAnsi="Gill Sans MT"/>
        </w:rPr>
        <w:t>Bell Bay Expansion Project</w:t>
      </w:r>
    </w:p>
    <w:p w:rsidR="00756B53" w:rsidRPr="00E83DA2" w:rsidRDefault="00756B53" w:rsidP="00756B53">
      <w:pPr>
        <w:pStyle w:val="ListParagraph"/>
        <w:numPr>
          <w:ilvl w:val="0"/>
          <w:numId w:val="81"/>
        </w:numPr>
        <w:rPr>
          <w:rFonts w:ascii="Gill Sans MT" w:hAnsi="Gill Sans MT"/>
        </w:rPr>
      </w:pPr>
      <w:r w:rsidRPr="00E83DA2">
        <w:rPr>
          <w:rFonts w:ascii="Gill Sans MT" w:hAnsi="Gill Sans MT"/>
        </w:rPr>
        <w:t>Lady Barron/Bridport Redevelopment</w:t>
      </w:r>
    </w:p>
    <w:p w:rsidR="00756B53" w:rsidRPr="00E83DA2" w:rsidRDefault="00756B53" w:rsidP="00756B53">
      <w:pPr>
        <w:rPr>
          <w:rFonts w:ascii="Gill Sans MT" w:hAnsi="Gill Sans MT"/>
        </w:rPr>
      </w:pPr>
      <w:r w:rsidRPr="00E83DA2">
        <w:rPr>
          <w:rFonts w:ascii="Gill Sans MT" w:hAnsi="Gill Sans MT"/>
        </w:rPr>
        <w:t>The individual projects identified for the Northern Region are:</w:t>
      </w:r>
    </w:p>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Deviation Upgrades for Lilydale – Golconda Main Road</w:t>
      </w:r>
    </w:p>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 xml:space="preserve">Lilydale – Golconda Main Road (new road alignment between Lietinna – </w:t>
      </w:r>
      <w:proofErr w:type="spellStart"/>
      <w:r w:rsidRPr="00E83DA2">
        <w:rPr>
          <w:rFonts w:ascii="Gill Sans MT" w:hAnsi="Gill Sans MT"/>
        </w:rPr>
        <w:t>Blumont</w:t>
      </w:r>
      <w:proofErr w:type="spellEnd"/>
      <w:r w:rsidRPr="00E83DA2">
        <w:rPr>
          <w:rFonts w:ascii="Gill Sans MT" w:hAnsi="Gill Sans MT"/>
        </w:rPr>
        <w:t xml:space="preserve"> Section)</w:t>
      </w:r>
    </w:p>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Road Access to East Coast Region – investigate available options for alternate or upgraded transport routes to the East Coast.</w:t>
      </w:r>
    </w:p>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Evandale Main Road Upgrade (dual carriageway from Launceston Airport to Breadalbane roundabout)</w:t>
      </w:r>
    </w:p>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Powranna Road – Heavy Vehicle Route</w:t>
      </w:r>
    </w:p>
    <w:bookmarkEnd w:id="16"/>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Review of Ownership of Northern Regional Road Network including bridges</w:t>
      </w:r>
    </w:p>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North East Freight Project Stage 2 – including Mathinna Plans Road and Break O’Day bridges</w:t>
      </w:r>
    </w:p>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Birralee/Frankford/West Tamar/Batman Highway Freight Corridor</w:t>
      </w:r>
    </w:p>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Bass Highway (improvement of road infrastructure and alignment between Deloraine and Latrobe)</w:t>
      </w:r>
    </w:p>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Midland Highway Planning Funds (Midland Highway Partnership Agreement)</w:t>
      </w:r>
    </w:p>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Greater Launceston Bicycle Network Plan</w:t>
      </w:r>
    </w:p>
    <w:p w:rsidR="00756B53" w:rsidRPr="00E83DA2" w:rsidRDefault="00756B53" w:rsidP="00756B53">
      <w:pPr>
        <w:pStyle w:val="ListParagraph"/>
        <w:numPr>
          <w:ilvl w:val="0"/>
          <w:numId w:val="82"/>
        </w:numPr>
        <w:rPr>
          <w:rFonts w:ascii="Gill Sans MT" w:hAnsi="Gill Sans MT"/>
        </w:rPr>
      </w:pPr>
      <w:r w:rsidRPr="00E83DA2">
        <w:rPr>
          <w:rFonts w:ascii="Gill Sans MT" w:hAnsi="Gill Sans MT"/>
        </w:rPr>
        <w:t>Planning for improved intra-regional passenger transport – Greater Launceston Metropolitan Passenger Transport Plan</w:t>
      </w:r>
    </w:p>
    <w:p w:rsidR="00756B53" w:rsidRPr="00E83DA2" w:rsidRDefault="00756B53" w:rsidP="00756B53">
      <w:pPr>
        <w:rPr>
          <w:rStyle w:val="InstructionText"/>
        </w:rPr>
      </w:pPr>
      <w:r w:rsidRPr="00E83DA2">
        <w:rPr>
          <w:rStyle w:val="InstructionText"/>
        </w:rPr>
        <w:t>Tas</w:t>
      </w:r>
      <w:r w:rsidR="00300BCC">
        <w:rPr>
          <w:rStyle w:val="InstructionText"/>
        </w:rPr>
        <w:t>manian Road Safety Strategy 2007</w:t>
      </w:r>
      <w:r w:rsidRPr="00E83DA2">
        <w:rPr>
          <w:rStyle w:val="InstructionText"/>
        </w:rPr>
        <w:t>-2016</w:t>
      </w:r>
    </w:p>
    <w:p w:rsidR="00CD3D8C" w:rsidRDefault="00756B53" w:rsidP="00756B53">
      <w:pPr>
        <w:rPr>
          <w:rFonts w:ascii="Gill Sans MT" w:hAnsi="Gill Sans MT"/>
        </w:rPr>
        <w:sectPr w:rsidR="00CD3D8C" w:rsidSect="00103702">
          <w:pgSz w:w="11906" w:h="16838"/>
          <w:pgMar w:top="1440" w:right="1440" w:bottom="1440" w:left="1440" w:header="708" w:footer="708" w:gutter="0"/>
          <w:cols w:space="708"/>
          <w:docGrid w:linePitch="360"/>
        </w:sectPr>
      </w:pPr>
      <w:r w:rsidRPr="00E83DA2">
        <w:rPr>
          <w:rFonts w:ascii="Gill Sans MT" w:hAnsi="Gill Sans MT"/>
        </w:rPr>
        <w:t xml:space="preserve">The </w:t>
      </w:r>
      <w:r w:rsidRPr="00E83DA2">
        <w:rPr>
          <w:rFonts w:ascii="Gill Sans MT" w:hAnsi="Gill Sans MT"/>
          <w:i/>
        </w:rPr>
        <w:t>Tasmanian Road Safety Strategy</w:t>
      </w:r>
      <w:r w:rsidRPr="00E83DA2">
        <w:rPr>
          <w:rFonts w:ascii="Gill Sans MT" w:hAnsi="Gill Sans MT"/>
        </w:rPr>
        <w:t xml:space="preserve"> was developed jointly by the Tasmanian Government and Tasmanian Road Safety Council, and provides strategic guidance to improve road safety outcomes across Tasmania. The Strategy aims to support the </w:t>
      </w:r>
      <w:r w:rsidRPr="00E83DA2">
        <w:rPr>
          <w:rFonts w:ascii="Gill Sans MT" w:hAnsi="Gill Sans MT"/>
          <w:i/>
        </w:rPr>
        <w:t>Tasmanian Together</w:t>
      </w:r>
      <w:r w:rsidRPr="00E83DA2">
        <w:rPr>
          <w:rFonts w:ascii="Gill Sans MT" w:hAnsi="Gill Sans MT"/>
        </w:rPr>
        <w:t xml:space="preserve"> targets of reducing serious injuries and fatalities on Tasmania’s roads. </w:t>
      </w:r>
    </w:p>
    <w:p w:rsidR="00756B53" w:rsidRPr="00E83DA2" w:rsidRDefault="00756B53" w:rsidP="00756B53">
      <w:pPr>
        <w:rPr>
          <w:rFonts w:ascii="Gill Sans MT" w:hAnsi="Gill Sans MT"/>
        </w:rPr>
      </w:pPr>
      <w:r w:rsidRPr="00E83DA2">
        <w:rPr>
          <w:rFonts w:ascii="Gill Sans MT" w:hAnsi="Gill Sans MT"/>
        </w:rPr>
        <w:lastRenderedPageBreak/>
        <w:t>The Strategy presents four key strategic directions which include:</w:t>
      </w:r>
    </w:p>
    <w:p w:rsidR="00756B53" w:rsidRPr="00E83DA2" w:rsidRDefault="00756B53" w:rsidP="00756B53">
      <w:pPr>
        <w:pStyle w:val="ListParagraph"/>
        <w:numPr>
          <w:ilvl w:val="0"/>
          <w:numId w:val="83"/>
        </w:numPr>
        <w:rPr>
          <w:rFonts w:ascii="Gill Sans MT" w:hAnsi="Gill Sans MT"/>
        </w:rPr>
      </w:pPr>
      <w:r w:rsidRPr="00E83DA2">
        <w:rPr>
          <w:rFonts w:ascii="Gill Sans MT" w:hAnsi="Gill Sans MT"/>
        </w:rPr>
        <w:t>Safer travel speeds;</w:t>
      </w:r>
    </w:p>
    <w:p w:rsidR="00756B53" w:rsidRPr="00E83DA2" w:rsidRDefault="00756B53" w:rsidP="00756B53">
      <w:pPr>
        <w:pStyle w:val="ListParagraph"/>
        <w:numPr>
          <w:ilvl w:val="0"/>
          <w:numId w:val="83"/>
        </w:numPr>
        <w:rPr>
          <w:rFonts w:ascii="Gill Sans MT" w:hAnsi="Gill Sans MT"/>
        </w:rPr>
      </w:pPr>
      <w:r w:rsidRPr="00E83DA2">
        <w:rPr>
          <w:rFonts w:ascii="Gill Sans MT" w:hAnsi="Gill Sans MT"/>
        </w:rPr>
        <w:t>Best practice infrastructure;</w:t>
      </w:r>
    </w:p>
    <w:p w:rsidR="00756B53" w:rsidRPr="00E83DA2" w:rsidRDefault="00756B53" w:rsidP="00756B53">
      <w:pPr>
        <w:pStyle w:val="ListParagraph"/>
        <w:numPr>
          <w:ilvl w:val="0"/>
          <w:numId w:val="83"/>
        </w:numPr>
        <w:rPr>
          <w:rFonts w:ascii="Gill Sans MT" w:hAnsi="Gill Sans MT"/>
        </w:rPr>
      </w:pPr>
      <w:r w:rsidRPr="00E83DA2">
        <w:rPr>
          <w:rFonts w:ascii="Gill Sans MT" w:hAnsi="Gill Sans MT"/>
        </w:rPr>
        <w:t>Increased safety for young road users; and</w:t>
      </w:r>
    </w:p>
    <w:p w:rsidR="00756B53" w:rsidRPr="00E83DA2" w:rsidRDefault="00756B53" w:rsidP="00756B53">
      <w:pPr>
        <w:pStyle w:val="ListParagraph"/>
        <w:numPr>
          <w:ilvl w:val="0"/>
          <w:numId w:val="83"/>
        </w:numPr>
        <w:rPr>
          <w:rFonts w:ascii="Gill Sans MT" w:hAnsi="Gill Sans MT"/>
        </w:rPr>
      </w:pPr>
      <w:r w:rsidRPr="00E83DA2">
        <w:rPr>
          <w:rFonts w:ascii="Gill Sans MT" w:hAnsi="Gill Sans MT"/>
        </w:rPr>
        <w:t>Enhanced vehicle safety.</w:t>
      </w:r>
    </w:p>
    <w:p w:rsidR="00756B53" w:rsidRPr="00785A7B" w:rsidRDefault="00756B53" w:rsidP="00756B53">
      <w:pPr>
        <w:rPr>
          <w:rStyle w:val="InstructionText"/>
        </w:rPr>
      </w:pPr>
      <w:r w:rsidRPr="00785A7B">
        <w:rPr>
          <w:rStyle w:val="InstructionText"/>
        </w:rPr>
        <w:t>Infrastructure Australia submissions</w:t>
      </w:r>
    </w:p>
    <w:p w:rsidR="00756B53" w:rsidRPr="00E83DA2" w:rsidRDefault="00756B53" w:rsidP="00756B53">
      <w:pPr>
        <w:rPr>
          <w:rFonts w:ascii="Gill Sans MT" w:hAnsi="Gill Sans MT"/>
          <w:b/>
          <w:i/>
        </w:rPr>
      </w:pPr>
      <w:r w:rsidRPr="00E83DA2">
        <w:rPr>
          <w:rFonts w:ascii="Gill Sans MT" w:hAnsi="Gill Sans MT"/>
          <w:b/>
          <w:i/>
        </w:rPr>
        <w:t xml:space="preserve">Bell Bay Intermodal Expansion </w:t>
      </w:r>
    </w:p>
    <w:p w:rsidR="00756B53" w:rsidRPr="00E83DA2" w:rsidRDefault="00756B53" w:rsidP="00756B53">
      <w:pPr>
        <w:pStyle w:val="Bullet"/>
        <w:numPr>
          <w:ilvl w:val="0"/>
          <w:numId w:val="0"/>
        </w:numPr>
        <w:spacing w:after="240"/>
        <w:rPr>
          <w:rFonts w:ascii="Gill Sans MT" w:hAnsi="Gill Sans MT" w:cstheme="minorHAnsi"/>
          <w:sz w:val="22"/>
          <w:szCs w:val="22"/>
        </w:rPr>
      </w:pPr>
      <w:r w:rsidRPr="00E83DA2">
        <w:rPr>
          <w:rFonts w:ascii="Gill Sans MT" w:hAnsi="Gill Sans MT" w:cstheme="minorHAnsi"/>
          <w:sz w:val="22"/>
          <w:szCs w:val="22"/>
        </w:rPr>
        <w:t>In 2008, Tasmania provided a submission to Infrastructure Australia as part of IA’s identification of nationally significant infrastructure. Expansion of the Port of Bell Bay to cater for future freight growth was subsequently identified by IA as a priority project under its Reform and Investment Framework. The project remains one of Real Potential under the Framework, referring to projects that require additional economic analysis and further development before proceeding through the infrastructure pipeline. The project reflects Tasmania’s heavy reliance on shipping transport, with over 99% of Tasmania’s total import and export freight task by volume moved by sea. The northern ports at Bell Bay, Burnie and Devonport carry the majority of this task.</w:t>
      </w:r>
    </w:p>
    <w:p w:rsidR="00756B53" w:rsidRPr="00E83DA2" w:rsidRDefault="00C47C06" w:rsidP="00756B53">
      <w:pPr>
        <w:pStyle w:val="Bullet"/>
        <w:numPr>
          <w:ilvl w:val="0"/>
          <w:numId w:val="0"/>
        </w:numPr>
        <w:spacing w:after="240"/>
        <w:rPr>
          <w:rFonts w:ascii="Gill Sans MT" w:hAnsi="Gill Sans MT"/>
          <w:sz w:val="22"/>
          <w:szCs w:val="22"/>
        </w:rPr>
      </w:pPr>
      <w:r>
        <w:rPr>
          <w:rFonts w:ascii="Gill Sans MT" w:hAnsi="Gill Sans MT" w:cstheme="minorHAnsi"/>
          <w:sz w:val="22"/>
          <w:szCs w:val="22"/>
        </w:rPr>
        <w:t xml:space="preserve">Recently </w:t>
      </w:r>
      <w:r w:rsidR="00756B53" w:rsidRPr="00E83DA2">
        <w:rPr>
          <w:rFonts w:ascii="Gill Sans MT" w:hAnsi="Gill Sans MT"/>
          <w:sz w:val="22"/>
          <w:szCs w:val="22"/>
        </w:rPr>
        <w:t>a number of issues have impacted on freight movements to and from Tasmania.</w:t>
      </w:r>
      <w:r w:rsidR="00756B53" w:rsidRPr="00E83DA2">
        <w:rPr>
          <w:rFonts w:ascii="Gill Sans MT" w:hAnsi="Gill Sans MT"/>
        </w:rPr>
        <w:t xml:space="preserve"> </w:t>
      </w:r>
      <w:r w:rsidR="00756B53" w:rsidRPr="00E83DA2">
        <w:rPr>
          <w:rFonts w:ascii="Gill Sans MT" w:hAnsi="Gill Sans MT"/>
          <w:sz w:val="22"/>
          <w:szCs w:val="22"/>
        </w:rPr>
        <w:t>These include:</w:t>
      </w:r>
    </w:p>
    <w:p w:rsidR="00756B53" w:rsidRPr="00E83DA2" w:rsidRDefault="00756B53" w:rsidP="00756B53">
      <w:pPr>
        <w:pStyle w:val="Body"/>
        <w:numPr>
          <w:ilvl w:val="0"/>
          <w:numId w:val="6"/>
        </w:numPr>
        <w:tabs>
          <w:tab w:val="clear" w:pos="720"/>
        </w:tabs>
        <w:spacing w:before="0" w:after="240"/>
        <w:ind w:left="426"/>
        <w:rPr>
          <w:rFonts w:ascii="Gill Sans MT" w:hAnsi="Gill Sans MT"/>
          <w:sz w:val="22"/>
          <w:szCs w:val="22"/>
          <w:lang w:val="en-US"/>
        </w:rPr>
      </w:pPr>
      <w:r w:rsidRPr="00E83DA2">
        <w:rPr>
          <w:rFonts w:ascii="Gill Sans MT" w:hAnsi="Gill Sans MT"/>
          <w:sz w:val="22"/>
          <w:szCs w:val="22"/>
          <w:lang w:val="en-US"/>
        </w:rPr>
        <w:t>The loss of all container services into the Port of Bell Bay;</w:t>
      </w:r>
    </w:p>
    <w:p w:rsidR="00756B53" w:rsidRPr="00E83DA2" w:rsidRDefault="00756B53" w:rsidP="00756B53">
      <w:pPr>
        <w:pStyle w:val="Body"/>
        <w:numPr>
          <w:ilvl w:val="0"/>
          <w:numId w:val="6"/>
        </w:numPr>
        <w:tabs>
          <w:tab w:val="clear" w:pos="720"/>
        </w:tabs>
        <w:spacing w:before="0" w:after="240"/>
        <w:ind w:left="426"/>
        <w:rPr>
          <w:rFonts w:ascii="Gill Sans MT" w:hAnsi="Gill Sans MT"/>
          <w:sz w:val="22"/>
          <w:szCs w:val="22"/>
          <w:lang w:val="en-US"/>
        </w:rPr>
      </w:pPr>
      <w:r w:rsidRPr="00E83DA2">
        <w:rPr>
          <w:rFonts w:ascii="Gill Sans MT" w:hAnsi="Gill Sans MT"/>
          <w:sz w:val="22"/>
          <w:szCs w:val="22"/>
          <w:lang w:val="en-US"/>
        </w:rPr>
        <w:t>Flat growth in the Tasmanian container market;</w:t>
      </w:r>
    </w:p>
    <w:p w:rsidR="00756B53" w:rsidRPr="00E83DA2" w:rsidRDefault="00756B53" w:rsidP="00756B53">
      <w:pPr>
        <w:pStyle w:val="Body"/>
        <w:numPr>
          <w:ilvl w:val="0"/>
          <w:numId w:val="6"/>
        </w:numPr>
        <w:tabs>
          <w:tab w:val="clear" w:pos="720"/>
        </w:tabs>
        <w:spacing w:before="0" w:after="240"/>
        <w:ind w:left="426"/>
        <w:rPr>
          <w:rFonts w:ascii="Gill Sans MT" w:hAnsi="Gill Sans MT"/>
          <w:sz w:val="22"/>
          <w:szCs w:val="22"/>
          <w:lang w:val="en-US"/>
        </w:rPr>
      </w:pPr>
      <w:r w:rsidRPr="00E83DA2">
        <w:rPr>
          <w:rFonts w:ascii="Gill Sans MT" w:hAnsi="Gill Sans MT"/>
          <w:sz w:val="22"/>
          <w:szCs w:val="22"/>
          <w:lang w:val="en-US"/>
        </w:rPr>
        <w:t>Increased freight costs for customers resulting from the need to transship containers through Melbourne; and</w:t>
      </w:r>
    </w:p>
    <w:p w:rsidR="00756B53" w:rsidRPr="00E83DA2" w:rsidRDefault="00756B53" w:rsidP="00756B53">
      <w:pPr>
        <w:pStyle w:val="Body"/>
        <w:numPr>
          <w:ilvl w:val="0"/>
          <w:numId w:val="6"/>
        </w:numPr>
        <w:tabs>
          <w:tab w:val="clear" w:pos="720"/>
        </w:tabs>
        <w:spacing w:before="0" w:after="240"/>
        <w:ind w:left="426"/>
        <w:rPr>
          <w:rFonts w:ascii="Gill Sans MT" w:hAnsi="Gill Sans MT"/>
          <w:sz w:val="22"/>
          <w:szCs w:val="22"/>
          <w:lang w:val="en-US"/>
        </w:rPr>
      </w:pPr>
      <w:proofErr w:type="gramStart"/>
      <w:r w:rsidRPr="00E83DA2">
        <w:rPr>
          <w:rFonts w:ascii="Gill Sans MT" w:hAnsi="Gill Sans MT"/>
          <w:sz w:val="22"/>
          <w:szCs w:val="22"/>
          <w:lang w:val="en-US"/>
        </w:rPr>
        <w:t>Loss of export woodchip volume due to the forest industry restructure</w:t>
      </w:r>
      <w:proofErr w:type="gramEnd"/>
      <w:r w:rsidRPr="00E83DA2">
        <w:rPr>
          <w:rFonts w:ascii="Gill Sans MT" w:hAnsi="Gill Sans MT"/>
          <w:sz w:val="22"/>
          <w:szCs w:val="22"/>
          <w:lang w:val="en-US"/>
        </w:rPr>
        <w:t>.</w:t>
      </w:r>
    </w:p>
    <w:p w:rsidR="00756B53" w:rsidRDefault="00756B53" w:rsidP="00756B53">
      <w:pPr>
        <w:rPr>
          <w:rFonts w:ascii="Gill Sans MT" w:hAnsi="Gill Sans MT"/>
        </w:rPr>
      </w:pPr>
      <w:r w:rsidRPr="00E83DA2">
        <w:rPr>
          <w:rFonts w:ascii="Gill Sans MT" w:hAnsi="Gill Sans MT"/>
        </w:rPr>
        <w:t>Despite these short-term setbacks, expansion of the Port remains a medium to long term project to meet Tasmania’s projected export freight demand over the next tw</w:t>
      </w:r>
      <w:r w:rsidR="00785A7B">
        <w:rPr>
          <w:rFonts w:ascii="Gill Sans MT" w:hAnsi="Gill Sans MT"/>
        </w:rPr>
        <w:t>enty years. Updated information on freight movements to and from Tasmanian was provided to Infrastructure Australia as part of th</w:t>
      </w:r>
      <w:r w:rsidRPr="00E83DA2">
        <w:rPr>
          <w:rFonts w:ascii="Gill Sans MT" w:hAnsi="Gill Sans MT"/>
        </w:rPr>
        <w:t xml:space="preserve">e </w:t>
      </w:r>
      <w:r w:rsidR="00785A7B">
        <w:rPr>
          <w:rFonts w:ascii="Gill Sans MT" w:hAnsi="Gill Sans MT"/>
        </w:rPr>
        <w:t xml:space="preserve">Tasmanian Government’s </w:t>
      </w:r>
      <w:r w:rsidRPr="00E83DA2">
        <w:rPr>
          <w:rFonts w:ascii="Gill Sans MT" w:hAnsi="Gill Sans MT"/>
        </w:rPr>
        <w:t>2012 submission.</w:t>
      </w:r>
    </w:p>
    <w:p w:rsidR="00C47C06" w:rsidRPr="00E83DA2" w:rsidRDefault="00C47C06" w:rsidP="00C47C06">
      <w:pPr>
        <w:rPr>
          <w:rFonts w:ascii="Gill Sans MT" w:hAnsi="Gill Sans MT"/>
        </w:rPr>
      </w:pPr>
      <w:r w:rsidRPr="00C47C06">
        <w:rPr>
          <w:rFonts w:ascii="Gill Sans MT" w:hAnsi="Gill Sans MT"/>
        </w:rPr>
        <w:t xml:space="preserve">The Australian Government </w:t>
      </w:r>
      <w:r w:rsidR="00811D23">
        <w:rPr>
          <w:rFonts w:ascii="Gill Sans MT" w:hAnsi="Gill Sans MT"/>
        </w:rPr>
        <w:t xml:space="preserve">has </w:t>
      </w:r>
      <w:r w:rsidRPr="00C47C06">
        <w:rPr>
          <w:rFonts w:ascii="Gill Sans MT" w:hAnsi="Gill Sans MT"/>
        </w:rPr>
        <w:t>provided $1.5 million for the establishment of a Freight Logistics Coordination Team.  The Team will provide expert advice and guide the completion of a long-term freight strategy in Tasmania</w:t>
      </w:r>
      <w:r>
        <w:rPr>
          <w:rFonts w:ascii="Gill Sans MT" w:hAnsi="Gill Sans MT"/>
        </w:rPr>
        <w:t>, providing</w:t>
      </w:r>
      <w:r w:rsidRPr="00C47C06">
        <w:rPr>
          <w:rFonts w:ascii="Gill Sans MT" w:hAnsi="Gill Sans MT"/>
        </w:rPr>
        <w:t xml:space="preserve"> recommendations to the Minister for Infrastructure on Tasmanian supply chain issues as part of this process.</w:t>
      </w:r>
    </w:p>
    <w:p w:rsidR="00CD3D8C" w:rsidRDefault="00CD3D8C" w:rsidP="00756B53">
      <w:pPr>
        <w:rPr>
          <w:rFonts w:ascii="Gill Sans MT" w:hAnsi="Gill Sans MT"/>
          <w:b/>
          <w:i/>
        </w:rPr>
        <w:sectPr w:rsidR="00CD3D8C" w:rsidSect="00103702">
          <w:pgSz w:w="11906" w:h="16838"/>
          <w:pgMar w:top="1440" w:right="1440" w:bottom="1440" w:left="1440" w:header="708" w:footer="708" w:gutter="0"/>
          <w:cols w:space="708"/>
          <w:docGrid w:linePitch="360"/>
        </w:sectPr>
      </w:pPr>
    </w:p>
    <w:p w:rsidR="00756B53" w:rsidRPr="00E83DA2" w:rsidRDefault="00756B53" w:rsidP="00756B53">
      <w:pPr>
        <w:rPr>
          <w:rFonts w:ascii="Gill Sans MT" w:hAnsi="Gill Sans MT"/>
          <w:b/>
          <w:i/>
        </w:rPr>
      </w:pPr>
      <w:r w:rsidRPr="00E83DA2">
        <w:rPr>
          <w:rFonts w:ascii="Gill Sans MT" w:hAnsi="Gill Sans MT"/>
          <w:b/>
          <w:i/>
        </w:rPr>
        <w:lastRenderedPageBreak/>
        <w:t>Australian Government Assistance Package for Tasmanian Exporters</w:t>
      </w:r>
    </w:p>
    <w:p w:rsidR="00756B53" w:rsidRPr="00E83DA2" w:rsidRDefault="00756B53" w:rsidP="00756B53">
      <w:pPr>
        <w:spacing w:after="100" w:afterAutospacing="1"/>
        <w:rPr>
          <w:rFonts w:ascii="Gill Sans MT" w:hAnsi="Gill Sans MT"/>
          <w:lang w:eastAsia="en-AU"/>
        </w:rPr>
      </w:pPr>
      <w:r w:rsidRPr="00E83DA2">
        <w:rPr>
          <w:rFonts w:ascii="Gill Sans MT" w:hAnsi="Gill Sans MT"/>
          <w:lang w:eastAsia="en-AU"/>
        </w:rPr>
        <w:t xml:space="preserve">On 22 March 2012 the Federal Minister for Infrastructure and Transport, the </w:t>
      </w:r>
      <w:r w:rsidRPr="00E83DA2">
        <w:rPr>
          <w:rFonts w:ascii="Gill Sans MT" w:hAnsi="Gill Sans MT"/>
          <w:lang w:eastAsia="en-AU"/>
        </w:rPr>
        <w:br/>
        <w:t xml:space="preserve">Hon Anthony Albanese MP, announced that the Australian Government would provide a one-off $20 million funding package to assist Tasmanian exporters to access their international markets. </w:t>
      </w:r>
    </w:p>
    <w:p w:rsidR="00756B53" w:rsidRPr="00E83DA2" w:rsidRDefault="00756B53" w:rsidP="00756B53">
      <w:pPr>
        <w:spacing w:before="100" w:beforeAutospacing="1" w:after="100" w:afterAutospacing="1"/>
        <w:rPr>
          <w:rFonts w:ascii="Gill Sans MT" w:hAnsi="Gill Sans MT"/>
          <w:lang w:eastAsia="en-AU"/>
        </w:rPr>
      </w:pPr>
      <w:r w:rsidRPr="00E83DA2">
        <w:rPr>
          <w:rFonts w:ascii="Gill Sans MT" w:hAnsi="Gill Sans MT"/>
          <w:lang w:eastAsia="en-AU"/>
        </w:rPr>
        <w:t xml:space="preserve">DIER is responsible for the management and administration of the assistance package, on behalf of the Tasmanian Government. </w:t>
      </w:r>
    </w:p>
    <w:p w:rsidR="00756B53" w:rsidRPr="00E83DA2" w:rsidRDefault="00756B53" w:rsidP="00756B53">
      <w:pPr>
        <w:spacing w:before="100" w:beforeAutospacing="1" w:after="100" w:afterAutospacing="1"/>
        <w:rPr>
          <w:rFonts w:ascii="Gill Sans MT" w:hAnsi="Gill Sans MT"/>
          <w:lang w:eastAsia="en-AU"/>
        </w:rPr>
      </w:pPr>
      <w:r w:rsidRPr="00E83DA2">
        <w:rPr>
          <w:rFonts w:ascii="Gill Sans MT" w:hAnsi="Gill Sans MT"/>
          <w:lang w:eastAsia="en-AU"/>
        </w:rPr>
        <w:t xml:space="preserve">The funding is being used to provide immediate and direct financial assistance to exporters, invest in critical infrastructure improvements and assist with longer-term strategic planning and freight logistics coordination. </w:t>
      </w:r>
    </w:p>
    <w:p w:rsidR="00756B53" w:rsidRPr="00E83DA2" w:rsidRDefault="00756B53" w:rsidP="00756B53">
      <w:pPr>
        <w:spacing w:before="100" w:beforeAutospacing="1" w:after="100" w:afterAutospacing="1"/>
        <w:rPr>
          <w:rFonts w:ascii="Gill Sans MT" w:hAnsi="Gill Sans MT"/>
          <w:lang w:eastAsia="en-AU"/>
        </w:rPr>
      </w:pPr>
      <w:r w:rsidRPr="00E83DA2">
        <w:rPr>
          <w:rFonts w:ascii="Gill Sans MT" w:hAnsi="Gill Sans MT"/>
          <w:lang w:eastAsia="en-AU"/>
        </w:rPr>
        <w:t xml:space="preserve">$14.5 million has been allocated to a one-off grant program – the </w:t>
      </w:r>
      <w:r w:rsidRPr="00E83DA2">
        <w:rPr>
          <w:rFonts w:ascii="Gill Sans MT" w:hAnsi="Gill Sans MT"/>
          <w:i/>
          <w:lang w:eastAsia="en-AU"/>
        </w:rPr>
        <w:t>Tasmanian Shipping Transition Assistance</w:t>
      </w:r>
      <w:r w:rsidRPr="00E83DA2">
        <w:rPr>
          <w:rFonts w:ascii="Gill Sans MT" w:hAnsi="Gill Sans MT"/>
          <w:lang w:eastAsia="en-AU"/>
        </w:rPr>
        <w:t xml:space="preserve"> </w:t>
      </w:r>
      <w:r w:rsidRPr="00E83DA2">
        <w:rPr>
          <w:rFonts w:ascii="Gill Sans MT" w:hAnsi="Gill Sans MT"/>
          <w:i/>
          <w:lang w:eastAsia="en-AU"/>
        </w:rPr>
        <w:t>Fund</w:t>
      </w:r>
      <w:r w:rsidRPr="00E83DA2">
        <w:rPr>
          <w:rFonts w:ascii="Gill Sans MT" w:hAnsi="Gill Sans MT"/>
          <w:lang w:eastAsia="en-AU"/>
        </w:rPr>
        <w:t xml:space="preserve"> - to help reduce the financial impact of increasing shipping costs for Tasmanian exporters, particularly those businesses that were directly impacted by the cessation in April 2011 of the AAA direct international container service from the Bell Bay Port. </w:t>
      </w:r>
    </w:p>
    <w:p w:rsidR="00756B53" w:rsidRPr="00E83DA2" w:rsidRDefault="00756B53" w:rsidP="00756B53">
      <w:pPr>
        <w:spacing w:before="100" w:beforeAutospacing="1" w:after="100" w:afterAutospacing="1"/>
        <w:rPr>
          <w:rFonts w:ascii="Gill Sans MT" w:hAnsi="Gill Sans MT"/>
          <w:lang w:eastAsia="en-AU"/>
        </w:rPr>
      </w:pPr>
      <w:r w:rsidRPr="00E83DA2">
        <w:rPr>
          <w:rFonts w:ascii="Gill Sans MT" w:hAnsi="Gill Sans MT"/>
          <w:lang w:eastAsia="en-AU"/>
        </w:rPr>
        <w:t>The core objective of the Fund is to help individual companies with the costs of transition measures already undertaken and/or the implementation of strategies that will help them maintain their competitiveness in accessing international markets on an ongoing basis.</w:t>
      </w:r>
    </w:p>
    <w:p w:rsidR="00756B53" w:rsidRPr="00E83DA2" w:rsidRDefault="00785A7B" w:rsidP="00756B53">
      <w:pPr>
        <w:spacing w:before="100" w:beforeAutospacing="1" w:after="100" w:afterAutospacing="1"/>
        <w:rPr>
          <w:rFonts w:ascii="Gill Sans MT" w:hAnsi="Gill Sans MT"/>
          <w:lang w:eastAsia="en-AU"/>
        </w:rPr>
      </w:pPr>
      <w:r>
        <w:rPr>
          <w:rFonts w:ascii="Gill Sans MT" w:hAnsi="Gill Sans MT"/>
          <w:lang w:eastAsia="en-AU"/>
        </w:rPr>
        <w:t xml:space="preserve">Grant </w:t>
      </w:r>
      <w:r w:rsidR="00756B53" w:rsidRPr="00E83DA2">
        <w:rPr>
          <w:rFonts w:ascii="Gill Sans MT" w:hAnsi="Gill Sans MT"/>
          <w:lang w:eastAsia="en-AU"/>
        </w:rPr>
        <w:t xml:space="preserve">payments to successful eligible applicants </w:t>
      </w:r>
      <w:r>
        <w:rPr>
          <w:rFonts w:ascii="Gill Sans MT" w:hAnsi="Gill Sans MT"/>
          <w:lang w:eastAsia="en-AU"/>
        </w:rPr>
        <w:t>were progressed in</w:t>
      </w:r>
      <w:r w:rsidR="00756B53" w:rsidRPr="00E83DA2">
        <w:rPr>
          <w:rFonts w:ascii="Gill Sans MT" w:hAnsi="Gill Sans MT"/>
          <w:lang w:eastAsia="en-AU"/>
        </w:rPr>
        <w:t xml:space="preserve"> October 2012.  </w:t>
      </w:r>
    </w:p>
    <w:p w:rsidR="00756B53" w:rsidRPr="00E83DA2" w:rsidRDefault="00756B53" w:rsidP="00756B53">
      <w:pPr>
        <w:rPr>
          <w:rFonts w:ascii="Gill Sans MT" w:hAnsi="Gill Sans MT"/>
          <w:b/>
          <w:i/>
        </w:rPr>
      </w:pPr>
      <w:r w:rsidRPr="00E83DA2">
        <w:rPr>
          <w:rFonts w:ascii="Gill Sans MT" w:hAnsi="Gill Sans MT"/>
          <w:b/>
          <w:i/>
        </w:rPr>
        <w:t>Frankford/Birralee/Batman Freight Corridor</w:t>
      </w:r>
    </w:p>
    <w:p w:rsidR="00756B53" w:rsidRPr="00E83DA2" w:rsidRDefault="00756B53" w:rsidP="00756B53">
      <w:pPr>
        <w:rPr>
          <w:rFonts w:ascii="Gill Sans MT" w:hAnsi="Gill Sans MT"/>
        </w:rPr>
      </w:pPr>
      <w:r w:rsidRPr="00E83DA2">
        <w:rPr>
          <w:rFonts w:ascii="Gill Sans MT" w:hAnsi="Gill Sans MT"/>
        </w:rPr>
        <w:t xml:space="preserve">Improvements to the Frankford/Birralee/Batman freight corridor were identified as a priority project by the Tasmanian Government in the first round of funding submissions to IA. Upgrade of the road will support long term freight growth, and is also linked to future expansion of the Bell Bay port. While not recognised as being of national significance through that process, the project remains a medium to long term priority under the </w:t>
      </w:r>
      <w:r w:rsidRPr="00E83DA2">
        <w:rPr>
          <w:rFonts w:ascii="Gill Sans MT" w:hAnsi="Gill Sans MT"/>
          <w:i/>
        </w:rPr>
        <w:t>Tasmanian Infrastructure Strategy</w:t>
      </w:r>
      <w:r w:rsidRPr="00E83DA2">
        <w:rPr>
          <w:rFonts w:ascii="Gill Sans MT" w:hAnsi="Gill Sans MT"/>
        </w:rPr>
        <w:t xml:space="preserve">. </w:t>
      </w:r>
    </w:p>
    <w:p w:rsidR="00756B53" w:rsidRPr="00E83DA2" w:rsidRDefault="00756B53" w:rsidP="00756B53">
      <w:pPr>
        <w:rPr>
          <w:rFonts w:ascii="Gill Sans MT" w:hAnsi="Gill Sans MT"/>
        </w:rPr>
      </w:pPr>
      <w:r w:rsidRPr="00E83DA2">
        <w:rPr>
          <w:rFonts w:ascii="Gill Sans MT" w:hAnsi="Gill Sans MT"/>
        </w:rPr>
        <w:t xml:space="preserve">The corridor provides a major inter-regional freight route linking Bell Bay port to the North West and North East. The corridor is 53km of State Roads including the Birralee Main Road, the eastern section of Frankford Main Road, northern section of the West Tamar Highway and the Batman Highway. The corridor requires major infrastructure improvements to bring it to higher productivity vehicle (HPV) standard and support heavy vehicle access from the North West to Bell Bay. </w:t>
      </w:r>
    </w:p>
    <w:p w:rsidR="00CD3D8C" w:rsidRDefault="00CD3D8C" w:rsidP="00756B53">
      <w:pPr>
        <w:rPr>
          <w:rStyle w:val="InstructionText"/>
        </w:rPr>
        <w:sectPr w:rsidR="00CD3D8C" w:rsidSect="00103702">
          <w:pgSz w:w="11906" w:h="16838"/>
          <w:pgMar w:top="1440" w:right="1440" w:bottom="1440" w:left="1440" w:header="708" w:footer="708" w:gutter="0"/>
          <w:cols w:space="708"/>
          <w:docGrid w:linePitch="360"/>
        </w:sectPr>
      </w:pPr>
    </w:p>
    <w:p w:rsidR="00756B53" w:rsidRPr="00E83DA2" w:rsidRDefault="00756B53" w:rsidP="00756B53">
      <w:pPr>
        <w:rPr>
          <w:rStyle w:val="InstructionText"/>
        </w:rPr>
      </w:pPr>
      <w:r w:rsidRPr="00E83DA2">
        <w:rPr>
          <w:rStyle w:val="InstructionText"/>
        </w:rPr>
        <w:lastRenderedPageBreak/>
        <w:t>Nation Building 2 submissions</w:t>
      </w:r>
    </w:p>
    <w:p w:rsidR="00756B53" w:rsidRPr="00E83DA2" w:rsidRDefault="00756B53" w:rsidP="00756B53">
      <w:pPr>
        <w:rPr>
          <w:rFonts w:ascii="Gill Sans MT" w:hAnsi="Gill Sans MT"/>
        </w:rPr>
      </w:pPr>
      <w:r w:rsidRPr="00E83DA2">
        <w:rPr>
          <w:rFonts w:ascii="Gill Sans MT" w:hAnsi="Gill Sans MT"/>
        </w:rPr>
        <w:t>The Tasma</w:t>
      </w:r>
      <w:r w:rsidR="00785A7B">
        <w:rPr>
          <w:rFonts w:ascii="Gill Sans MT" w:hAnsi="Gill Sans MT"/>
        </w:rPr>
        <w:t xml:space="preserve">nian Government also provided </w:t>
      </w:r>
      <w:r w:rsidRPr="00E83DA2">
        <w:rPr>
          <w:rFonts w:ascii="Gill Sans MT" w:hAnsi="Gill Sans MT"/>
        </w:rPr>
        <w:t>submission</w:t>
      </w:r>
      <w:r w:rsidR="00785A7B">
        <w:rPr>
          <w:rFonts w:ascii="Gill Sans MT" w:hAnsi="Gill Sans MT"/>
        </w:rPr>
        <w:t>s</w:t>
      </w:r>
      <w:r w:rsidRPr="00E83DA2">
        <w:rPr>
          <w:rFonts w:ascii="Gill Sans MT" w:hAnsi="Gill Sans MT"/>
        </w:rPr>
        <w:t xml:space="preserve"> as part of the Nation Building 2 Program. Nation Building 2 is the Australian Government's major transport funding program, focused on projects that deliver significant productivity, efficiency and connectivity improvements. The current Nation Building Program ends in 2013-14, with all States required </w:t>
      </w:r>
      <w:proofErr w:type="gramStart"/>
      <w:r w:rsidRPr="00E83DA2">
        <w:rPr>
          <w:rFonts w:ascii="Gill Sans MT" w:hAnsi="Gill Sans MT"/>
        </w:rPr>
        <w:t>to negotiate</w:t>
      </w:r>
      <w:proofErr w:type="gramEnd"/>
      <w:r w:rsidRPr="00E83DA2">
        <w:rPr>
          <w:rFonts w:ascii="Gill Sans MT" w:hAnsi="Gill Sans MT"/>
        </w:rPr>
        <w:t xml:space="preserve"> a new agreement with the Australian Government as part of a Nation Building 2 (2014-15 to 2018-19) bid.</w:t>
      </w:r>
    </w:p>
    <w:p w:rsidR="00756B53" w:rsidRPr="00E83DA2" w:rsidRDefault="00756B53" w:rsidP="00756B53">
      <w:pPr>
        <w:rPr>
          <w:rFonts w:ascii="Gill Sans MT" w:hAnsi="Gill Sans MT"/>
        </w:rPr>
      </w:pPr>
      <w:r w:rsidRPr="00E83DA2">
        <w:rPr>
          <w:rFonts w:ascii="Gill Sans MT" w:hAnsi="Gill Sans MT"/>
        </w:rPr>
        <w:t>Infrastructure Australia will assess all projects or packages of projects over $100 million.</w:t>
      </w:r>
    </w:p>
    <w:p w:rsidR="00785A7B" w:rsidRDefault="00756B53">
      <w:pPr>
        <w:rPr>
          <w:rFonts w:ascii="Gill Sans MT" w:hAnsi="Gill Sans MT"/>
          <w:b/>
          <w:i/>
        </w:rPr>
      </w:pPr>
      <w:r w:rsidRPr="00E83DA2">
        <w:rPr>
          <w:rFonts w:ascii="Gill Sans MT" w:hAnsi="Gill Sans MT"/>
        </w:rPr>
        <w:t xml:space="preserve">Whilst the Nation Building 2 submissions focused on projects across all three regions in Tasmania, a number of submissions will target areas specifically in the Northern Region, including </w:t>
      </w:r>
      <w:proofErr w:type="spellStart"/>
      <w:r w:rsidRPr="00E83DA2">
        <w:rPr>
          <w:rFonts w:ascii="Gill Sans MT" w:hAnsi="Gill Sans MT"/>
          <w:i/>
        </w:rPr>
        <w:t>Biralee</w:t>
      </w:r>
      <w:proofErr w:type="spellEnd"/>
      <w:r w:rsidRPr="00E83DA2">
        <w:rPr>
          <w:rFonts w:ascii="Gill Sans MT" w:hAnsi="Gill Sans MT"/>
          <w:i/>
        </w:rPr>
        <w:t xml:space="preserve"> Main Road Upgrades</w:t>
      </w:r>
      <w:r w:rsidRPr="00E83DA2">
        <w:rPr>
          <w:rFonts w:ascii="Gill Sans MT" w:hAnsi="Gill Sans MT"/>
        </w:rPr>
        <w:t>,</w:t>
      </w:r>
      <w:r w:rsidRPr="00E83DA2">
        <w:rPr>
          <w:rFonts w:ascii="Gill Sans MT" w:hAnsi="Gill Sans MT"/>
          <w:i/>
        </w:rPr>
        <w:t xml:space="preserve"> Burnie to Hobart Freight Corridor </w:t>
      </w:r>
      <w:r w:rsidRPr="00E83DA2">
        <w:rPr>
          <w:rFonts w:ascii="Gill Sans MT" w:hAnsi="Gill Sans MT"/>
        </w:rPr>
        <w:t xml:space="preserve">and </w:t>
      </w:r>
      <w:r w:rsidRPr="00E83DA2">
        <w:rPr>
          <w:rFonts w:ascii="Gill Sans MT" w:hAnsi="Gill Sans MT"/>
          <w:i/>
        </w:rPr>
        <w:t>Greater Launceston Transport Planning Key Initiatives</w:t>
      </w:r>
      <w:r w:rsidRPr="00E83DA2">
        <w:rPr>
          <w:rFonts w:ascii="Gill Sans MT" w:hAnsi="Gill Sans MT"/>
        </w:rPr>
        <w:t>.</w:t>
      </w:r>
    </w:p>
    <w:p w:rsidR="00756B53" w:rsidRPr="00E83DA2" w:rsidRDefault="00756B53" w:rsidP="00756B53">
      <w:pPr>
        <w:rPr>
          <w:rFonts w:ascii="Gill Sans MT" w:hAnsi="Gill Sans MT"/>
        </w:rPr>
      </w:pPr>
      <w:proofErr w:type="spellStart"/>
      <w:r w:rsidRPr="00E83DA2">
        <w:rPr>
          <w:rFonts w:ascii="Gill Sans MT" w:hAnsi="Gill Sans MT"/>
          <w:b/>
          <w:i/>
        </w:rPr>
        <w:t>Biralee</w:t>
      </w:r>
      <w:proofErr w:type="spellEnd"/>
      <w:r w:rsidRPr="00E83DA2">
        <w:rPr>
          <w:rFonts w:ascii="Gill Sans MT" w:hAnsi="Gill Sans MT"/>
          <w:b/>
          <w:i/>
        </w:rPr>
        <w:t xml:space="preserve"> Main Road Upgrades</w:t>
      </w:r>
    </w:p>
    <w:p w:rsidR="00756B53" w:rsidRPr="00E83DA2" w:rsidRDefault="00756B53" w:rsidP="00756B53">
      <w:pPr>
        <w:rPr>
          <w:rFonts w:ascii="Gill Sans MT" w:hAnsi="Gill Sans MT"/>
        </w:rPr>
      </w:pPr>
      <w:r w:rsidRPr="00E83DA2">
        <w:rPr>
          <w:rFonts w:ascii="Gill Sans MT" w:hAnsi="Gill Sans MT"/>
        </w:rPr>
        <w:t xml:space="preserve">The Frankford-Birralee-Batman Freight Corridor is a key linkage in Tasmania’s freight network. It is particularly important for freight movement between the north-east (including Bell Bay port) and north-west (including the Burnie and Devonport ports). </w:t>
      </w:r>
    </w:p>
    <w:p w:rsidR="00756B53" w:rsidRPr="00E83DA2" w:rsidRDefault="00756B53" w:rsidP="00756B53">
      <w:pPr>
        <w:rPr>
          <w:rFonts w:ascii="Gill Sans MT" w:hAnsi="Gill Sans MT"/>
        </w:rPr>
      </w:pPr>
      <w:r w:rsidRPr="00E83DA2">
        <w:rPr>
          <w:rFonts w:ascii="Gill Sans MT" w:hAnsi="Gill Sans MT"/>
        </w:rPr>
        <w:t xml:space="preserve">Recent changes in shipping arrangements at Bell Bay have increased freight movements on the corridor, with greater volumes of Higher Productivity Vehicles (HPVs). </w:t>
      </w:r>
    </w:p>
    <w:p w:rsidR="00756B53" w:rsidRPr="00E83DA2" w:rsidRDefault="00756B53" w:rsidP="00756B53">
      <w:pPr>
        <w:rPr>
          <w:rFonts w:ascii="Gill Sans MT" w:hAnsi="Gill Sans MT"/>
        </w:rPr>
      </w:pPr>
      <w:r w:rsidRPr="00E83DA2">
        <w:rPr>
          <w:rFonts w:ascii="Gill Sans MT" w:hAnsi="Gill Sans MT"/>
        </w:rPr>
        <w:t xml:space="preserve">The corridor includes four major roads (Batman Highway, West Tamar Highway, Frankford Main Road, and Birralee Main Road) and is the most direct route between Tasmania’s north-east and north-west. The corridor alleviates the need for HPVs to travel via the longer route through Launceston and avoids movement through urban and residential areas. </w:t>
      </w:r>
    </w:p>
    <w:p w:rsidR="00756B53" w:rsidRPr="00E83DA2" w:rsidRDefault="00756B53" w:rsidP="00756B53">
      <w:pPr>
        <w:rPr>
          <w:rFonts w:ascii="Gill Sans MT" w:hAnsi="Gill Sans MT"/>
        </w:rPr>
      </w:pPr>
      <w:r w:rsidRPr="00E83DA2">
        <w:rPr>
          <w:rFonts w:ascii="Gill Sans MT" w:hAnsi="Gill Sans MT"/>
        </w:rPr>
        <w:t xml:space="preserve">Recent analysis of Tasmania’s broader HPV network found that the Batman Highway, Frankford Main Road and Birralee Main Road do not meet the Tasmanian road geometry guidelines for HPVs. Further analysis of the Frankford-Birralee-Batman Freight Corridor found that asset condition along the Batman Highway and Frankford Main Road were fit for current purpose, but the Birralee Main Road will require significant asset rehabilitation in the short-term. </w:t>
      </w:r>
    </w:p>
    <w:p w:rsidR="00756B53" w:rsidRPr="00E83DA2" w:rsidRDefault="00756B53" w:rsidP="00756B53">
      <w:pPr>
        <w:rPr>
          <w:rFonts w:ascii="Gill Sans MT" w:hAnsi="Gill Sans MT"/>
        </w:rPr>
      </w:pPr>
      <w:r w:rsidRPr="00E83DA2">
        <w:rPr>
          <w:rFonts w:ascii="Gill Sans MT" w:hAnsi="Gill Sans MT"/>
        </w:rPr>
        <w:t xml:space="preserve">The Tasmanian Government has identified upgrading the Birralee Main Road as the key priority for the Frankford-Birralee-Batman Freight Corridor. The objective of the Birralee Road Upgrades is to deliver an efficient, safe and technically compliant road corridor to meet current and future HPV needs on a key inter-regional freight corridor. </w:t>
      </w:r>
    </w:p>
    <w:p w:rsidR="00CD3D8C" w:rsidRDefault="00CD3D8C" w:rsidP="00756B53">
      <w:pPr>
        <w:rPr>
          <w:rFonts w:ascii="Gill Sans MT" w:hAnsi="Gill Sans MT"/>
          <w:b/>
          <w:i/>
        </w:rPr>
        <w:sectPr w:rsidR="00CD3D8C" w:rsidSect="00103702">
          <w:pgSz w:w="11906" w:h="16838"/>
          <w:pgMar w:top="1440" w:right="1440" w:bottom="1440" w:left="1440" w:header="708" w:footer="708" w:gutter="0"/>
          <w:cols w:space="708"/>
          <w:docGrid w:linePitch="360"/>
        </w:sectPr>
      </w:pPr>
    </w:p>
    <w:p w:rsidR="00756B53" w:rsidRPr="00E83DA2" w:rsidRDefault="00756B53" w:rsidP="00756B53">
      <w:pPr>
        <w:rPr>
          <w:rFonts w:ascii="Gill Sans MT" w:hAnsi="Gill Sans MT"/>
          <w:b/>
          <w:i/>
        </w:rPr>
      </w:pPr>
      <w:r w:rsidRPr="00E83DA2">
        <w:rPr>
          <w:rFonts w:ascii="Gill Sans MT" w:hAnsi="Gill Sans MT"/>
          <w:b/>
          <w:i/>
        </w:rPr>
        <w:lastRenderedPageBreak/>
        <w:t>Burnie to Hobart Freight Corridor</w:t>
      </w:r>
    </w:p>
    <w:p w:rsidR="00756B53" w:rsidRPr="00E83DA2" w:rsidRDefault="00756B53" w:rsidP="00756B53">
      <w:pPr>
        <w:spacing w:after="0"/>
        <w:rPr>
          <w:rFonts w:ascii="Gill Sans MT" w:hAnsi="Gill Sans MT"/>
        </w:rPr>
      </w:pPr>
      <w:r w:rsidRPr="00E83DA2">
        <w:rPr>
          <w:rFonts w:ascii="Gill Sans MT" w:hAnsi="Gill Sans MT"/>
        </w:rPr>
        <w:t xml:space="preserve">The </w:t>
      </w:r>
      <w:r w:rsidRPr="00E83DA2">
        <w:rPr>
          <w:rFonts w:ascii="Gill Sans MT" w:hAnsi="Gill Sans MT"/>
          <w:i/>
        </w:rPr>
        <w:t>Burnie to Hobart Freight Corridor</w:t>
      </w:r>
      <w:r w:rsidRPr="00E83DA2">
        <w:rPr>
          <w:rFonts w:ascii="Gill Sans MT" w:hAnsi="Gill Sans MT"/>
        </w:rPr>
        <w:t xml:space="preserve"> submissions include three projects within the Northern Region: </w:t>
      </w:r>
    </w:p>
    <w:p w:rsidR="00756B53" w:rsidRPr="00E83DA2" w:rsidRDefault="00756B53" w:rsidP="00756B53">
      <w:pPr>
        <w:spacing w:after="0"/>
        <w:rPr>
          <w:rFonts w:ascii="Gill Sans MT" w:hAnsi="Gill Sans MT"/>
        </w:rPr>
      </w:pPr>
    </w:p>
    <w:p w:rsidR="00756B53" w:rsidRPr="00E83DA2" w:rsidRDefault="00756B53" w:rsidP="00756B53">
      <w:pPr>
        <w:pStyle w:val="ListParagraph"/>
        <w:numPr>
          <w:ilvl w:val="2"/>
          <w:numId w:val="89"/>
        </w:numPr>
        <w:spacing w:after="0"/>
        <w:ind w:left="709"/>
        <w:rPr>
          <w:rFonts w:ascii="Gill Sans MT" w:hAnsi="Gill Sans MT"/>
          <w:b/>
          <w:i/>
        </w:rPr>
      </w:pPr>
      <w:r w:rsidRPr="00E83DA2">
        <w:rPr>
          <w:rFonts w:ascii="Gill Sans MT" w:hAnsi="Gill Sans MT"/>
          <w:b/>
          <w:i/>
        </w:rPr>
        <w:t>Midland Highway - Duplication, Perth to Breadalbane</w:t>
      </w:r>
    </w:p>
    <w:p w:rsidR="00756B53" w:rsidRPr="00E83DA2" w:rsidRDefault="00756B53" w:rsidP="00756B53">
      <w:pPr>
        <w:spacing w:after="0"/>
        <w:rPr>
          <w:rFonts w:ascii="Gill Sans MT" w:hAnsi="Gill Sans MT"/>
        </w:rPr>
      </w:pPr>
      <w:r w:rsidRPr="00E83DA2">
        <w:rPr>
          <w:rFonts w:ascii="Gill Sans MT" w:hAnsi="Gill Sans MT"/>
        </w:rPr>
        <w:t>Perth to Breadalbane is a key section of the Midland Highway, Tasmania’s major north-south transport corridor and a key link in Tasmania’s National Network. The Highway is both a critical freight connection facilitating access from the Southern region to the State’s northern ports, and the major transport link for passengers travelling between the northern and southern regions.</w:t>
      </w:r>
    </w:p>
    <w:p w:rsidR="00756B53" w:rsidRPr="00E83DA2" w:rsidRDefault="00756B53" w:rsidP="00756B53">
      <w:pPr>
        <w:spacing w:after="0"/>
        <w:rPr>
          <w:rFonts w:ascii="Gill Sans MT" w:hAnsi="Gill Sans MT"/>
        </w:rPr>
      </w:pPr>
    </w:p>
    <w:p w:rsidR="00756B53" w:rsidRPr="00E83DA2" w:rsidRDefault="00756B53" w:rsidP="00756B53">
      <w:pPr>
        <w:spacing w:after="0"/>
        <w:rPr>
          <w:rFonts w:ascii="Gill Sans MT" w:hAnsi="Gill Sans MT" w:cs="Arial"/>
          <w:sz w:val="20"/>
          <w:szCs w:val="20"/>
        </w:rPr>
      </w:pPr>
      <w:r w:rsidRPr="00E83DA2">
        <w:rPr>
          <w:rFonts w:ascii="Gill Sans MT" w:hAnsi="Gill Sans MT"/>
        </w:rPr>
        <w:t xml:space="preserve">The Midland Highway between Perth and Breadalbane carried around 1.4 million tonnes of freight in 2009. It is a key link into Launceston and to industrial development adjacent to Launceston Airport. It fulfils an important role as a passenger transport link, including for commuters between Perth and Launceston. </w:t>
      </w:r>
      <w:r w:rsidRPr="00E83DA2">
        <w:rPr>
          <w:rFonts w:ascii="Gill Sans MT" w:hAnsi="Gill Sans MT" w:cs="Arial"/>
          <w:sz w:val="20"/>
          <w:szCs w:val="20"/>
        </w:rPr>
        <w:t xml:space="preserve">The proposed project will see duplication of the Highway from </w:t>
      </w:r>
      <w:proofErr w:type="spellStart"/>
      <w:r w:rsidRPr="00E83DA2">
        <w:rPr>
          <w:rFonts w:ascii="Gill Sans MT" w:hAnsi="Gill Sans MT" w:cs="Arial"/>
          <w:sz w:val="20"/>
          <w:szCs w:val="20"/>
        </w:rPr>
        <w:t>Youl</w:t>
      </w:r>
      <w:proofErr w:type="spellEnd"/>
      <w:r w:rsidRPr="00E83DA2">
        <w:rPr>
          <w:rFonts w:ascii="Gill Sans MT" w:hAnsi="Gill Sans MT" w:cs="Arial"/>
          <w:sz w:val="20"/>
          <w:szCs w:val="20"/>
        </w:rPr>
        <w:t xml:space="preserve"> Main Road junction north of Perth to the existing roundabout at Breadalbane.</w:t>
      </w:r>
    </w:p>
    <w:p w:rsidR="00756B53" w:rsidRPr="00E83DA2" w:rsidRDefault="00756B53" w:rsidP="00756B53">
      <w:pPr>
        <w:spacing w:after="0"/>
        <w:rPr>
          <w:rFonts w:ascii="Gill Sans MT" w:hAnsi="Gill Sans MT" w:cs="Arial"/>
          <w:sz w:val="20"/>
          <w:szCs w:val="20"/>
        </w:rPr>
      </w:pPr>
    </w:p>
    <w:p w:rsidR="00756B53" w:rsidRPr="00E83DA2" w:rsidRDefault="00756B53" w:rsidP="00756B53">
      <w:pPr>
        <w:pStyle w:val="ListParagraph"/>
        <w:numPr>
          <w:ilvl w:val="2"/>
          <w:numId w:val="89"/>
        </w:numPr>
        <w:spacing w:after="0"/>
        <w:ind w:left="709"/>
        <w:rPr>
          <w:rFonts w:ascii="Gill Sans MT" w:hAnsi="Gill Sans MT"/>
          <w:b/>
          <w:i/>
        </w:rPr>
      </w:pPr>
      <w:r w:rsidRPr="00E83DA2">
        <w:rPr>
          <w:rFonts w:ascii="Gill Sans MT" w:hAnsi="Gill Sans MT"/>
          <w:b/>
          <w:i/>
        </w:rPr>
        <w:t>Illawarra Main Road Upgrades and South Perth Bypass</w:t>
      </w:r>
    </w:p>
    <w:p w:rsidR="00756B53" w:rsidRPr="00E83DA2" w:rsidRDefault="00756B53" w:rsidP="00756B53">
      <w:pPr>
        <w:rPr>
          <w:rFonts w:ascii="Gill Sans MT" w:hAnsi="Gill Sans MT"/>
        </w:rPr>
      </w:pPr>
      <w:r w:rsidRPr="00E83DA2">
        <w:rPr>
          <w:rFonts w:ascii="Gill Sans MT" w:hAnsi="Gill Sans MT"/>
        </w:rPr>
        <w:t xml:space="preserve">Illawarra Main Road is the key connection between the Bass and Midland Highways, providing a shorter, more attractive route for freight and passenger vehicles travelling between the north-west and south. While not part of the National Network, Illawarra Main Road was identified as a key link in the overall network as part of the </w:t>
      </w:r>
      <w:r w:rsidRPr="00E83DA2">
        <w:rPr>
          <w:rFonts w:ascii="Gill Sans MT" w:hAnsi="Gill Sans MT"/>
          <w:i/>
          <w:iCs/>
        </w:rPr>
        <w:t xml:space="preserve">Tasmanian AusLink Corridor Strategy 2007 </w:t>
      </w:r>
      <w:r w:rsidRPr="00E83DA2">
        <w:rPr>
          <w:rFonts w:ascii="Gill Sans MT" w:hAnsi="Gill Sans MT"/>
        </w:rPr>
        <w:t>and operates as a key link in Tasmania’s north-south supply chain.</w:t>
      </w:r>
    </w:p>
    <w:p w:rsidR="00756B53" w:rsidRPr="00E83DA2" w:rsidRDefault="00756B53" w:rsidP="00756B53">
      <w:pPr>
        <w:rPr>
          <w:rFonts w:ascii="Gill Sans MT" w:hAnsi="Gill Sans MT"/>
        </w:rPr>
      </w:pPr>
      <w:r w:rsidRPr="00E83DA2">
        <w:rPr>
          <w:rFonts w:ascii="Gill Sans MT" w:hAnsi="Gill Sans MT"/>
        </w:rPr>
        <w:t>In 2012, the Road carried around 1.9 million tonnes of freight at an estimated value of $2.2 billion. It is forecast to almost double its freight tonnages by 2030 to 3.5 million tonnes. Almost one million tonnes of freight carried on the road is destined for Hobart, highlighting the importance of the road in the north-south freight supply chain.</w:t>
      </w:r>
    </w:p>
    <w:p w:rsidR="00756B53" w:rsidRPr="00E83DA2" w:rsidRDefault="00756B53" w:rsidP="00756B53">
      <w:pPr>
        <w:rPr>
          <w:rFonts w:ascii="Gill Sans MT" w:hAnsi="Gill Sans MT"/>
        </w:rPr>
      </w:pPr>
      <w:r w:rsidRPr="00E83DA2">
        <w:rPr>
          <w:rFonts w:ascii="Gill Sans MT" w:hAnsi="Gill Sans MT"/>
        </w:rPr>
        <w:t>The priority is a South Perth Bypass, which will provide improved travel times for vehicles; significantly reduce the volume of heavy vehicles travelling through Perth and provide grade-separation at the rail crossing. The Bypass will accommodate current and future heavy vehicle productivity improvements. A series of projects has also been identified on the western section from Pateena Road to the Bass Highway to address safety and efficiency.</w:t>
      </w:r>
    </w:p>
    <w:p w:rsidR="00756B53" w:rsidRPr="00E83DA2" w:rsidRDefault="00756B53" w:rsidP="00756B53">
      <w:pPr>
        <w:pStyle w:val="ListParagraph"/>
        <w:numPr>
          <w:ilvl w:val="2"/>
          <w:numId w:val="89"/>
        </w:numPr>
        <w:spacing w:after="0"/>
        <w:ind w:left="709"/>
        <w:rPr>
          <w:rFonts w:ascii="Gill Sans MT" w:hAnsi="Gill Sans MT"/>
          <w:b/>
          <w:i/>
        </w:rPr>
      </w:pPr>
      <w:r w:rsidRPr="00E83DA2">
        <w:rPr>
          <w:rFonts w:ascii="Gill Sans MT" w:hAnsi="Gill Sans MT"/>
          <w:b/>
          <w:i/>
        </w:rPr>
        <w:t>Bass Highway Forward Planning – Latrobe to Deloraine</w:t>
      </w:r>
    </w:p>
    <w:p w:rsidR="00756B53" w:rsidRPr="00E83DA2" w:rsidRDefault="00756B53" w:rsidP="00756B53">
      <w:pPr>
        <w:rPr>
          <w:rFonts w:ascii="Gill Sans MT" w:hAnsi="Gill Sans MT"/>
        </w:rPr>
      </w:pPr>
      <w:r w:rsidRPr="00E83DA2">
        <w:rPr>
          <w:rFonts w:ascii="Gill Sans MT" w:hAnsi="Gill Sans MT"/>
        </w:rPr>
        <w:t xml:space="preserve">The Highway is part of the National Network, and has seen significant investment over the past two decades. The majority of the Highway is at National Network </w:t>
      </w:r>
      <w:proofErr w:type="gramStart"/>
      <w:r w:rsidRPr="00E83DA2">
        <w:rPr>
          <w:rFonts w:ascii="Gill Sans MT" w:hAnsi="Gill Sans MT"/>
        </w:rPr>
        <w:t>standard,</w:t>
      </w:r>
      <w:proofErr w:type="gramEnd"/>
      <w:r w:rsidRPr="00E83DA2">
        <w:rPr>
          <w:rFonts w:ascii="Gill Sans MT" w:hAnsi="Gill Sans MT"/>
        </w:rPr>
        <w:t xml:space="preserve"> however the section between Latrobe and Deloraine (east of Devonport) requires major upgrade and is the key remaining section requiring investment. This section is a single carriageway rural highway, compared to adjacent dual </w:t>
      </w:r>
      <w:r w:rsidRPr="00E83DA2">
        <w:rPr>
          <w:rFonts w:ascii="Gill Sans MT" w:hAnsi="Gill Sans MT"/>
        </w:rPr>
        <w:lastRenderedPageBreak/>
        <w:t xml:space="preserve">carriageway sections, and is deficient in terms of alignment, lane and shoulder widths for both existing and future heavy vehicle configurations. Other issues include a low level of service; high crash risk and density; and multiple direct property accesses. </w:t>
      </w:r>
    </w:p>
    <w:p w:rsidR="00756B53" w:rsidRPr="00E83DA2" w:rsidRDefault="00756B53" w:rsidP="00756B53">
      <w:pPr>
        <w:rPr>
          <w:rFonts w:ascii="Gill Sans MT" w:hAnsi="Gill Sans MT"/>
        </w:rPr>
      </w:pPr>
      <w:r w:rsidRPr="00E83DA2">
        <w:rPr>
          <w:rFonts w:ascii="Gill Sans MT" w:hAnsi="Gill Sans MT"/>
        </w:rPr>
        <w:t xml:space="preserve">Upgrade of the Bass Highway between Port Sorell Main Road and Deloraine was identified as a priority in the </w:t>
      </w:r>
      <w:r w:rsidRPr="00E83DA2">
        <w:rPr>
          <w:rFonts w:ascii="Gill Sans MT" w:hAnsi="Gill Sans MT"/>
          <w:i/>
          <w:iCs/>
        </w:rPr>
        <w:t xml:space="preserve">Tasmanian AusLink Corridor Strategy 2007 </w:t>
      </w:r>
      <w:r w:rsidRPr="00E83DA2">
        <w:rPr>
          <w:rFonts w:ascii="Gill Sans MT" w:hAnsi="Gill Sans MT"/>
        </w:rPr>
        <w:t>due to a number of deficiencies: low level of service, high crash risk and density, multiple direct accesses, and narrow lanes and shoulder widths.</w:t>
      </w:r>
      <w:r w:rsidRPr="00E83DA2">
        <w:rPr>
          <w:rFonts w:ascii="Gill Sans MT" w:hAnsi="Gill Sans MT" w:cs="Arial"/>
          <w:sz w:val="20"/>
          <w:szCs w:val="20"/>
        </w:rPr>
        <w:t xml:space="preserve"> </w:t>
      </w:r>
      <w:r w:rsidRPr="00E83DA2">
        <w:rPr>
          <w:rFonts w:ascii="Gill Sans MT" w:hAnsi="Gill Sans MT"/>
        </w:rPr>
        <w:t>The Tasmanian Government is seeking planning funding under National Building 2 to analyse efficiency and safety issues on the Highway; investigate and develop corridor options, including preliminary designs for key sections; review applicable regulatory requirements (planning, environmental, heritage); and undertake initial stakeholder engagement. The outcome would be a long-term, prioritised plan for upgrade of the corridor that supports improved freight efficiency and safety.</w:t>
      </w:r>
    </w:p>
    <w:p w:rsidR="00756B53" w:rsidRPr="00E83DA2" w:rsidRDefault="00756B53" w:rsidP="00756B53">
      <w:pPr>
        <w:spacing w:after="0"/>
        <w:rPr>
          <w:rFonts w:ascii="Gill Sans MT" w:hAnsi="Gill Sans MT"/>
          <w:b/>
          <w:i/>
        </w:rPr>
      </w:pPr>
      <w:r w:rsidRPr="00E83DA2">
        <w:rPr>
          <w:rFonts w:ascii="Gill Sans MT" w:hAnsi="Gill Sans MT"/>
          <w:b/>
          <w:i/>
        </w:rPr>
        <w:t>Greater Launceston Transport Planning Key Initiatives</w:t>
      </w:r>
    </w:p>
    <w:p w:rsidR="00785A7B" w:rsidRDefault="00785A7B" w:rsidP="00756B53">
      <w:pPr>
        <w:spacing w:after="0"/>
        <w:rPr>
          <w:rFonts w:ascii="Gill Sans MT" w:hAnsi="Gill Sans MT"/>
        </w:rPr>
      </w:pPr>
    </w:p>
    <w:p w:rsidR="00756B53" w:rsidRPr="00E83DA2" w:rsidRDefault="00756B53" w:rsidP="00756B53">
      <w:pPr>
        <w:spacing w:after="0"/>
        <w:rPr>
          <w:rFonts w:ascii="Gill Sans MT" w:hAnsi="Gill Sans MT"/>
        </w:rPr>
      </w:pPr>
      <w:r w:rsidRPr="00E83DA2">
        <w:rPr>
          <w:rFonts w:ascii="Gill Sans MT" w:hAnsi="Gill Sans MT"/>
        </w:rPr>
        <w:t>In partnership with local government and other key stakeholders, the Tasmanian Government is undertaking three major transport initiatives within the Greater Launceston metropolitan area and the Northern Region more broadly:</w:t>
      </w:r>
    </w:p>
    <w:p w:rsidR="00756B53" w:rsidRPr="00E83DA2" w:rsidRDefault="00756B53" w:rsidP="00756B53">
      <w:pPr>
        <w:spacing w:after="0"/>
        <w:rPr>
          <w:rFonts w:ascii="Gill Sans MT" w:hAnsi="Gill Sans MT"/>
        </w:rPr>
      </w:pPr>
    </w:p>
    <w:p w:rsidR="00756B53" w:rsidRPr="00E83DA2" w:rsidRDefault="00756B53" w:rsidP="00756B53">
      <w:pPr>
        <w:spacing w:after="0"/>
        <w:rPr>
          <w:rFonts w:ascii="Gill Sans MT" w:hAnsi="Gill Sans MT"/>
        </w:rPr>
      </w:pPr>
      <w:r w:rsidRPr="00E83DA2">
        <w:rPr>
          <w:rFonts w:ascii="Gill Sans MT" w:hAnsi="Gill Sans MT"/>
        </w:rPr>
        <w:t>1. Review of the Northern Integrated Transport Plan;</w:t>
      </w:r>
    </w:p>
    <w:p w:rsidR="00756B53" w:rsidRPr="00E83DA2" w:rsidRDefault="00756B53" w:rsidP="00756B53">
      <w:pPr>
        <w:spacing w:after="0"/>
        <w:rPr>
          <w:rFonts w:ascii="Gill Sans MT" w:hAnsi="Gill Sans MT"/>
        </w:rPr>
      </w:pPr>
      <w:r w:rsidRPr="00E83DA2">
        <w:rPr>
          <w:rFonts w:ascii="Gill Sans MT" w:hAnsi="Gill Sans MT"/>
        </w:rPr>
        <w:t>2. Development of a Greater Launceston Metropolitan Passenger Transport Plan;</w:t>
      </w:r>
    </w:p>
    <w:p w:rsidR="00756B53" w:rsidRPr="00E83DA2" w:rsidRDefault="00756B53" w:rsidP="00756B53">
      <w:pPr>
        <w:spacing w:after="0"/>
        <w:rPr>
          <w:rFonts w:ascii="Gill Sans MT" w:hAnsi="Gill Sans MT"/>
        </w:rPr>
      </w:pPr>
      <w:r w:rsidRPr="00E83DA2">
        <w:rPr>
          <w:rFonts w:ascii="Gill Sans MT" w:hAnsi="Gill Sans MT"/>
        </w:rPr>
        <w:t>3. Launceston Traffic Modelling</w:t>
      </w:r>
    </w:p>
    <w:p w:rsidR="00756B53" w:rsidRPr="00E83DA2" w:rsidRDefault="00756B53" w:rsidP="00756B53">
      <w:pPr>
        <w:spacing w:after="0"/>
        <w:rPr>
          <w:rFonts w:ascii="Gill Sans MT" w:hAnsi="Gill Sans MT"/>
        </w:rPr>
      </w:pPr>
    </w:p>
    <w:p w:rsidR="00756B53" w:rsidRPr="00E83DA2" w:rsidRDefault="00756B53" w:rsidP="00756B53">
      <w:pPr>
        <w:spacing w:after="0"/>
        <w:rPr>
          <w:rFonts w:ascii="Gill Sans MT" w:hAnsi="Gill Sans MT"/>
        </w:rPr>
      </w:pPr>
      <w:r w:rsidRPr="00E83DA2">
        <w:rPr>
          <w:rFonts w:ascii="Gill Sans MT" w:hAnsi="Gill Sans MT"/>
        </w:rPr>
        <w:t>The aim of these initiatives is to better understand Greater Launceston’s metropolitan freight</w:t>
      </w:r>
      <w:r w:rsidR="00785A7B">
        <w:rPr>
          <w:rFonts w:ascii="Gill Sans MT" w:hAnsi="Gill Sans MT"/>
        </w:rPr>
        <w:t xml:space="preserve"> </w:t>
      </w:r>
      <w:r w:rsidRPr="00E83DA2">
        <w:rPr>
          <w:rFonts w:ascii="Gill Sans MT" w:hAnsi="Gill Sans MT"/>
        </w:rPr>
        <w:t>and passenger transport system, including underlying demand drivers and relationship to land use; identify key challenges; and develop effective, evidence-based solutions.</w:t>
      </w:r>
    </w:p>
    <w:p w:rsidR="00756B53" w:rsidRPr="00E83DA2" w:rsidRDefault="00756B53" w:rsidP="00756B53">
      <w:pPr>
        <w:spacing w:after="0"/>
        <w:rPr>
          <w:rFonts w:ascii="Gill Sans MT" w:hAnsi="Gill Sans MT"/>
        </w:rPr>
      </w:pPr>
    </w:p>
    <w:p w:rsidR="00756B53" w:rsidRPr="00E83DA2" w:rsidRDefault="00756B53" w:rsidP="00756B53">
      <w:pPr>
        <w:spacing w:after="0"/>
        <w:rPr>
          <w:rFonts w:ascii="Gill Sans MT" w:hAnsi="Gill Sans MT"/>
        </w:rPr>
      </w:pPr>
      <w:r w:rsidRPr="00E83DA2">
        <w:rPr>
          <w:rFonts w:ascii="Gill Sans MT" w:hAnsi="Gill Sans MT"/>
        </w:rPr>
        <w:t>The initiatives build on and inform each other. The Northern Integrated Transport Plan provides the overarching regional context to inform planning and investment in the regional and metropolitan transport network. The Greater Launceston Metropolitan Passenger Transport Plan addresses a key policy gap, identifying strategies and key initiatives to improve passenger transport outcomes over the long-term within the Launceston urban area, with a particular focus on public transport and alternative modes. The Launceston Traffic Modelling project examines the issues affecting performance at the corridor and intersection level.</w:t>
      </w:r>
    </w:p>
    <w:p w:rsidR="00756B53" w:rsidRPr="00E83DA2" w:rsidRDefault="00756B53" w:rsidP="00756B53">
      <w:pPr>
        <w:spacing w:after="0"/>
        <w:rPr>
          <w:rFonts w:ascii="Gill Sans MT" w:hAnsi="Gill Sans MT"/>
        </w:rPr>
      </w:pPr>
    </w:p>
    <w:p w:rsidR="00756B53" w:rsidRPr="00E83DA2" w:rsidRDefault="00756B53" w:rsidP="00756B53">
      <w:pPr>
        <w:pStyle w:val="ListParagraph"/>
        <w:numPr>
          <w:ilvl w:val="2"/>
          <w:numId w:val="101"/>
        </w:numPr>
        <w:spacing w:after="0"/>
        <w:ind w:left="709"/>
        <w:rPr>
          <w:rFonts w:ascii="Gill Sans MT" w:hAnsi="Gill Sans MT"/>
          <w:b/>
          <w:i/>
        </w:rPr>
      </w:pPr>
      <w:r w:rsidRPr="00E83DA2">
        <w:rPr>
          <w:rFonts w:ascii="Gill Sans MT" w:hAnsi="Gill Sans MT"/>
          <w:b/>
          <w:i/>
        </w:rPr>
        <w:t>Greater Launceston Metropolitan Passenger Transport Plan</w:t>
      </w:r>
    </w:p>
    <w:p w:rsidR="00756B53" w:rsidRPr="00E83DA2" w:rsidRDefault="00756B53" w:rsidP="00756B53">
      <w:pPr>
        <w:spacing w:after="0"/>
        <w:rPr>
          <w:rFonts w:ascii="Gill Sans MT" w:hAnsi="Gill Sans MT"/>
        </w:rPr>
      </w:pPr>
      <w:r w:rsidRPr="00E83DA2">
        <w:rPr>
          <w:rFonts w:ascii="Gill Sans MT" w:hAnsi="Gill Sans MT"/>
        </w:rPr>
        <w:t xml:space="preserve">The Greater Launceston Metropolitan Passenger Transport Plan assesses the Greater Launceston metropolitan area from a passenger transport and land use perspective. It considers the effectiveness of alternative travel demand measures, and will </w:t>
      </w:r>
      <w:r w:rsidRPr="00E83DA2">
        <w:rPr>
          <w:rFonts w:ascii="Gill Sans MT" w:hAnsi="Gill Sans MT"/>
        </w:rPr>
        <w:lastRenderedPageBreak/>
        <w:t>provide an integrated package of strategies and actions consistent with the overall objectives of the Plan.</w:t>
      </w:r>
    </w:p>
    <w:p w:rsidR="00756B53" w:rsidRPr="00E83DA2" w:rsidRDefault="00756B53" w:rsidP="00756B53">
      <w:pPr>
        <w:spacing w:after="0"/>
        <w:rPr>
          <w:rFonts w:ascii="Gill Sans MT" w:hAnsi="Gill Sans MT"/>
          <w:b/>
        </w:rPr>
      </w:pPr>
    </w:p>
    <w:p w:rsidR="00756B53" w:rsidRPr="00E83DA2" w:rsidRDefault="00756B53" w:rsidP="00756B53">
      <w:pPr>
        <w:rPr>
          <w:rFonts w:ascii="Gill Sans MT" w:hAnsi="Gill Sans MT"/>
        </w:rPr>
      </w:pPr>
      <w:r w:rsidRPr="00E83DA2">
        <w:rPr>
          <w:rFonts w:ascii="Gill Sans MT" w:hAnsi="Gill Sans MT"/>
        </w:rPr>
        <w:t>The Plan will be conducted to achieve the following project specific outcomes:</w:t>
      </w:r>
    </w:p>
    <w:p w:rsidR="00756B53" w:rsidRPr="00E83DA2" w:rsidRDefault="00756B53" w:rsidP="00756B53">
      <w:pPr>
        <w:pStyle w:val="ListParagraph"/>
        <w:numPr>
          <w:ilvl w:val="0"/>
          <w:numId w:val="100"/>
        </w:numPr>
        <w:ind w:left="709"/>
        <w:rPr>
          <w:rFonts w:ascii="Gill Sans MT" w:hAnsi="Gill Sans MT"/>
        </w:rPr>
      </w:pPr>
      <w:r w:rsidRPr="00E83DA2">
        <w:rPr>
          <w:rFonts w:ascii="Gill Sans MT" w:hAnsi="Gill Sans MT"/>
        </w:rPr>
        <w:t>Shared understanding of existing land use and transport patterns;</w:t>
      </w:r>
    </w:p>
    <w:p w:rsidR="00756B53" w:rsidRPr="00E83DA2" w:rsidRDefault="00756B53" w:rsidP="00756B53">
      <w:pPr>
        <w:pStyle w:val="ListParagraph"/>
        <w:numPr>
          <w:ilvl w:val="0"/>
          <w:numId w:val="100"/>
        </w:numPr>
        <w:ind w:left="709"/>
        <w:rPr>
          <w:rFonts w:ascii="Gill Sans MT" w:hAnsi="Gill Sans MT"/>
        </w:rPr>
      </w:pPr>
      <w:r w:rsidRPr="00E83DA2">
        <w:rPr>
          <w:rFonts w:ascii="Gill Sans MT" w:hAnsi="Gill Sans MT"/>
        </w:rPr>
        <w:t>Confirmation of existing transport challenges and opportunities in Greater</w:t>
      </w:r>
    </w:p>
    <w:p w:rsidR="00756B53" w:rsidRPr="00E83DA2" w:rsidRDefault="00756B53" w:rsidP="00756B53">
      <w:pPr>
        <w:pStyle w:val="ListParagraph"/>
        <w:ind w:left="709"/>
        <w:rPr>
          <w:rFonts w:ascii="Gill Sans MT" w:hAnsi="Gill Sans MT"/>
        </w:rPr>
      </w:pPr>
      <w:r w:rsidRPr="00E83DA2">
        <w:rPr>
          <w:rFonts w:ascii="Gill Sans MT" w:hAnsi="Gill Sans MT"/>
        </w:rPr>
        <w:t>Launceston;</w:t>
      </w:r>
    </w:p>
    <w:p w:rsidR="00756B53" w:rsidRPr="00E83DA2" w:rsidRDefault="00756B53" w:rsidP="00756B53">
      <w:pPr>
        <w:pStyle w:val="ListParagraph"/>
        <w:numPr>
          <w:ilvl w:val="0"/>
          <w:numId w:val="100"/>
        </w:numPr>
        <w:ind w:left="709"/>
        <w:rPr>
          <w:rFonts w:ascii="Gill Sans MT" w:hAnsi="Gill Sans MT"/>
        </w:rPr>
      </w:pPr>
      <w:r w:rsidRPr="00E83DA2">
        <w:rPr>
          <w:rFonts w:ascii="Gill Sans MT" w:hAnsi="Gill Sans MT"/>
        </w:rPr>
        <w:t>Identification and agreement on likely areas of demographic change, and changes in</w:t>
      </w:r>
    </w:p>
    <w:p w:rsidR="00756B53" w:rsidRPr="00E83DA2" w:rsidRDefault="00756B53" w:rsidP="00756B53">
      <w:pPr>
        <w:pStyle w:val="ListParagraph"/>
        <w:ind w:left="709"/>
        <w:rPr>
          <w:rFonts w:ascii="Gill Sans MT" w:hAnsi="Gill Sans MT"/>
        </w:rPr>
      </w:pPr>
      <w:proofErr w:type="gramStart"/>
      <w:r w:rsidRPr="00E83DA2">
        <w:rPr>
          <w:rFonts w:ascii="Gill Sans MT" w:hAnsi="Gill Sans MT"/>
        </w:rPr>
        <w:t>travel</w:t>
      </w:r>
      <w:proofErr w:type="gramEnd"/>
      <w:r w:rsidRPr="00E83DA2">
        <w:rPr>
          <w:rFonts w:ascii="Gill Sans MT" w:hAnsi="Gill Sans MT"/>
        </w:rPr>
        <w:t xml:space="preserve"> patterns, to 2030;</w:t>
      </w:r>
    </w:p>
    <w:p w:rsidR="00756B53" w:rsidRPr="00C47C06" w:rsidRDefault="00756B53" w:rsidP="00C47C06">
      <w:pPr>
        <w:pStyle w:val="ListParagraph"/>
        <w:numPr>
          <w:ilvl w:val="0"/>
          <w:numId w:val="100"/>
        </w:numPr>
        <w:ind w:left="709"/>
        <w:rPr>
          <w:rFonts w:ascii="Gill Sans MT" w:hAnsi="Gill Sans MT"/>
        </w:rPr>
      </w:pPr>
      <w:r w:rsidRPr="00E83DA2">
        <w:rPr>
          <w:rFonts w:ascii="Gill Sans MT" w:hAnsi="Gill Sans MT"/>
        </w:rPr>
        <w:t>Identification and prioritisation of projects capable of contributing to the achievement</w:t>
      </w:r>
      <w:r w:rsidR="00C47C06">
        <w:rPr>
          <w:rFonts w:ascii="Gill Sans MT" w:hAnsi="Gill Sans MT"/>
        </w:rPr>
        <w:t xml:space="preserve"> </w:t>
      </w:r>
      <w:r w:rsidRPr="00C47C06">
        <w:rPr>
          <w:rFonts w:ascii="Gill Sans MT" w:hAnsi="Gill Sans MT"/>
        </w:rPr>
        <w:t>of the Framework objectives; and</w:t>
      </w:r>
    </w:p>
    <w:p w:rsidR="00756B53" w:rsidRPr="00E83DA2" w:rsidRDefault="00756B53" w:rsidP="00756B53">
      <w:pPr>
        <w:pStyle w:val="ListParagraph"/>
        <w:numPr>
          <w:ilvl w:val="0"/>
          <w:numId w:val="100"/>
        </w:numPr>
        <w:ind w:left="709"/>
        <w:rPr>
          <w:rFonts w:ascii="Gill Sans MT" w:hAnsi="Gill Sans MT"/>
        </w:rPr>
      </w:pPr>
      <w:r w:rsidRPr="00E83DA2">
        <w:rPr>
          <w:rFonts w:ascii="Gill Sans MT" w:hAnsi="Gill Sans MT"/>
        </w:rPr>
        <w:t>Agreement between major stakeholders to the Passenger Transport Plan and</w:t>
      </w:r>
    </w:p>
    <w:p w:rsidR="00756B53" w:rsidRPr="00E83DA2" w:rsidRDefault="00756B53" w:rsidP="00756B53">
      <w:pPr>
        <w:pStyle w:val="ListParagraph"/>
        <w:ind w:left="709"/>
        <w:rPr>
          <w:rFonts w:ascii="Gill Sans MT" w:hAnsi="Gill Sans MT"/>
        </w:rPr>
      </w:pPr>
      <w:proofErr w:type="gramStart"/>
      <w:r w:rsidRPr="00E83DA2">
        <w:rPr>
          <w:rFonts w:ascii="Gill Sans MT" w:hAnsi="Gill Sans MT"/>
        </w:rPr>
        <w:t>prioritised</w:t>
      </w:r>
      <w:proofErr w:type="gramEnd"/>
      <w:r w:rsidRPr="00E83DA2">
        <w:rPr>
          <w:rFonts w:ascii="Gill Sans MT" w:hAnsi="Gill Sans MT"/>
        </w:rPr>
        <w:t xml:space="preserve"> projects. </w:t>
      </w:r>
    </w:p>
    <w:p w:rsidR="00756B53" w:rsidRPr="00E83DA2" w:rsidRDefault="00756B53" w:rsidP="00756B53">
      <w:pPr>
        <w:rPr>
          <w:rFonts w:ascii="Gill Sans MT" w:hAnsi="Gill Sans MT"/>
          <w:b/>
        </w:rPr>
      </w:pPr>
      <w:r w:rsidRPr="00E83DA2">
        <w:rPr>
          <w:rFonts w:ascii="Gill Sans MT" w:hAnsi="Gill Sans MT"/>
        </w:rPr>
        <w:t>The Plan will be a significant input into the Northern Integrated Transport Plan. Metropolitan passenger transport is a key gap within the existing Northern Regional Integrated Transport Plan, which contains little information or analysis on metropolitan movements or non-infrastructure solutions. The Greater Launceston Metropolitan Passenger Transport Plan will be critical in providing this information as part of review of the regional plan.</w:t>
      </w:r>
    </w:p>
    <w:p w:rsidR="00756B53" w:rsidRPr="00E83DA2" w:rsidRDefault="00756B53" w:rsidP="00756B53">
      <w:pPr>
        <w:tabs>
          <w:tab w:val="num" w:pos="360"/>
        </w:tabs>
        <w:jc w:val="both"/>
        <w:rPr>
          <w:rFonts w:ascii="Gill Sans MT" w:hAnsi="Gill Sans MT"/>
        </w:rPr>
      </w:pPr>
      <w:r w:rsidRPr="00E83DA2">
        <w:rPr>
          <w:rFonts w:ascii="Gill Sans MT" w:hAnsi="Gill Sans MT"/>
        </w:rPr>
        <w:t>Outcomes from the Plan can also be incorporated into other regional, metropolitan and local planning frameworks, such as the proposed Greater Launceston Plan.</w:t>
      </w:r>
    </w:p>
    <w:p w:rsidR="00756B53" w:rsidRPr="00E83DA2" w:rsidRDefault="00756B53" w:rsidP="00756B53">
      <w:pPr>
        <w:pStyle w:val="ListParagraph"/>
        <w:numPr>
          <w:ilvl w:val="2"/>
          <w:numId w:val="101"/>
        </w:numPr>
        <w:spacing w:after="0"/>
        <w:ind w:left="709"/>
        <w:rPr>
          <w:rStyle w:val="InstructionText"/>
          <w:rFonts w:cstheme="minorBidi"/>
          <w:color w:val="auto"/>
        </w:rPr>
      </w:pPr>
      <w:r w:rsidRPr="00E83DA2">
        <w:rPr>
          <w:rStyle w:val="InstructionText"/>
          <w:b/>
          <w:color w:val="000000"/>
        </w:rPr>
        <w:t>Launceston Traffic Study</w:t>
      </w:r>
    </w:p>
    <w:p w:rsidR="00756B53" w:rsidRPr="00E83DA2" w:rsidRDefault="00756B53" w:rsidP="002E4BBE">
      <w:pPr>
        <w:spacing w:after="0"/>
        <w:rPr>
          <w:rFonts w:ascii="Gill Sans MT" w:hAnsi="Gill Sans MT"/>
        </w:rPr>
      </w:pPr>
      <w:r w:rsidRPr="00E83DA2">
        <w:rPr>
          <w:rFonts w:ascii="Gill Sans MT" w:hAnsi="Gill Sans MT"/>
        </w:rPr>
        <w:t>The Launceston Traffic Study aims to review freight and passenger networks in the Launceston metropolitan area, and identify opportunities to improve the efficiency and safety of this network. The project involves the assessment of strategic routes through Launceston, focusing on key issues affecting network performance, and identifying opportunities to improve the capacity, efficiency and safety of existing infrastructure. A review of longer-term alternative routes for through traffic will also be considered.</w:t>
      </w:r>
    </w:p>
    <w:p w:rsidR="00756B53" w:rsidRPr="00E83DA2" w:rsidRDefault="00756B53" w:rsidP="002E4BBE">
      <w:pPr>
        <w:spacing w:after="0"/>
        <w:rPr>
          <w:rFonts w:ascii="Gill Sans MT" w:hAnsi="Gill Sans MT"/>
        </w:rPr>
      </w:pPr>
    </w:p>
    <w:p w:rsidR="00756B53" w:rsidRDefault="00756B53" w:rsidP="002E4BBE">
      <w:pPr>
        <w:spacing w:after="0"/>
        <w:rPr>
          <w:rFonts w:ascii="Gill Sans MT" w:hAnsi="Gill Sans MT"/>
        </w:rPr>
      </w:pPr>
      <w:r w:rsidRPr="00E83DA2">
        <w:rPr>
          <w:rFonts w:ascii="Gill Sans MT" w:hAnsi="Gill Sans MT"/>
        </w:rPr>
        <w:t>Traffic modelling of the Launceston road network is required to assess the impacts of potential bypass options that have been previously identified, as well as to assess the impacts of safety improvements at key junctions, such as imposing turn restrictions to reduce vehicle conflicts. Stakeholder Engagement and Consultation will continue to be a critical task.</w:t>
      </w:r>
    </w:p>
    <w:p w:rsidR="00785A7B" w:rsidRDefault="00785A7B" w:rsidP="002E4BBE">
      <w:pPr>
        <w:spacing w:after="0"/>
        <w:rPr>
          <w:rFonts w:ascii="Gill Sans MT" w:hAnsi="Gill Sans MT"/>
        </w:rPr>
      </w:pPr>
    </w:p>
    <w:p w:rsidR="00785A7B" w:rsidRDefault="00785A7B" w:rsidP="00785A7B">
      <w:pPr>
        <w:rPr>
          <w:rStyle w:val="InstructionText"/>
        </w:rPr>
      </w:pPr>
      <w:r w:rsidRPr="00785A7B">
        <w:rPr>
          <w:rStyle w:val="InstructionText"/>
        </w:rPr>
        <w:t>Individual council projects</w:t>
      </w:r>
    </w:p>
    <w:p w:rsidR="00785A7B" w:rsidRPr="00CD3D8C" w:rsidRDefault="00785A7B" w:rsidP="00785A7B">
      <w:pPr>
        <w:rPr>
          <w:rStyle w:val="InstructionText"/>
          <w:i w:val="0"/>
          <w:color w:val="auto"/>
          <w:sz w:val="22"/>
        </w:rPr>
      </w:pPr>
      <w:r w:rsidRPr="00CD3D8C">
        <w:rPr>
          <w:rStyle w:val="InstructionText"/>
          <w:i w:val="0"/>
          <w:color w:val="auto"/>
          <w:sz w:val="22"/>
        </w:rPr>
        <w:t xml:space="preserve">In addition to these projects, individual councils have </w:t>
      </w:r>
      <w:proofErr w:type="gramStart"/>
      <w:r w:rsidRPr="00CD3D8C">
        <w:rPr>
          <w:rStyle w:val="InstructionText"/>
          <w:i w:val="0"/>
          <w:color w:val="auto"/>
          <w:sz w:val="22"/>
        </w:rPr>
        <w:t>progressed</w:t>
      </w:r>
      <w:proofErr w:type="gramEnd"/>
      <w:r w:rsidRPr="00CD3D8C">
        <w:rPr>
          <w:rStyle w:val="InstructionText"/>
          <w:i w:val="0"/>
          <w:color w:val="auto"/>
          <w:sz w:val="22"/>
        </w:rPr>
        <w:t xml:space="preserve"> a range of important transport and land use planning projects which will inform the future of the </w:t>
      </w:r>
      <w:r w:rsidRPr="00CD3D8C">
        <w:rPr>
          <w:rStyle w:val="InstructionText"/>
          <w:i w:val="0"/>
          <w:color w:val="auto"/>
          <w:sz w:val="22"/>
        </w:rPr>
        <w:lastRenderedPageBreak/>
        <w:t xml:space="preserve">region.  These include plans and strategies relating to pedestrians, cycling, housing, industrial areas, and environmental issues.   </w:t>
      </w:r>
    </w:p>
    <w:p w:rsidR="00785A7B" w:rsidRPr="00785A7B" w:rsidRDefault="00785A7B" w:rsidP="00785A7B">
      <w:pPr>
        <w:rPr>
          <w:rStyle w:val="InstructionText"/>
          <w:i w:val="0"/>
        </w:rPr>
      </w:pPr>
    </w:p>
    <w:p w:rsidR="00756B53" w:rsidRPr="00E83DA2" w:rsidRDefault="00756B53" w:rsidP="00756B53">
      <w:pPr>
        <w:spacing w:after="0"/>
        <w:rPr>
          <w:rFonts w:ascii="Gill Sans MT" w:hAnsi="Gill Sans MT" w:cs="Times New Roman"/>
          <w:color w:val="000000"/>
        </w:rPr>
      </w:pPr>
    </w:p>
    <w:p w:rsidR="00756B53" w:rsidRPr="00E83DA2" w:rsidRDefault="00756B53" w:rsidP="00756B53">
      <w:pPr>
        <w:rPr>
          <w:rFonts w:ascii="Gill Sans MT" w:hAnsi="Gill Sans MT"/>
        </w:rPr>
        <w:sectPr w:rsidR="00756B53" w:rsidRPr="00E83DA2" w:rsidSect="00103702">
          <w:pgSz w:w="11906" w:h="16838"/>
          <w:pgMar w:top="1440" w:right="1440" w:bottom="1440" w:left="1440" w:header="708" w:footer="708" w:gutter="0"/>
          <w:cols w:space="708"/>
          <w:docGrid w:linePitch="360"/>
        </w:sectPr>
      </w:pPr>
    </w:p>
    <w:p w:rsidR="00756B53" w:rsidRPr="00E83DA2" w:rsidRDefault="00756B53" w:rsidP="005039D5">
      <w:pPr>
        <w:pStyle w:val="Heading1"/>
        <w:ind w:left="426"/>
        <w:rPr>
          <w:rFonts w:ascii="Gill Sans MT" w:hAnsi="Gill Sans MT"/>
        </w:rPr>
      </w:pPr>
      <w:bookmarkStart w:id="17" w:name="_Toc332115738"/>
      <w:r w:rsidRPr="00E83DA2">
        <w:rPr>
          <w:rFonts w:ascii="Gill Sans MT" w:hAnsi="Gill Sans MT"/>
        </w:rPr>
        <w:lastRenderedPageBreak/>
        <w:t>Moving People</w:t>
      </w:r>
      <w:bookmarkEnd w:id="17"/>
      <w:r w:rsidRPr="00E83DA2">
        <w:rPr>
          <w:rFonts w:ascii="Gill Sans MT" w:hAnsi="Gill Sans MT"/>
        </w:rPr>
        <w:t xml:space="preserve"> </w:t>
      </w:r>
    </w:p>
    <w:p w:rsidR="00756B53" w:rsidRPr="00E83DA2" w:rsidRDefault="00756B53" w:rsidP="005039D5">
      <w:pPr>
        <w:pStyle w:val="Heading2"/>
        <w:ind w:left="426"/>
      </w:pPr>
      <w:bookmarkStart w:id="18" w:name="_Toc332033579"/>
      <w:bookmarkStart w:id="19" w:name="_Toc332114073"/>
      <w:bookmarkStart w:id="20" w:name="_Toc332115648"/>
      <w:bookmarkStart w:id="21" w:name="_Toc332115739"/>
      <w:r w:rsidRPr="00E83DA2">
        <w:t>Key strategic issues</w:t>
      </w:r>
      <w:bookmarkEnd w:id="18"/>
      <w:bookmarkEnd w:id="19"/>
      <w:bookmarkEnd w:id="20"/>
      <w:bookmarkEnd w:id="21"/>
    </w:p>
    <w:p w:rsidR="00756B53" w:rsidRPr="00E83DA2" w:rsidRDefault="00756B53" w:rsidP="005039D5">
      <w:pPr>
        <w:pStyle w:val="ListParagraph"/>
        <w:numPr>
          <w:ilvl w:val="0"/>
          <w:numId w:val="28"/>
        </w:numPr>
        <w:ind w:left="851"/>
        <w:rPr>
          <w:rFonts w:ascii="Gill Sans MT" w:hAnsi="Gill Sans MT"/>
        </w:rPr>
      </w:pPr>
      <w:r w:rsidRPr="00E83DA2">
        <w:rPr>
          <w:rFonts w:ascii="Gill Sans MT" w:hAnsi="Gill Sans MT"/>
        </w:rPr>
        <w:t>High dependence on private motor cars</w:t>
      </w:r>
    </w:p>
    <w:p w:rsidR="00756B53" w:rsidRPr="00E83DA2" w:rsidRDefault="00756B53" w:rsidP="005039D5">
      <w:pPr>
        <w:pStyle w:val="ListParagraph"/>
        <w:numPr>
          <w:ilvl w:val="0"/>
          <w:numId w:val="28"/>
        </w:numPr>
        <w:ind w:left="851"/>
        <w:rPr>
          <w:rFonts w:ascii="Gill Sans MT" w:hAnsi="Gill Sans MT"/>
        </w:rPr>
      </w:pPr>
      <w:r w:rsidRPr="00E83DA2">
        <w:rPr>
          <w:rFonts w:ascii="Gill Sans MT" w:hAnsi="Gill Sans MT"/>
        </w:rPr>
        <w:t>Planning reform – further integration of land use and transport planning</w:t>
      </w:r>
    </w:p>
    <w:p w:rsidR="00756B53" w:rsidRPr="00E83DA2" w:rsidRDefault="00756B53" w:rsidP="005039D5">
      <w:pPr>
        <w:pStyle w:val="ListParagraph"/>
        <w:numPr>
          <w:ilvl w:val="0"/>
          <w:numId w:val="28"/>
        </w:numPr>
        <w:ind w:left="851"/>
        <w:rPr>
          <w:rFonts w:ascii="Gill Sans MT" w:hAnsi="Gill Sans MT"/>
        </w:rPr>
      </w:pPr>
      <w:r w:rsidRPr="00E83DA2">
        <w:rPr>
          <w:rFonts w:ascii="Gill Sans MT" w:hAnsi="Gill Sans MT"/>
        </w:rPr>
        <w:t>Dispersed and low density populations</w:t>
      </w:r>
    </w:p>
    <w:p w:rsidR="00756B53" w:rsidRPr="00E83DA2" w:rsidRDefault="00756B53" w:rsidP="005039D5">
      <w:pPr>
        <w:pStyle w:val="ListParagraph"/>
        <w:numPr>
          <w:ilvl w:val="0"/>
          <w:numId w:val="28"/>
        </w:numPr>
        <w:ind w:left="851"/>
        <w:rPr>
          <w:rFonts w:ascii="Gill Sans MT" w:hAnsi="Gill Sans MT"/>
        </w:rPr>
      </w:pPr>
      <w:r w:rsidRPr="00E83DA2">
        <w:rPr>
          <w:rFonts w:ascii="Gill Sans MT" w:hAnsi="Gill Sans MT"/>
        </w:rPr>
        <w:t>Ageing population and decreasing household sizes</w:t>
      </w:r>
    </w:p>
    <w:p w:rsidR="00756B53" w:rsidRPr="00E83DA2" w:rsidRDefault="00756B53" w:rsidP="005039D5">
      <w:pPr>
        <w:pStyle w:val="ListParagraph"/>
        <w:numPr>
          <w:ilvl w:val="0"/>
          <w:numId w:val="28"/>
        </w:numPr>
        <w:ind w:left="851"/>
        <w:rPr>
          <w:rFonts w:ascii="Gill Sans MT" w:hAnsi="Gill Sans MT"/>
        </w:rPr>
      </w:pPr>
      <w:r w:rsidRPr="00E83DA2">
        <w:rPr>
          <w:rFonts w:ascii="Gill Sans MT" w:hAnsi="Gill Sans MT"/>
        </w:rPr>
        <w:t>Expanded urban areas and urban consolidation</w:t>
      </w:r>
    </w:p>
    <w:p w:rsidR="00756B53" w:rsidRPr="00E83DA2" w:rsidRDefault="00756B53" w:rsidP="005039D5">
      <w:pPr>
        <w:pStyle w:val="ListParagraph"/>
        <w:numPr>
          <w:ilvl w:val="0"/>
          <w:numId w:val="28"/>
        </w:numPr>
        <w:ind w:left="851"/>
        <w:rPr>
          <w:rFonts w:ascii="Gill Sans MT" w:hAnsi="Gill Sans MT"/>
        </w:rPr>
      </w:pPr>
      <w:r w:rsidRPr="00E83DA2">
        <w:rPr>
          <w:rFonts w:ascii="Gill Sans MT" w:hAnsi="Gill Sans MT"/>
        </w:rPr>
        <w:t>Induced demand from expanded infrastructure networks</w:t>
      </w:r>
    </w:p>
    <w:p w:rsidR="00756B53" w:rsidRPr="00E83DA2" w:rsidRDefault="00756B53" w:rsidP="005039D5">
      <w:pPr>
        <w:pStyle w:val="ListParagraph"/>
        <w:numPr>
          <w:ilvl w:val="0"/>
          <w:numId w:val="28"/>
        </w:numPr>
        <w:ind w:left="851"/>
        <w:rPr>
          <w:rFonts w:ascii="Gill Sans MT" w:hAnsi="Gill Sans MT"/>
        </w:rPr>
      </w:pPr>
      <w:r w:rsidRPr="00E83DA2">
        <w:rPr>
          <w:rFonts w:ascii="Gill Sans MT" w:hAnsi="Gill Sans MT"/>
        </w:rPr>
        <w:t>Limited demographic</w:t>
      </w:r>
      <w:r w:rsidR="00536C7F">
        <w:rPr>
          <w:rFonts w:ascii="Gill Sans MT" w:hAnsi="Gill Sans MT"/>
        </w:rPr>
        <w:t>, primarily students travelling to educational facilities</w:t>
      </w:r>
      <w:r w:rsidRPr="00E83DA2">
        <w:rPr>
          <w:rFonts w:ascii="Gill Sans MT" w:hAnsi="Gill Sans MT"/>
        </w:rPr>
        <w:t xml:space="preserve"> using public transport where available</w:t>
      </w:r>
    </w:p>
    <w:p w:rsidR="00756B53" w:rsidRPr="00E83DA2" w:rsidRDefault="00756B53" w:rsidP="005039D5">
      <w:pPr>
        <w:pStyle w:val="ListParagraph"/>
        <w:numPr>
          <w:ilvl w:val="0"/>
          <w:numId w:val="28"/>
        </w:numPr>
        <w:ind w:left="851"/>
        <w:rPr>
          <w:rFonts w:ascii="Gill Sans MT" w:hAnsi="Gill Sans MT"/>
        </w:rPr>
      </w:pPr>
      <w:r w:rsidRPr="00E83DA2">
        <w:rPr>
          <w:rFonts w:ascii="Gill Sans MT" w:hAnsi="Gill Sans MT"/>
        </w:rPr>
        <w:t>Infrastructure for non-motorised transport</w:t>
      </w:r>
    </w:p>
    <w:p w:rsidR="00756B53" w:rsidRPr="00E83DA2" w:rsidRDefault="00756B53" w:rsidP="005039D5">
      <w:pPr>
        <w:pStyle w:val="ListParagraph"/>
        <w:numPr>
          <w:ilvl w:val="0"/>
          <w:numId w:val="28"/>
        </w:numPr>
        <w:ind w:left="851"/>
        <w:rPr>
          <w:rFonts w:ascii="Gill Sans MT" w:hAnsi="Gill Sans MT"/>
        </w:rPr>
      </w:pPr>
      <w:r w:rsidRPr="00E83DA2">
        <w:rPr>
          <w:rFonts w:ascii="Gill Sans MT" w:hAnsi="Gill Sans MT"/>
        </w:rPr>
        <w:t>Encouraging the uptake of more sustainable and non-motorised forms of transport – behavioural change</w:t>
      </w:r>
    </w:p>
    <w:p w:rsidR="00756B53" w:rsidRPr="00E83DA2" w:rsidRDefault="00756B53" w:rsidP="005039D5">
      <w:pPr>
        <w:pStyle w:val="ListParagraph"/>
        <w:numPr>
          <w:ilvl w:val="0"/>
          <w:numId w:val="28"/>
        </w:numPr>
        <w:ind w:left="851"/>
        <w:rPr>
          <w:rFonts w:ascii="Gill Sans MT" w:hAnsi="Gill Sans MT"/>
        </w:rPr>
      </w:pPr>
      <w:r w:rsidRPr="00E83DA2">
        <w:rPr>
          <w:rFonts w:ascii="Gill Sans MT" w:hAnsi="Gill Sans MT"/>
        </w:rPr>
        <w:t>Increasing cost of fuels and viability of alternative fuels</w:t>
      </w:r>
    </w:p>
    <w:p w:rsidR="00756B53" w:rsidRPr="00E83DA2" w:rsidRDefault="00756B53" w:rsidP="005039D5">
      <w:pPr>
        <w:pStyle w:val="Heading2"/>
        <w:ind w:left="426"/>
      </w:pPr>
      <w:bookmarkStart w:id="22" w:name="_Toc332033580"/>
      <w:bookmarkStart w:id="23" w:name="_Toc332114075"/>
      <w:bookmarkStart w:id="24" w:name="_Toc332115650"/>
      <w:bookmarkStart w:id="25" w:name="_Toc332115741"/>
      <w:r w:rsidRPr="00E83DA2">
        <w:t>Background</w:t>
      </w:r>
      <w:bookmarkEnd w:id="22"/>
      <w:bookmarkEnd w:id="23"/>
      <w:bookmarkEnd w:id="24"/>
      <w:bookmarkEnd w:id="25"/>
    </w:p>
    <w:p w:rsidR="00756B53" w:rsidRPr="00E83DA2" w:rsidRDefault="00756B53" w:rsidP="005039D5">
      <w:pPr>
        <w:spacing w:after="0"/>
        <w:ind w:left="426"/>
        <w:rPr>
          <w:rFonts w:ascii="Gill Sans MT" w:hAnsi="Gill Sans MT"/>
          <w:b/>
          <w:bCs/>
          <w:i/>
          <w:iCs/>
        </w:rPr>
      </w:pPr>
      <w:r w:rsidRPr="00E83DA2">
        <w:rPr>
          <w:rFonts w:ascii="Gill Sans MT" w:hAnsi="Gill Sans MT"/>
        </w:rPr>
        <w:t>Road is the dominant mode for passenger transport in the Northern Region, with an extensive public network of approximately 7,500km</w:t>
      </w:r>
      <w:r w:rsidRPr="00E83DA2">
        <w:rPr>
          <w:rStyle w:val="FootnoteReference"/>
          <w:rFonts w:ascii="Gill Sans MT" w:hAnsi="Gill Sans MT"/>
        </w:rPr>
        <w:footnoteReference w:id="1"/>
      </w:r>
      <w:r w:rsidRPr="00E83DA2">
        <w:rPr>
          <w:rFonts w:ascii="Gill Sans MT" w:hAnsi="Gill Sans MT"/>
        </w:rPr>
        <w:t xml:space="preserve"> connecting rural and urban areas and linking to other regions.  The majority (64%) of the public road network is owned by local government and many of the daily journeys that people make to work, school, shopping, visiting friends and family and accessing recreational activities use local government roads.  The State owned portion connects major population centres, airports, seaports and industrial centres.  The topography of the area is important in defining many of the region’s transport links and alignments – e.g. </w:t>
      </w:r>
      <w:proofErr w:type="gramStart"/>
      <w:r w:rsidRPr="00E83DA2">
        <w:rPr>
          <w:rFonts w:ascii="Gill Sans MT" w:hAnsi="Gill Sans MT"/>
        </w:rPr>
        <w:t>In</w:t>
      </w:r>
      <w:proofErr w:type="gramEnd"/>
      <w:r w:rsidRPr="00E83DA2">
        <w:rPr>
          <w:rFonts w:ascii="Gill Sans MT" w:hAnsi="Gill Sans MT"/>
        </w:rPr>
        <w:t xml:space="preserve"> metropolitan Launceston, the Tamar River and the Cataract Gorge shape the city and the transport network.  Further afield, the mountainous terrain and windy roads around areas like St Mary’s and Scottsdale affect the transport network and driving conditions for passenger vehicles.</w:t>
      </w:r>
    </w:p>
    <w:p w:rsidR="00756B53" w:rsidRPr="00E83DA2" w:rsidRDefault="00756B53" w:rsidP="005039D5">
      <w:pPr>
        <w:pStyle w:val="Subtitle"/>
        <w:ind w:left="426"/>
        <w:rPr>
          <w:rFonts w:ascii="Gill Sans MT" w:hAnsi="Gill Sans MT"/>
        </w:rPr>
      </w:pPr>
    </w:p>
    <w:p w:rsidR="00756B53" w:rsidRPr="00E83DA2" w:rsidRDefault="00756B53" w:rsidP="005039D5">
      <w:pPr>
        <w:pStyle w:val="Subtitle"/>
        <w:ind w:left="426"/>
        <w:rPr>
          <w:rFonts w:ascii="Gill Sans MT" w:hAnsi="Gill Sans MT"/>
        </w:rPr>
      </w:pPr>
      <w:r w:rsidRPr="00E83DA2">
        <w:rPr>
          <w:rFonts w:ascii="Gill Sans MT" w:hAnsi="Gill Sans MT"/>
        </w:rPr>
        <w:t xml:space="preserve">Key inter-regional links </w:t>
      </w:r>
    </w:p>
    <w:p w:rsidR="00756B53" w:rsidRPr="00E83DA2" w:rsidRDefault="00756B53" w:rsidP="005039D5">
      <w:pPr>
        <w:ind w:left="426"/>
        <w:rPr>
          <w:rFonts w:ascii="Gill Sans MT" w:hAnsi="Gill Sans MT"/>
        </w:rPr>
      </w:pPr>
      <w:r w:rsidRPr="00E83DA2">
        <w:rPr>
          <w:rFonts w:ascii="Gill Sans MT" w:hAnsi="Gill Sans MT"/>
        </w:rPr>
        <w:t>The key inter-regional links are the most important road links allowing passengers to move between the large population centres in the three regions to access goods and services.  These links include Illawarra Main Road and the Bass, Midland and East Tamar Highways</w:t>
      </w:r>
      <w:r w:rsidR="00E742D0" w:rsidRPr="00E83DA2">
        <w:rPr>
          <w:rFonts w:ascii="Gill Sans MT" w:hAnsi="Gill Sans MT"/>
        </w:rPr>
        <w:t xml:space="preserve"> (Fig. 1)</w:t>
      </w:r>
      <w:r w:rsidRPr="00E83DA2">
        <w:rPr>
          <w:rFonts w:ascii="Gill Sans MT" w:hAnsi="Gill Sans MT"/>
        </w:rPr>
        <w:t xml:space="preserve">.   </w:t>
      </w:r>
    </w:p>
    <w:p w:rsidR="00756B53" w:rsidRPr="00E83DA2" w:rsidRDefault="00756B53" w:rsidP="005039D5">
      <w:pPr>
        <w:ind w:left="426"/>
        <w:rPr>
          <w:rFonts w:ascii="Gill Sans MT" w:hAnsi="Gill Sans MT"/>
        </w:rPr>
      </w:pPr>
      <w:r w:rsidRPr="00E83DA2">
        <w:rPr>
          <w:rFonts w:ascii="Gill Sans MT" w:hAnsi="Gill Sans MT"/>
        </w:rPr>
        <w:t xml:space="preserve">The Bass Highway links the Northern Region to the North West, in particular to Devonport and Burnie which are the North West region’s most populous towns. The Midland Highway links the North and South regions, and the two major population centres of Hobart and Launceston.  These two highways in </w:t>
      </w:r>
      <w:r w:rsidRPr="00E83DA2">
        <w:rPr>
          <w:rFonts w:ascii="Gill Sans MT" w:hAnsi="Gill Sans MT"/>
        </w:rPr>
        <w:lastRenderedPageBreak/>
        <w:t>combination with Illawarra Main Road also serve as the major inter-regional link for passengers travelling between the South and North West regions.</w:t>
      </w:r>
    </w:p>
    <w:p w:rsidR="00756B53" w:rsidRDefault="008F0359" w:rsidP="009F7B89">
      <w:pPr>
        <w:ind w:left="426"/>
        <w:rPr>
          <w:rFonts w:ascii="Gill Sans MT" w:hAnsi="Gill Sans MT"/>
        </w:rPr>
      </w:pPr>
      <w:r>
        <w:rPr>
          <w:rFonts w:ascii="Gill Sans MT" w:hAnsi="Gill Sans MT"/>
          <w:noProof/>
          <w:lang w:eastAsia="en-AU"/>
        </w:rPr>
        <w:pict>
          <v:rect id="_x0000_s1237" style="position:absolute;left:0;text-align:left;margin-left:-18.8pt;margin-top:654.7pt;width:554.2pt;height:78.2pt;z-index:251636223" stroked="f"/>
        </w:pict>
      </w:r>
      <w:r w:rsidRPr="008F0359">
        <w:rPr>
          <w:rFonts w:ascii="Gill Sans MT" w:hAnsi="Gill Sans MT"/>
          <w:noProof/>
          <w:lang w:val="en-US" w:eastAsia="zh-TW"/>
        </w:rPr>
        <w:pict>
          <v:shapetype id="_x0000_t202" coordsize="21600,21600" o:spt="202" path="m,l,21600r21600,l21600,xe">
            <v:stroke joinstyle="miter"/>
            <v:path gradientshapeok="t" o:connecttype="rect"/>
          </v:shapetype>
          <v:shape id="_x0000_s1197" type="#_x0000_t202" style="position:absolute;left:0;text-align:left;margin-left:34.25pt;margin-top:654.7pt;width:395.8pt;height:42.35pt;z-index:251703808;mso-width-relative:margin;mso-height-relative:margin" filled="f" stroked="f">
            <v:textbox style="mso-next-textbox:#_x0000_s1197">
              <w:txbxContent>
                <w:p w:rsidR="00A50F40" w:rsidRPr="00E742D0" w:rsidRDefault="00A50F40">
                  <w:pPr>
                    <w:rPr>
                      <w:b/>
                    </w:rPr>
                  </w:pPr>
                  <w:proofErr w:type="gramStart"/>
                  <w:r>
                    <w:rPr>
                      <w:b/>
                      <w:i/>
                    </w:rPr>
                    <w:t>Figure 9</w:t>
                  </w:r>
                  <w:r w:rsidRPr="00E742D0">
                    <w:rPr>
                      <w:b/>
                      <w:i/>
                    </w:rPr>
                    <w:t>.</w:t>
                  </w:r>
                  <w:proofErr w:type="gramEnd"/>
                  <w:r w:rsidRPr="00E742D0">
                    <w:rPr>
                      <w:b/>
                    </w:rPr>
                    <w:t xml:space="preserve"> Map of Northern Region, key regional</w:t>
                  </w:r>
                  <w:r>
                    <w:rPr>
                      <w:b/>
                    </w:rPr>
                    <w:t xml:space="preserve"> and inter-regional road</w:t>
                  </w:r>
                  <w:r w:rsidRPr="00E742D0">
                    <w:rPr>
                      <w:b/>
                    </w:rPr>
                    <w:t>s.</w:t>
                  </w:r>
                </w:p>
              </w:txbxContent>
            </v:textbox>
          </v:shape>
        </w:pict>
      </w:r>
      <w:r w:rsidR="00756B53" w:rsidRPr="00E83DA2">
        <w:rPr>
          <w:rFonts w:ascii="Gill Sans MT" w:hAnsi="Gill Sans MT"/>
        </w:rPr>
        <w:t>A number of council owned roads provide linkages through metropolitan areas on these key inter-regional routes and their performance is an important factor in determining how the route operates as a whole.  For example, the Bathurst-Wellington couplet in Launceston is critical to north-south through movements and to travel within Launceston CBD.</w:t>
      </w:r>
      <w:r w:rsidR="00756B53" w:rsidRPr="00E83DA2">
        <w:rPr>
          <w:rFonts w:ascii="Gill Sans MT" w:hAnsi="Gill Sans MT"/>
          <w:noProof/>
          <w:lang w:eastAsia="en-AU"/>
        </w:rPr>
        <w:drawing>
          <wp:inline distT="0" distB="0" distL="0" distR="0">
            <wp:extent cx="5278120" cy="7459345"/>
            <wp:effectExtent l="19050" t="0" r="0" b="0"/>
            <wp:docPr id="75" name="Picture 9" descr="LGAs_North_Transport_with inset_white backgroun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As_North_Transport_with inset_white background 2.JPG"/>
                    <pic:cNvPicPr/>
                  </pic:nvPicPr>
                  <pic:blipFill>
                    <a:blip r:embed="rId14" cstate="print"/>
                    <a:stretch>
                      <a:fillRect/>
                    </a:stretch>
                  </pic:blipFill>
                  <pic:spPr>
                    <a:xfrm>
                      <a:off x="0" y="0"/>
                      <a:ext cx="5278120" cy="7459345"/>
                    </a:xfrm>
                    <a:prstGeom prst="rect">
                      <a:avLst/>
                    </a:prstGeom>
                  </pic:spPr>
                </pic:pic>
              </a:graphicData>
            </a:graphic>
          </wp:inline>
        </w:drawing>
      </w:r>
    </w:p>
    <w:p w:rsidR="00756B53" w:rsidRPr="00E83DA2" w:rsidRDefault="00756B53" w:rsidP="005039D5">
      <w:pPr>
        <w:pStyle w:val="Subtitle"/>
        <w:ind w:left="426"/>
        <w:rPr>
          <w:rFonts w:ascii="Gill Sans MT" w:hAnsi="Gill Sans MT"/>
        </w:rPr>
      </w:pPr>
      <w:r w:rsidRPr="00E83DA2">
        <w:rPr>
          <w:rFonts w:ascii="Gill Sans MT" w:hAnsi="Gill Sans MT"/>
        </w:rPr>
        <w:lastRenderedPageBreak/>
        <w:t>Key regional links</w:t>
      </w:r>
    </w:p>
    <w:p w:rsidR="00756B53" w:rsidRPr="00E83DA2" w:rsidRDefault="00756B53" w:rsidP="005039D5">
      <w:pPr>
        <w:tabs>
          <w:tab w:val="left" w:pos="1418"/>
        </w:tabs>
        <w:ind w:left="426"/>
        <w:rPr>
          <w:rFonts w:ascii="Gill Sans MT" w:hAnsi="Gill Sans MT"/>
        </w:rPr>
      </w:pPr>
      <w:r w:rsidRPr="00E83DA2">
        <w:rPr>
          <w:rFonts w:ascii="Gill Sans MT" w:hAnsi="Gill Sans MT"/>
        </w:rPr>
        <w:t>Regional roads serve an important role in allowing people to move from regional and rural areas to major regional cities or key inter-regional links.  Strategic regional roads include:</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Batman Highway – links each side of the Tamar River north of Launceston, connecting the East Tamar Highway to the West Tamar Highway</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Tasman Highway – links the East Coast towns of St Marys, St Helens and Bicheno</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West Tamar Highway – links from the North including Beauty Point, Beaconsfield and Exeter through Legana and Riverside and into Launceston</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Frankford and Birralee Main Roads – link the western side of the region including Westbury and Hagley to the West Tamar Highway and Launceston</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Bridport Main Road – links through to the North east coast including Bridport and Pipers Brook</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Esk Main Road – links St Marys to the Midland Highway</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Poatina Main Road – links the Lakes area and Central Plateau towards Launceston</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Evandale Main Road – links Evandale and Launceston airport through to the Midland Highway and into Launceston from the South</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Lilydale and Golconda Roads – links from Scottsdale through Lilydale, in towards Mowbray and Launceston</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Lady Barron Main Road – links Lady Barron Port and airport in the south to Whitemark and the north of Flinders Island</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Gladstone Main Road – links Gladstone and many forest areas to Derby, Branxholm and then Scottsdale</w:t>
      </w:r>
    </w:p>
    <w:p w:rsidR="00756B53" w:rsidRPr="00E83DA2" w:rsidRDefault="00756B53" w:rsidP="009F7B89">
      <w:pPr>
        <w:numPr>
          <w:ilvl w:val="0"/>
          <w:numId w:val="9"/>
        </w:numPr>
        <w:tabs>
          <w:tab w:val="clear" w:pos="720"/>
          <w:tab w:val="left" w:pos="851"/>
        </w:tabs>
        <w:spacing w:after="0"/>
        <w:ind w:left="851" w:hanging="357"/>
        <w:rPr>
          <w:rFonts w:ascii="Gill Sans MT" w:hAnsi="Gill Sans MT"/>
        </w:rPr>
      </w:pPr>
      <w:r w:rsidRPr="00E83DA2">
        <w:rPr>
          <w:rFonts w:ascii="Gill Sans MT" w:hAnsi="Gill Sans MT"/>
        </w:rPr>
        <w:t>Ringarooma Main Road – links Scottsdale to Derby and Branxholm</w:t>
      </w:r>
    </w:p>
    <w:p w:rsidR="00756B53" w:rsidRPr="00E83DA2" w:rsidRDefault="00756B53" w:rsidP="009F7B89">
      <w:pPr>
        <w:numPr>
          <w:ilvl w:val="0"/>
          <w:numId w:val="9"/>
        </w:numPr>
        <w:tabs>
          <w:tab w:val="clear" w:pos="720"/>
          <w:tab w:val="left" w:pos="851"/>
        </w:tabs>
        <w:ind w:left="851" w:hanging="357"/>
        <w:rPr>
          <w:rFonts w:ascii="Gill Sans MT" w:hAnsi="Gill Sans MT"/>
        </w:rPr>
      </w:pPr>
      <w:r w:rsidRPr="00E83DA2">
        <w:rPr>
          <w:rFonts w:ascii="Gill Sans MT" w:hAnsi="Gill Sans MT"/>
        </w:rPr>
        <w:t>Lake Leake Main Road – links Bicheno, Swansea and the east coast to Campbelltown and the Midland Highway</w:t>
      </w:r>
    </w:p>
    <w:p w:rsidR="00756B53" w:rsidRPr="00E83DA2" w:rsidRDefault="00756B53" w:rsidP="005039D5">
      <w:pPr>
        <w:pStyle w:val="Subtitle"/>
        <w:ind w:left="426"/>
        <w:rPr>
          <w:rFonts w:ascii="Gill Sans MT" w:hAnsi="Gill Sans MT"/>
        </w:rPr>
      </w:pPr>
      <w:r w:rsidRPr="00E83DA2">
        <w:rPr>
          <w:rFonts w:ascii="Gill Sans MT" w:hAnsi="Gill Sans MT"/>
        </w:rPr>
        <w:t>Key metropolitan links and urban transport corridors</w:t>
      </w:r>
    </w:p>
    <w:p w:rsidR="00756B53" w:rsidRPr="00E83DA2" w:rsidRDefault="00756B53" w:rsidP="005039D5">
      <w:pPr>
        <w:ind w:left="426"/>
        <w:rPr>
          <w:rFonts w:ascii="Gill Sans MT" w:hAnsi="Gill Sans MT"/>
        </w:rPr>
      </w:pPr>
      <w:r w:rsidRPr="00E83DA2">
        <w:rPr>
          <w:rFonts w:ascii="Gill Sans MT" w:hAnsi="Gill Sans MT"/>
        </w:rPr>
        <w:t>Strategic urban roads are critical links in the region’s passenger network</w:t>
      </w:r>
      <w:r w:rsidR="009F16CD" w:rsidRPr="00E83DA2">
        <w:rPr>
          <w:rFonts w:ascii="Gill Sans MT" w:hAnsi="Gill Sans MT"/>
        </w:rPr>
        <w:t xml:space="preserve"> (Table 1)</w:t>
      </w:r>
      <w:r w:rsidRPr="00E83DA2">
        <w:rPr>
          <w:rFonts w:ascii="Gill Sans MT" w:hAnsi="Gill Sans MT"/>
        </w:rPr>
        <w:t>. Key metropolitan links and urban transport corridors include:</w:t>
      </w:r>
    </w:p>
    <w:p w:rsidR="00756B53" w:rsidRPr="00E83DA2" w:rsidRDefault="00756B53" w:rsidP="009F7B89">
      <w:pPr>
        <w:pStyle w:val="ListParagraph"/>
        <w:numPr>
          <w:ilvl w:val="0"/>
          <w:numId w:val="38"/>
        </w:numPr>
        <w:tabs>
          <w:tab w:val="clear" w:pos="720"/>
          <w:tab w:val="num" w:pos="851"/>
        </w:tabs>
        <w:ind w:left="851"/>
        <w:rPr>
          <w:rFonts w:ascii="Gill Sans MT" w:hAnsi="Gill Sans MT"/>
        </w:rPr>
      </w:pPr>
      <w:r w:rsidRPr="00E83DA2">
        <w:rPr>
          <w:rFonts w:ascii="Gill Sans MT" w:hAnsi="Gill Sans MT"/>
        </w:rPr>
        <w:t xml:space="preserve">Bathurst / Wellington Streets couplet: the key links through central Launceston, linking the southern and northern suburbs of Launceston and vital role connecting regional or inter-regional links north and south of the city.  </w:t>
      </w:r>
    </w:p>
    <w:p w:rsidR="00756B53" w:rsidRPr="00E83DA2" w:rsidRDefault="00756B53" w:rsidP="009F7B89">
      <w:pPr>
        <w:numPr>
          <w:ilvl w:val="0"/>
          <w:numId w:val="38"/>
        </w:numPr>
        <w:tabs>
          <w:tab w:val="clear" w:pos="720"/>
          <w:tab w:val="num" w:pos="851"/>
        </w:tabs>
        <w:ind w:left="851"/>
        <w:rPr>
          <w:rFonts w:ascii="Gill Sans MT" w:hAnsi="Gill Sans MT"/>
        </w:rPr>
      </w:pPr>
      <w:r w:rsidRPr="00E83DA2">
        <w:rPr>
          <w:rFonts w:ascii="Gill Sans MT" w:hAnsi="Gill Sans MT"/>
        </w:rPr>
        <w:t xml:space="preserve">Charles / </w:t>
      </w:r>
      <w:proofErr w:type="spellStart"/>
      <w:r w:rsidRPr="00E83DA2">
        <w:rPr>
          <w:rFonts w:ascii="Gill Sans MT" w:hAnsi="Gill Sans MT"/>
        </w:rPr>
        <w:t>Goderich</w:t>
      </w:r>
      <w:proofErr w:type="spellEnd"/>
      <w:r w:rsidRPr="00E83DA2">
        <w:rPr>
          <w:rFonts w:ascii="Gill Sans MT" w:hAnsi="Gill Sans MT"/>
        </w:rPr>
        <w:t xml:space="preserve"> Streets: north of Launceston serving a similar role to Bathurst and Wellington Streets connecting the East Tamar Highway to central Launceston and used as a major urban route from Invermay, Mowbray, Newnham, Mayfield and Rocherlea</w:t>
      </w:r>
    </w:p>
    <w:p w:rsidR="00756B53" w:rsidRPr="00E83DA2" w:rsidRDefault="00756B53" w:rsidP="009F7B89">
      <w:pPr>
        <w:numPr>
          <w:ilvl w:val="0"/>
          <w:numId w:val="38"/>
        </w:numPr>
        <w:tabs>
          <w:tab w:val="clear" w:pos="720"/>
          <w:tab w:val="num" w:pos="851"/>
        </w:tabs>
        <w:ind w:left="851"/>
        <w:rPr>
          <w:rFonts w:ascii="Gill Sans MT" w:hAnsi="Gill Sans MT"/>
        </w:rPr>
      </w:pPr>
      <w:r w:rsidRPr="00E83DA2">
        <w:rPr>
          <w:rFonts w:ascii="Gill Sans MT" w:hAnsi="Gill Sans MT"/>
        </w:rPr>
        <w:lastRenderedPageBreak/>
        <w:t>West Tamar Road/Brisbane Street: key passenger route from suburbs on the western shore of the Tamar River including Trevallyn, Riverside and satellite suburbs further north including Legana, Rosevears and Grindelwald</w:t>
      </w:r>
    </w:p>
    <w:p w:rsidR="00756B53" w:rsidRPr="00E83DA2" w:rsidRDefault="00756B53" w:rsidP="009F7B89">
      <w:pPr>
        <w:numPr>
          <w:ilvl w:val="0"/>
          <w:numId w:val="38"/>
        </w:numPr>
        <w:tabs>
          <w:tab w:val="clear" w:pos="720"/>
          <w:tab w:val="num" w:pos="851"/>
        </w:tabs>
        <w:ind w:left="851"/>
        <w:rPr>
          <w:rFonts w:ascii="Gill Sans MT" w:hAnsi="Gill Sans MT"/>
        </w:rPr>
      </w:pPr>
      <w:r w:rsidRPr="00E83DA2">
        <w:rPr>
          <w:rFonts w:ascii="Gill Sans MT" w:hAnsi="Gill Sans MT"/>
        </w:rPr>
        <w:t>Westbury Road: Major route from western suburbs Prospect, Summerhill, Prospect Vale and satellite suburb of Blackstone Heights</w:t>
      </w:r>
    </w:p>
    <w:p w:rsidR="00756B53" w:rsidRPr="00E83DA2" w:rsidRDefault="00756B53" w:rsidP="009F7B89">
      <w:pPr>
        <w:numPr>
          <w:ilvl w:val="0"/>
          <w:numId w:val="38"/>
        </w:numPr>
        <w:tabs>
          <w:tab w:val="clear" w:pos="720"/>
          <w:tab w:val="num" w:pos="851"/>
        </w:tabs>
        <w:ind w:left="851"/>
        <w:rPr>
          <w:rFonts w:ascii="Gill Sans MT" w:hAnsi="Gill Sans MT"/>
        </w:rPr>
      </w:pPr>
      <w:r w:rsidRPr="00E83DA2">
        <w:rPr>
          <w:rFonts w:ascii="Gill Sans MT" w:hAnsi="Gill Sans MT"/>
        </w:rPr>
        <w:t xml:space="preserve">Elphin Road / </w:t>
      </w:r>
      <w:proofErr w:type="spellStart"/>
      <w:r w:rsidRPr="00E83DA2">
        <w:rPr>
          <w:rFonts w:ascii="Gill Sans MT" w:hAnsi="Gill Sans MT"/>
        </w:rPr>
        <w:t>Penquite</w:t>
      </w:r>
      <w:proofErr w:type="spellEnd"/>
      <w:r w:rsidRPr="00E83DA2">
        <w:rPr>
          <w:rFonts w:ascii="Gill Sans MT" w:hAnsi="Gill Sans MT"/>
        </w:rPr>
        <w:t xml:space="preserve"> Road / Hobblers Bridge Road: form a key passenger route from Launceston eastern suburbs including Elphin, East Launceston, Norwood and Waverley and connects to Tasman Highway and North East </w:t>
      </w:r>
    </w:p>
    <w:p w:rsidR="00756B53" w:rsidRPr="00E83DA2" w:rsidRDefault="00756B53" w:rsidP="009F7B89">
      <w:pPr>
        <w:numPr>
          <w:ilvl w:val="0"/>
          <w:numId w:val="38"/>
        </w:numPr>
        <w:tabs>
          <w:tab w:val="clear" w:pos="720"/>
          <w:tab w:val="num" w:pos="851"/>
        </w:tabs>
        <w:ind w:left="851"/>
        <w:rPr>
          <w:rFonts w:ascii="Gill Sans MT" w:hAnsi="Gill Sans MT"/>
        </w:rPr>
      </w:pPr>
      <w:proofErr w:type="spellStart"/>
      <w:r w:rsidRPr="00E83DA2">
        <w:rPr>
          <w:rFonts w:ascii="Gill Sans MT" w:hAnsi="Gill Sans MT"/>
        </w:rPr>
        <w:t>Cimitiere</w:t>
      </w:r>
      <w:proofErr w:type="spellEnd"/>
      <w:r w:rsidRPr="00E83DA2">
        <w:rPr>
          <w:rFonts w:ascii="Gill Sans MT" w:hAnsi="Gill Sans MT"/>
        </w:rPr>
        <w:t xml:space="preserve"> Street and Invermay Road: provide important connections to industrial and commercial land in inner eastern suburbs</w:t>
      </w:r>
    </w:p>
    <w:p w:rsidR="00756B53" w:rsidRPr="00E83DA2" w:rsidRDefault="00756B53" w:rsidP="009F7B89">
      <w:pPr>
        <w:numPr>
          <w:ilvl w:val="0"/>
          <w:numId w:val="38"/>
        </w:numPr>
        <w:tabs>
          <w:tab w:val="clear" w:pos="720"/>
          <w:tab w:val="num" w:pos="851"/>
        </w:tabs>
        <w:ind w:left="851"/>
        <w:rPr>
          <w:rFonts w:ascii="Gill Sans MT" w:hAnsi="Gill Sans MT"/>
        </w:rPr>
      </w:pPr>
      <w:r w:rsidRPr="00E83DA2">
        <w:rPr>
          <w:rFonts w:ascii="Gill Sans MT" w:hAnsi="Gill Sans MT"/>
        </w:rPr>
        <w:t xml:space="preserve">Kings Meadows Link / Quarantine Road / Johnston Road / St Leonards Road: Linking Blessington Road and industrial areas along St Leonards Road to Midland Highway and intersecting other key metropolitan links including Hobart Road and </w:t>
      </w:r>
      <w:proofErr w:type="spellStart"/>
      <w:r w:rsidRPr="00E83DA2">
        <w:rPr>
          <w:rFonts w:ascii="Gill Sans MT" w:hAnsi="Gill Sans MT"/>
        </w:rPr>
        <w:t>Penquite</w:t>
      </w:r>
      <w:proofErr w:type="spellEnd"/>
      <w:r w:rsidRPr="00E83DA2">
        <w:rPr>
          <w:rFonts w:ascii="Gill Sans MT" w:hAnsi="Gill Sans MT"/>
        </w:rPr>
        <w:t xml:space="preserve"> Road.</w:t>
      </w:r>
    </w:p>
    <w:p w:rsidR="00756B53" w:rsidRPr="00E83DA2" w:rsidRDefault="00756B53" w:rsidP="009F7B89">
      <w:pPr>
        <w:pStyle w:val="ListParagraph"/>
        <w:numPr>
          <w:ilvl w:val="0"/>
          <w:numId w:val="38"/>
        </w:numPr>
        <w:tabs>
          <w:tab w:val="clear" w:pos="720"/>
          <w:tab w:val="num" w:pos="851"/>
        </w:tabs>
        <w:ind w:left="851"/>
        <w:rPr>
          <w:rFonts w:ascii="Gill Sans MT" w:hAnsi="Gill Sans MT"/>
        </w:rPr>
      </w:pPr>
      <w:r w:rsidRPr="00E83DA2">
        <w:rPr>
          <w:rFonts w:ascii="Gill Sans MT" w:hAnsi="Gill Sans MT"/>
        </w:rPr>
        <w:t>Hobart Road: southern suburbs (Kings</w:t>
      </w:r>
      <w:r w:rsidR="00B517DE">
        <w:rPr>
          <w:rFonts w:ascii="Gill Sans MT" w:hAnsi="Gill Sans MT"/>
        </w:rPr>
        <w:t xml:space="preserve"> M</w:t>
      </w:r>
      <w:r w:rsidRPr="00E83DA2">
        <w:rPr>
          <w:rFonts w:ascii="Gill Sans MT" w:hAnsi="Gill Sans MT"/>
        </w:rPr>
        <w:t>eadows, Youngtown) into Wellington St</w:t>
      </w:r>
    </w:p>
    <w:p w:rsidR="00756B53" w:rsidRPr="00E83DA2" w:rsidRDefault="00756B53" w:rsidP="00756B53">
      <w:pPr>
        <w:rPr>
          <w:rFonts w:ascii="Gill Sans MT" w:hAnsi="Gill Sans MT"/>
        </w:rPr>
      </w:pPr>
    </w:p>
    <w:tbl>
      <w:tblPr>
        <w:tblStyle w:val="TableGrid"/>
        <w:tblW w:w="8192" w:type="dxa"/>
        <w:tblInd w:w="534" w:type="dxa"/>
        <w:tblLook w:val="04A0"/>
      </w:tblPr>
      <w:tblGrid>
        <w:gridCol w:w="1559"/>
        <w:gridCol w:w="887"/>
        <w:gridCol w:w="925"/>
        <w:gridCol w:w="731"/>
        <w:gridCol w:w="1649"/>
        <w:gridCol w:w="2441"/>
      </w:tblGrid>
      <w:tr w:rsidR="00E742D0" w:rsidRPr="00E83DA2" w:rsidTr="00E83DA2">
        <w:trPr>
          <w:trHeight w:val="596"/>
          <w:tblHeader/>
        </w:trPr>
        <w:tc>
          <w:tcPr>
            <w:tcW w:w="8192" w:type="dxa"/>
            <w:gridSpan w:val="6"/>
            <w:shd w:val="clear" w:color="auto" w:fill="4F81BD" w:themeFill="accent1"/>
            <w:vAlign w:val="center"/>
          </w:tcPr>
          <w:p w:rsidR="00E742D0" w:rsidRPr="00E83DA2" w:rsidRDefault="00444FF8" w:rsidP="00E742D0">
            <w:pPr>
              <w:pStyle w:val="Para0"/>
              <w:rPr>
                <w:rFonts w:ascii="Gill Sans MT" w:hAnsi="Gill Sans MT"/>
                <w:b/>
              </w:rPr>
            </w:pPr>
            <w:r>
              <w:rPr>
                <w:rFonts w:ascii="Gill Sans MT" w:hAnsi="Gill Sans MT"/>
                <w:b/>
                <w:i/>
              </w:rPr>
              <w:t>Figure 10</w:t>
            </w:r>
            <w:r w:rsidR="00E742D0" w:rsidRPr="00E83DA2">
              <w:rPr>
                <w:rFonts w:ascii="Gill Sans MT" w:hAnsi="Gill Sans MT"/>
                <w:b/>
                <w:i/>
              </w:rPr>
              <w:t>.</w:t>
            </w:r>
            <w:r w:rsidR="00E742D0" w:rsidRPr="00E83DA2">
              <w:rPr>
                <w:rFonts w:ascii="Gill Sans MT" w:hAnsi="Gill Sans MT"/>
                <w:b/>
              </w:rPr>
              <w:t xml:space="preserve"> Traffic volumes on State roads in/around Greater Launceston</w:t>
            </w:r>
            <w:r w:rsidR="009F16CD" w:rsidRPr="00E83DA2">
              <w:rPr>
                <w:rFonts w:ascii="Gill Sans MT" w:hAnsi="Gill Sans MT"/>
                <w:b/>
              </w:rPr>
              <w:t>.</w:t>
            </w:r>
          </w:p>
        </w:tc>
      </w:tr>
      <w:tr w:rsidR="00756B53" w:rsidRPr="00E83DA2" w:rsidTr="00E83DA2">
        <w:trPr>
          <w:tblHeader/>
        </w:trPr>
        <w:tc>
          <w:tcPr>
            <w:tcW w:w="1559" w:type="dxa"/>
            <w:shd w:val="clear" w:color="auto" w:fill="4F81BD" w:themeFill="accent1"/>
          </w:tcPr>
          <w:p w:rsidR="00756B53" w:rsidRPr="00E83DA2" w:rsidRDefault="00756B53" w:rsidP="008D2E39">
            <w:pPr>
              <w:pStyle w:val="Para0"/>
              <w:rPr>
                <w:rFonts w:ascii="Gill Sans MT" w:hAnsi="Gill Sans MT"/>
                <w:b/>
              </w:rPr>
            </w:pPr>
            <w:r w:rsidRPr="00E83DA2">
              <w:rPr>
                <w:rFonts w:ascii="Gill Sans MT" w:hAnsi="Gill Sans MT"/>
                <w:b/>
              </w:rPr>
              <w:t>Road</w:t>
            </w:r>
          </w:p>
        </w:tc>
        <w:tc>
          <w:tcPr>
            <w:tcW w:w="887" w:type="dxa"/>
            <w:shd w:val="clear" w:color="auto" w:fill="4F81BD" w:themeFill="accent1"/>
          </w:tcPr>
          <w:p w:rsidR="00756B53" w:rsidRPr="00E83DA2" w:rsidRDefault="00756B53" w:rsidP="008D2E39">
            <w:pPr>
              <w:pStyle w:val="Para0"/>
              <w:rPr>
                <w:rFonts w:ascii="Gill Sans MT" w:hAnsi="Gill Sans MT"/>
                <w:b/>
              </w:rPr>
            </w:pPr>
            <w:r w:rsidRPr="00E83DA2">
              <w:rPr>
                <w:rFonts w:ascii="Gill Sans MT" w:hAnsi="Gill Sans MT"/>
                <w:b/>
              </w:rPr>
              <w:t>AADT</w:t>
            </w:r>
          </w:p>
        </w:tc>
        <w:tc>
          <w:tcPr>
            <w:tcW w:w="925" w:type="dxa"/>
            <w:shd w:val="clear" w:color="auto" w:fill="4F81BD" w:themeFill="accent1"/>
          </w:tcPr>
          <w:p w:rsidR="00756B53" w:rsidRPr="00E83DA2" w:rsidRDefault="00756B53" w:rsidP="008D2E39">
            <w:pPr>
              <w:pStyle w:val="Para0"/>
              <w:rPr>
                <w:rFonts w:ascii="Gill Sans MT" w:hAnsi="Gill Sans MT"/>
                <w:b/>
              </w:rPr>
            </w:pPr>
            <w:r w:rsidRPr="00E83DA2">
              <w:rPr>
                <w:rFonts w:ascii="Gill Sans MT" w:hAnsi="Gill Sans MT"/>
                <w:b/>
              </w:rPr>
              <w:t>Survey Date</w:t>
            </w:r>
          </w:p>
        </w:tc>
        <w:tc>
          <w:tcPr>
            <w:tcW w:w="731" w:type="dxa"/>
            <w:shd w:val="clear" w:color="auto" w:fill="4F81BD" w:themeFill="accent1"/>
          </w:tcPr>
          <w:p w:rsidR="00756B53" w:rsidRPr="00E83DA2" w:rsidRDefault="00756B53" w:rsidP="008D2E39">
            <w:pPr>
              <w:pStyle w:val="Para0"/>
              <w:rPr>
                <w:rFonts w:ascii="Gill Sans MT" w:hAnsi="Gill Sans MT"/>
                <w:b/>
              </w:rPr>
            </w:pPr>
            <w:r w:rsidRPr="00E83DA2">
              <w:rPr>
                <w:rFonts w:ascii="Gill Sans MT" w:hAnsi="Gill Sans MT"/>
                <w:b/>
              </w:rPr>
              <w:t>CV%</w:t>
            </w:r>
          </w:p>
        </w:tc>
        <w:tc>
          <w:tcPr>
            <w:tcW w:w="1649" w:type="dxa"/>
            <w:shd w:val="clear" w:color="auto" w:fill="4F81BD" w:themeFill="accent1"/>
          </w:tcPr>
          <w:p w:rsidR="00756B53" w:rsidRPr="00E83DA2" w:rsidRDefault="00756B53" w:rsidP="008D2E39">
            <w:pPr>
              <w:pStyle w:val="Para0"/>
              <w:rPr>
                <w:rFonts w:ascii="Gill Sans MT" w:hAnsi="Gill Sans MT"/>
                <w:b/>
              </w:rPr>
            </w:pPr>
            <w:r w:rsidRPr="00E83DA2">
              <w:rPr>
                <w:rFonts w:ascii="Gill Sans MT" w:hAnsi="Gill Sans MT"/>
                <w:b/>
              </w:rPr>
              <w:t>Compound Growth %</w:t>
            </w:r>
          </w:p>
        </w:tc>
        <w:tc>
          <w:tcPr>
            <w:tcW w:w="2441" w:type="dxa"/>
            <w:shd w:val="clear" w:color="auto" w:fill="4F81BD" w:themeFill="accent1"/>
          </w:tcPr>
          <w:p w:rsidR="00756B53" w:rsidRPr="00E83DA2" w:rsidRDefault="00756B53" w:rsidP="008D2E39">
            <w:pPr>
              <w:pStyle w:val="Para0"/>
              <w:rPr>
                <w:rFonts w:ascii="Gill Sans MT" w:hAnsi="Gill Sans MT"/>
                <w:b/>
              </w:rPr>
            </w:pPr>
            <w:r w:rsidRPr="00E83DA2">
              <w:rPr>
                <w:rFonts w:ascii="Gill Sans MT" w:hAnsi="Gill Sans MT"/>
                <w:b/>
              </w:rPr>
              <w:t>Comments</w:t>
            </w:r>
          </w:p>
        </w:tc>
      </w:tr>
      <w:tr w:rsidR="00756B53" w:rsidRPr="00E83DA2" w:rsidTr="00E83DA2">
        <w:tc>
          <w:tcPr>
            <w:tcW w:w="1559" w:type="dxa"/>
          </w:tcPr>
          <w:p w:rsidR="00756B53" w:rsidRPr="00E83DA2" w:rsidRDefault="00756B53" w:rsidP="008D2E39">
            <w:pPr>
              <w:pStyle w:val="Para0"/>
              <w:rPr>
                <w:rFonts w:ascii="Gill Sans MT" w:hAnsi="Gill Sans MT"/>
              </w:rPr>
            </w:pPr>
            <w:r w:rsidRPr="00E83DA2">
              <w:rPr>
                <w:rFonts w:ascii="Gill Sans MT" w:hAnsi="Gill Sans MT"/>
              </w:rPr>
              <w:t xml:space="preserve">Midland Highway/ Southern Outlet S of Glen </w:t>
            </w:r>
            <w:proofErr w:type="spellStart"/>
            <w:r w:rsidRPr="00E83DA2">
              <w:rPr>
                <w:rFonts w:ascii="Gill Sans MT" w:hAnsi="Gill Sans MT"/>
              </w:rPr>
              <w:t>Dhu</w:t>
            </w:r>
            <w:proofErr w:type="spellEnd"/>
            <w:r w:rsidRPr="00E83DA2">
              <w:rPr>
                <w:rFonts w:ascii="Gill Sans MT" w:hAnsi="Gill Sans MT"/>
              </w:rPr>
              <w:t xml:space="preserve"> Connector</w:t>
            </w:r>
          </w:p>
        </w:tc>
        <w:tc>
          <w:tcPr>
            <w:tcW w:w="887" w:type="dxa"/>
          </w:tcPr>
          <w:p w:rsidR="00756B53" w:rsidRPr="00E83DA2" w:rsidRDefault="00756B53" w:rsidP="008D2E39">
            <w:pPr>
              <w:pStyle w:val="Para0"/>
              <w:rPr>
                <w:rFonts w:ascii="Gill Sans MT" w:hAnsi="Gill Sans MT"/>
              </w:rPr>
            </w:pPr>
            <w:r w:rsidRPr="00E83DA2">
              <w:rPr>
                <w:rFonts w:ascii="Gill Sans MT" w:hAnsi="Gill Sans MT"/>
              </w:rPr>
              <w:t>25,890</w:t>
            </w:r>
          </w:p>
        </w:tc>
        <w:tc>
          <w:tcPr>
            <w:tcW w:w="925" w:type="dxa"/>
          </w:tcPr>
          <w:p w:rsidR="00756B53" w:rsidRPr="00E83DA2" w:rsidRDefault="00756B53" w:rsidP="008D2E39">
            <w:pPr>
              <w:pStyle w:val="Para0"/>
              <w:rPr>
                <w:rFonts w:ascii="Gill Sans MT" w:hAnsi="Gill Sans MT"/>
              </w:rPr>
            </w:pPr>
            <w:r w:rsidRPr="00E83DA2">
              <w:rPr>
                <w:rFonts w:ascii="Gill Sans MT" w:hAnsi="Gill Sans MT"/>
              </w:rPr>
              <w:t>2011</w:t>
            </w:r>
          </w:p>
        </w:tc>
        <w:tc>
          <w:tcPr>
            <w:tcW w:w="731" w:type="dxa"/>
          </w:tcPr>
          <w:p w:rsidR="00756B53" w:rsidRPr="00E83DA2" w:rsidRDefault="00756B53" w:rsidP="008D2E39">
            <w:pPr>
              <w:pStyle w:val="Para0"/>
              <w:rPr>
                <w:rFonts w:ascii="Gill Sans MT" w:hAnsi="Gill Sans MT"/>
              </w:rPr>
            </w:pPr>
            <w:r w:rsidRPr="00E83DA2">
              <w:rPr>
                <w:rFonts w:ascii="Gill Sans MT" w:hAnsi="Gill Sans MT"/>
              </w:rPr>
              <w:t>8.5</w:t>
            </w:r>
          </w:p>
        </w:tc>
        <w:tc>
          <w:tcPr>
            <w:tcW w:w="1649" w:type="dxa"/>
          </w:tcPr>
          <w:p w:rsidR="00756B53" w:rsidRPr="00E83DA2" w:rsidRDefault="00756B53" w:rsidP="008D2E39">
            <w:pPr>
              <w:pStyle w:val="Para0"/>
              <w:rPr>
                <w:rFonts w:ascii="Gill Sans MT" w:hAnsi="Gill Sans MT"/>
              </w:rPr>
            </w:pPr>
            <w:r w:rsidRPr="00E83DA2">
              <w:rPr>
                <w:rFonts w:ascii="Gill Sans MT" w:hAnsi="Gill Sans MT"/>
              </w:rPr>
              <w:t>2.0 (2005-2011)</w:t>
            </w:r>
          </w:p>
          <w:p w:rsidR="00756B53" w:rsidRPr="00E83DA2" w:rsidRDefault="00756B53" w:rsidP="008D2E39">
            <w:pPr>
              <w:pStyle w:val="Para0"/>
              <w:rPr>
                <w:rFonts w:ascii="Gill Sans MT" w:hAnsi="Gill Sans MT"/>
              </w:rPr>
            </w:pPr>
          </w:p>
        </w:tc>
        <w:tc>
          <w:tcPr>
            <w:tcW w:w="2441" w:type="dxa"/>
          </w:tcPr>
          <w:p w:rsidR="00756B53" w:rsidRPr="00E83DA2" w:rsidRDefault="00756B53" w:rsidP="008D2E39">
            <w:pPr>
              <w:pStyle w:val="Para0"/>
              <w:rPr>
                <w:rFonts w:ascii="Gill Sans MT" w:hAnsi="Gill Sans MT"/>
              </w:rPr>
            </w:pPr>
            <w:r w:rsidRPr="00E83DA2">
              <w:rPr>
                <w:rFonts w:ascii="Gill Sans MT" w:hAnsi="Gill Sans MT"/>
              </w:rPr>
              <w:t>High utilisation left lane south (59%), High utilisation left lane north (61%)</w:t>
            </w:r>
          </w:p>
        </w:tc>
      </w:tr>
      <w:tr w:rsidR="00756B53" w:rsidRPr="00E83DA2" w:rsidTr="00E83DA2">
        <w:tc>
          <w:tcPr>
            <w:tcW w:w="1559" w:type="dxa"/>
          </w:tcPr>
          <w:p w:rsidR="00756B53" w:rsidRPr="00E83DA2" w:rsidRDefault="00756B53" w:rsidP="008D2E39">
            <w:pPr>
              <w:pStyle w:val="Para0"/>
              <w:rPr>
                <w:rFonts w:ascii="Gill Sans MT" w:hAnsi="Gill Sans MT"/>
              </w:rPr>
            </w:pPr>
            <w:r w:rsidRPr="00E83DA2">
              <w:rPr>
                <w:rFonts w:ascii="Gill Sans MT" w:hAnsi="Gill Sans MT"/>
              </w:rPr>
              <w:t>Bass Highway- W of Midland Highway</w:t>
            </w:r>
          </w:p>
        </w:tc>
        <w:tc>
          <w:tcPr>
            <w:tcW w:w="887" w:type="dxa"/>
          </w:tcPr>
          <w:p w:rsidR="00756B53" w:rsidRPr="00E83DA2" w:rsidRDefault="00756B53" w:rsidP="008D2E39">
            <w:pPr>
              <w:pStyle w:val="Para0"/>
              <w:rPr>
                <w:rFonts w:ascii="Gill Sans MT" w:hAnsi="Gill Sans MT"/>
              </w:rPr>
            </w:pPr>
            <w:r w:rsidRPr="00E83DA2">
              <w:rPr>
                <w:rFonts w:ascii="Gill Sans MT" w:hAnsi="Gill Sans MT"/>
              </w:rPr>
              <w:t>18,639</w:t>
            </w:r>
          </w:p>
        </w:tc>
        <w:tc>
          <w:tcPr>
            <w:tcW w:w="925" w:type="dxa"/>
          </w:tcPr>
          <w:p w:rsidR="00756B53" w:rsidRPr="00E83DA2" w:rsidRDefault="00756B53" w:rsidP="008D2E39">
            <w:pPr>
              <w:pStyle w:val="Para0"/>
              <w:rPr>
                <w:rFonts w:ascii="Gill Sans MT" w:hAnsi="Gill Sans MT"/>
              </w:rPr>
            </w:pPr>
            <w:r w:rsidRPr="00E83DA2">
              <w:rPr>
                <w:rFonts w:ascii="Gill Sans MT" w:hAnsi="Gill Sans MT"/>
              </w:rPr>
              <w:t>2010</w:t>
            </w:r>
          </w:p>
        </w:tc>
        <w:tc>
          <w:tcPr>
            <w:tcW w:w="731" w:type="dxa"/>
          </w:tcPr>
          <w:p w:rsidR="00756B53" w:rsidRPr="00E83DA2" w:rsidRDefault="00756B53" w:rsidP="008D2E39">
            <w:pPr>
              <w:pStyle w:val="Para0"/>
              <w:rPr>
                <w:rFonts w:ascii="Gill Sans MT" w:hAnsi="Gill Sans MT"/>
              </w:rPr>
            </w:pPr>
            <w:r w:rsidRPr="00E83DA2">
              <w:rPr>
                <w:rFonts w:ascii="Gill Sans MT" w:hAnsi="Gill Sans MT"/>
              </w:rPr>
              <w:t>8.8</w:t>
            </w:r>
          </w:p>
        </w:tc>
        <w:tc>
          <w:tcPr>
            <w:tcW w:w="1649" w:type="dxa"/>
          </w:tcPr>
          <w:p w:rsidR="00756B53" w:rsidRPr="00E83DA2" w:rsidRDefault="00756B53" w:rsidP="008D2E39">
            <w:pPr>
              <w:pStyle w:val="Para0"/>
              <w:rPr>
                <w:rFonts w:ascii="Gill Sans MT" w:hAnsi="Gill Sans MT"/>
              </w:rPr>
            </w:pPr>
            <w:r w:rsidRPr="00E83DA2">
              <w:rPr>
                <w:rFonts w:ascii="Gill Sans MT" w:hAnsi="Gill Sans MT"/>
              </w:rPr>
              <w:t>1.5 (2005-2010)</w:t>
            </w:r>
          </w:p>
        </w:tc>
        <w:tc>
          <w:tcPr>
            <w:tcW w:w="2441" w:type="dxa"/>
          </w:tcPr>
          <w:p w:rsidR="00756B53" w:rsidRPr="00E83DA2" w:rsidRDefault="00756B53" w:rsidP="008D2E39">
            <w:pPr>
              <w:pStyle w:val="Para0"/>
              <w:rPr>
                <w:rFonts w:ascii="Gill Sans MT" w:hAnsi="Gill Sans MT"/>
              </w:rPr>
            </w:pPr>
            <w:r w:rsidRPr="00E83DA2">
              <w:rPr>
                <w:rFonts w:ascii="Gill Sans MT" w:hAnsi="Gill Sans MT"/>
              </w:rPr>
              <w:t>High utilisation left lane east (82%), high utilisation left lane west (79%).</w:t>
            </w:r>
          </w:p>
        </w:tc>
      </w:tr>
      <w:tr w:rsidR="00756B53" w:rsidRPr="00E83DA2" w:rsidTr="00E83DA2">
        <w:tc>
          <w:tcPr>
            <w:tcW w:w="1559" w:type="dxa"/>
          </w:tcPr>
          <w:p w:rsidR="00756B53" w:rsidRPr="00E83DA2" w:rsidRDefault="00756B53" w:rsidP="008D2E39">
            <w:pPr>
              <w:pStyle w:val="Para0"/>
              <w:rPr>
                <w:rFonts w:ascii="Gill Sans MT" w:hAnsi="Gill Sans MT"/>
              </w:rPr>
            </w:pPr>
            <w:r w:rsidRPr="00E83DA2">
              <w:rPr>
                <w:rFonts w:ascii="Gill Sans MT" w:hAnsi="Gill Sans MT"/>
              </w:rPr>
              <w:t>East Tamar Highway- Charles Street Bridge</w:t>
            </w:r>
          </w:p>
        </w:tc>
        <w:tc>
          <w:tcPr>
            <w:tcW w:w="887" w:type="dxa"/>
          </w:tcPr>
          <w:p w:rsidR="00756B53" w:rsidRPr="00E83DA2" w:rsidRDefault="00756B53" w:rsidP="008D2E39">
            <w:pPr>
              <w:pStyle w:val="Para0"/>
              <w:rPr>
                <w:rFonts w:ascii="Gill Sans MT" w:hAnsi="Gill Sans MT"/>
              </w:rPr>
            </w:pPr>
            <w:r w:rsidRPr="00E83DA2">
              <w:rPr>
                <w:rFonts w:ascii="Gill Sans MT" w:hAnsi="Gill Sans MT"/>
              </w:rPr>
              <w:t>30,818</w:t>
            </w:r>
          </w:p>
        </w:tc>
        <w:tc>
          <w:tcPr>
            <w:tcW w:w="925" w:type="dxa"/>
          </w:tcPr>
          <w:p w:rsidR="00756B53" w:rsidRPr="00E83DA2" w:rsidRDefault="00756B53" w:rsidP="008D2E39">
            <w:pPr>
              <w:pStyle w:val="Para0"/>
              <w:rPr>
                <w:rFonts w:ascii="Gill Sans MT" w:hAnsi="Gill Sans MT"/>
              </w:rPr>
            </w:pPr>
            <w:r w:rsidRPr="00E83DA2">
              <w:rPr>
                <w:rFonts w:ascii="Gill Sans MT" w:hAnsi="Gill Sans MT"/>
              </w:rPr>
              <w:t>2010</w:t>
            </w:r>
          </w:p>
        </w:tc>
        <w:tc>
          <w:tcPr>
            <w:tcW w:w="731" w:type="dxa"/>
          </w:tcPr>
          <w:p w:rsidR="00756B53" w:rsidRPr="00E83DA2" w:rsidRDefault="00756B53" w:rsidP="008D2E39">
            <w:pPr>
              <w:pStyle w:val="Para0"/>
              <w:rPr>
                <w:rFonts w:ascii="Gill Sans MT" w:hAnsi="Gill Sans MT"/>
              </w:rPr>
            </w:pPr>
            <w:r w:rsidRPr="00E83DA2">
              <w:rPr>
                <w:rFonts w:ascii="Gill Sans MT" w:hAnsi="Gill Sans MT"/>
              </w:rPr>
              <w:t>14.7</w:t>
            </w:r>
          </w:p>
        </w:tc>
        <w:tc>
          <w:tcPr>
            <w:tcW w:w="1649" w:type="dxa"/>
          </w:tcPr>
          <w:p w:rsidR="00756B53" w:rsidRPr="00E83DA2" w:rsidRDefault="00756B53" w:rsidP="008D2E39">
            <w:pPr>
              <w:pStyle w:val="Para0"/>
              <w:rPr>
                <w:rFonts w:ascii="Gill Sans MT" w:hAnsi="Gill Sans MT"/>
              </w:rPr>
            </w:pPr>
            <w:r w:rsidRPr="00E83DA2">
              <w:rPr>
                <w:rFonts w:ascii="Gill Sans MT" w:hAnsi="Gill Sans MT"/>
              </w:rPr>
              <w:t>0.4% (2003-2010)</w:t>
            </w:r>
          </w:p>
        </w:tc>
        <w:tc>
          <w:tcPr>
            <w:tcW w:w="2441" w:type="dxa"/>
          </w:tcPr>
          <w:p w:rsidR="00756B53" w:rsidRPr="00E83DA2" w:rsidRDefault="00756B53" w:rsidP="008D2E39">
            <w:pPr>
              <w:pStyle w:val="Para0"/>
              <w:rPr>
                <w:rFonts w:ascii="Gill Sans MT" w:hAnsi="Gill Sans MT"/>
              </w:rPr>
            </w:pPr>
          </w:p>
        </w:tc>
      </w:tr>
      <w:tr w:rsidR="00756B53" w:rsidRPr="00E83DA2" w:rsidTr="00E83DA2">
        <w:tc>
          <w:tcPr>
            <w:tcW w:w="1559" w:type="dxa"/>
          </w:tcPr>
          <w:p w:rsidR="00756B53" w:rsidRPr="00E83DA2" w:rsidRDefault="00756B53" w:rsidP="008D2E39">
            <w:pPr>
              <w:pStyle w:val="Para0"/>
              <w:rPr>
                <w:rFonts w:ascii="Gill Sans MT" w:hAnsi="Gill Sans MT"/>
              </w:rPr>
            </w:pPr>
            <w:r w:rsidRPr="00E83DA2">
              <w:rPr>
                <w:rFonts w:ascii="Gill Sans MT" w:hAnsi="Gill Sans MT"/>
              </w:rPr>
              <w:lastRenderedPageBreak/>
              <w:t>East Tamar Highway- N of Forster Street</w:t>
            </w:r>
          </w:p>
        </w:tc>
        <w:tc>
          <w:tcPr>
            <w:tcW w:w="887" w:type="dxa"/>
          </w:tcPr>
          <w:p w:rsidR="00756B53" w:rsidRPr="00E83DA2" w:rsidRDefault="00756B53" w:rsidP="008D2E39">
            <w:pPr>
              <w:pStyle w:val="Para0"/>
              <w:rPr>
                <w:rFonts w:ascii="Gill Sans MT" w:hAnsi="Gill Sans MT"/>
              </w:rPr>
            </w:pPr>
            <w:r w:rsidRPr="00E83DA2">
              <w:rPr>
                <w:rFonts w:ascii="Gill Sans MT" w:hAnsi="Gill Sans MT"/>
              </w:rPr>
              <w:t>25,612</w:t>
            </w:r>
          </w:p>
        </w:tc>
        <w:tc>
          <w:tcPr>
            <w:tcW w:w="925" w:type="dxa"/>
          </w:tcPr>
          <w:p w:rsidR="00756B53" w:rsidRPr="00E83DA2" w:rsidRDefault="00756B53" w:rsidP="008D2E39">
            <w:pPr>
              <w:pStyle w:val="Para0"/>
              <w:rPr>
                <w:rFonts w:ascii="Gill Sans MT" w:hAnsi="Gill Sans MT"/>
              </w:rPr>
            </w:pPr>
            <w:r w:rsidRPr="00E83DA2">
              <w:rPr>
                <w:rFonts w:ascii="Gill Sans MT" w:hAnsi="Gill Sans MT"/>
              </w:rPr>
              <w:t>2010</w:t>
            </w:r>
          </w:p>
        </w:tc>
        <w:tc>
          <w:tcPr>
            <w:tcW w:w="731" w:type="dxa"/>
          </w:tcPr>
          <w:p w:rsidR="00756B53" w:rsidRPr="00E83DA2" w:rsidRDefault="00756B53" w:rsidP="008D2E39">
            <w:pPr>
              <w:pStyle w:val="Para0"/>
              <w:rPr>
                <w:rFonts w:ascii="Gill Sans MT" w:hAnsi="Gill Sans MT"/>
              </w:rPr>
            </w:pPr>
            <w:r w:rsidRPr="00E83DA2">
              <w:rPr>
                <w:rFonts w:ascii="Gill Sans MT" w:hAnsi="Gill Sans MT"/>
              </w:rPr>
              <w:t>7.1</w:t>
            </w:r>
          </w:p>
        </w:tc>
        <w:tc>
          <w:tcPr>
            <w:tcW w:w="1649" w:type="dxa"/>
          </w:tcPr>
          <w:p w:rsidR="00756B53" w:rsidRPr="00E83DA2" w:rsidRDefault="00756B53" w:rsidP="008D2E39">
            <w:pPr>
              <w:pStyle w:val="Para0"/>
              <w:rPr>
                <w:rFonts w:ascii="Gill Sans MT" w:hAnsi="Gill Sans MT"/>
              </w:rPr>
            </w:pPr>
            <w:r w:rsidRPr="00E83DA2">
              <w:rPr>
                <w:rFonts w:ascii="Gill Sans MT" w:hAnsi="Gill Sans MT"/>
              </w:rPr>
              <w:t>-0.4 (2004-2010)</w:t>
            </w:r>
          </w:p>
        </w:tc>
        <w:tc>
          <w:tcPr>
            <w:tcW w:w="2441" w:type="dxa"/>
          </w:tcPr>
          <w:p w:rsidR="00756B53" w:rsidRPr="00E83DA2" w:rsidRDefault="00756B53" w:rsidP="008D2E39">
            <w:pPr>
              <w:pStyle w:val="Para0"/>
              <w:rPr>
                <w:rFonts w:ascii="Gill Sans MT" w:hAnsi="Gill Sans MT"/>
              </w:rPr>
            </w:pPr>
            <w:r w:rsidRPr="00E83DA2">
              <w:rPr>
                <w:rFonts w:ascii="Gill Sans MT" w:hAnsi="Gill Sans MT"/>
              </w:rPr>
              <w:t>High utilisation left lane south (63%),</w:t>
            </w:r>
          </w:p>
        </w:tc>
      </w:tr>
      <w:tr w:rsidR="00756B53" w:rsidRPr="00E83DA2" w:rsidTr="00E83DA2">
        <w:tc>
          <w:tcPr>
            <w:tcW w:w="1559" w:type="dxa"/>
          </w:tcPr>
          <w:p w:rsidR="00756B53" w:rsidRPr="00E83DA2" w:rsidRDefault="00756B53" w:rsidP="008D2E39">
            <w:pPr>
              <w:pStyle w:val="Para0"/>
              <w:rPr>
                <w:rFonts w:ascii="Gill Sans MT" w:hAnsi="Gill Sans MT"/>
              </w:rPr>
            </w:pPr>
            <w:r w:rsidRPr="00E83DA2">
              <w:rPr>
                <w:rFonts w:ascii="Gill Sans MT" w:hAnsi="Gill Sans MT"/>
              </w:rPr>
              <w:t>West Tamar Highway- 358m N of Margaret St</w:t>
            </w:r>
          </w:p>
        </w:tc>
        <w:tc>
          <w:tcPr>
            <w:tcW w:w="887" w:type="dxa"/>
          </w:tcPr>
          <w:p w:rsidR="00756B53" w:rsidRPr="00E83DA2" w:rsidRDefault="00756B53" w:rsidP="008D2E39">
            <w:pPr>
              <w:pStyle w:val="Para0"/>
              <w:rPr>
                <w:rFonts w:ascii="Gill Sans MT" w:hAnsi="Gill Sans MT"/>
              </w:rPr>
            </w:pPr>
            <w:r w:rsidRPr="00E83DA2">
              <w:rPr>
                <w:rFonts w:ascii="Gill Sans MT" w:hAnsi="Gill Sans MT"/>
              </w:rPr>
              <w:t>24,648</w:t>
            </w:r>
          </w:p>
        </w:tc>
        <w:tc>
          <w:tcPr>
            <w:tcW w:w="925" w:type="dxa"/>
          </w:tcPr>
          <w:p w:rsidR="00756B53" w:rsidRPr="00E83DA2" w:rsidRDefault="00756B53" w:rsidP="008D2E39">
            <w:pPr>
              <w:pStyle w:val="Para0"/>
              <w:rPr>
                <w:rFonts w:ascii="Gill Sans MT" w:hAnsi="Gill Sans MT"/>
              </w:rPr>
            </w:pPr>
            <w:r w:rsidRPr="00E83DA2">
              <w:rPr>
                <w:rFonts w:ascii="Gill Sans MT" w:hAnsi="Gill Sans MT"/>
              </w:rPr>
              <w:t>2011</w:t>
            </w:r>
          </w:p>
        </w:tc>
        <w:tc>
          <w:tcPr>
            <w:tcW w:w="731" w:type="dxa"/>
          </w:tcPr>
          <w:p w:rsidR="00756B53" w:rsidRPr="00E83DA2" w:rsidRDefault="00756B53" w:rsidP="008D2E39">
            <w:pPr>
              <w:pStyle w:val="Para0"/>
              <w:rPr>
                <w:rFonts w:ascii="Gill Sans MT" w:hAnsi="Gill Sans MT"/>
              </w:rPr>
            </w:pPr>
            <w:r w:rsidRPr="00E83DA2">
              <w:rPr>
                <w:rFonts w:ascii="Gill Sans MT" w:hAnsi="Gill Sans MT"/>
              </w:rPr>
              <w:t>5.1</w:t>
            </w:r>
          </w:p>
        </w:tc>
        <w:tc>
          <w:tcPr>
            <w:tcW w:w="1649" w:type="dxa"/>
          </w:tcPr>
          <w:p w:rsidR="00756B53" w:rsidRPr="00E83DA2" w:rsidRDefault="00756B53" w:rsidP="008D2E39">
            <w:pPr>
              <w:pStyle w:val="Para0"/>
              <w:rPr>
                <w:rFonts w:ascii="Gill Sans MT" w:hAnsi="Gill Sans MT"/>
              </w:rPr>
            </w:pPr>
            <w:r w:rsidRPr="00E83DA2">
              <w:rPr>
                <w:rFonts w:ascii="Gill Sans MT" w:hAnsi="Gill Sans MT"/>
              </w:rPr>
              <w:t>1.5 (2005-2011)</w:t>
            </w:r>
          </w:p>
        </w:tc>
        <w:tc>
          <w:tcPr>
            <w:tcW w:w="2441" w:type="dxa"/>
          </w:tcPr>
          <w:p w:rsidR="00756B53" w:rsidRPr="00E83DA2" w:rsidRDefault="00756B53" w:rsidP="008D2E39">
            <w:pPr>
              <w:pStyle w:val="Para0"/>
              <w:rPr>
                <w:rFonts w:ascii="Gill Sans MT" w:hAnsi="Gill Sans MT"/>
              </w:rPr>
            </w:pPr>
            <w:r w:rsidRPr="00E83DA2">
              <w:rPr>
                <w:rFonts w:ascii="Gill Sans MT" w:hAnsi="Gill Sans MT"/>
              </w:rPr>
              <w:t>High utilisation left lane north (59%), high utilisation right lane south (56%).</w:t>
            </w:r>
          </w:p>
        </w:tc>
      </w:tr>
      <w:tr w:rsidR="00756B53" w:rsidRPr="00E83DA2" w:rsidTr="00E83DA2">
        <w:trPr>
          <w:trHeight w:hRule="exact" w:val="907"/>
        </w:trPr>
        <w:tc>
          <w:tcPr>
            <w:tcW w:w="1559" w:type="dxa"/>
          </w:tcPr>
          <w:p w:rsidR="00756B53" w:rsidRPr="00E83DA2" w:rsidRDefault="00756B53" w:rsidP="008D2E39">
            <w:pPr>
              <w:pStyle w:val="Para0"/>
              <w:rPr>
                <w:rFonts w:ascii="Gill Sans MT" w:hAnsi="Gill Sans MT"/>
              </w:rPr>
            </w:pPr>
            <w:r w:rsidRPr="00E83DA2">
              <w:rPr>
                <w:rFonts w:ascii="Gill Sans MT" w:hAnsi="Gill Sans MT"/>
              </w:rPr>
              <w:t xml:space="preserve">Tasman Highway - W of </w:t>
            </w:r>
            <w:proofErr w:type="spellStart"/>
            <w:r w:rsidRPr="00E83DA2">
              <w:rPr>
                <w:rFonts w:ascii="Gill Sans MT" w:hAnsi="Gill Sans MT"/>
              </w:rPr>
              <w:t>Killafaddy</w:t>
            </w:r>
            <w:proofErr w:type="spellEnd"/>
            <w:r w:rsidRPr="00E83DA2">
              <w:rPr>
                <w:rFonts w:ascii="Gill Sans MT" w:hAnsi="Gill Sans MT"/>
              </w:rPr>
              <w:t xml:space="preserve"> Rd</w:t>
            </w:r>
          </w:p>
        </w:tc>
        <w:tc>
          <w:tcPr>
            <w:tcW w:w="887" w:type="dxa"/>
          </w:tcPr>
          <w:p w:rsidR="00756B53" w:rsidRPr="00E83DA2" w:rsidRDefault="00756B53" w:rsidP="008D2E39">
            <w:pPr>
              <w:pStyle w:val="Para0"/>
              <w:rPr>
                <w:rFonts w:ascii="Gill Sans MT" w:hAnsi="Gill Sans MT"/>
              </w:rPr>
            </w:pPr>
            <w:r w:rsidRPr="00E83DA2">
              <w:rPr>
                <w:rFonts w:ascii="Gill Sans MT" w:hAnsi="Gill Sans MT"/>
              </w:rPr>
              <w:t>9,175</w:t>
            </w:r>
          </w:p>
        </w:tc>
        <w:tc>
          <w:tcPr>
            <w:tcW w:w="925" w:type="dxa"/>
          </w:tcPr>
          <w:p w:rsidR="00756B53" w:rsidRPr="00E83DA2" w:rsidRDefault="00756B53" w:rsidP="008D2E39">
            <w:pPr>
              <w:pStyle w:val="Para0"/>
              <w:rPr>
                <w:rFonts w:ascii="Gill Sans MT" w:hAnsi="Gill Sans MT"/>
              </w:rPr>
            </w:pPr>
            <w:r w:rsidRPr="00E83DA2">
              <w:rPr>
                <w:rFonts w:ascii="Gill Sans MT" w:hAnsi="Gill Sans MT"/>
              </w:rPr>
              <w:t>2011</w:t>
            </w:r>
          </w:p>
        </w:tc>
        <w:tc>
          <w:tcPr>
            <w:tcW w:w="731" w:type="dxa"/>
          </w:tcPr>
          <w:p w:rsidR="00756B53" w:rsidRPr="00E83DA2" w:rsidRDefault="00756B53" w:rsidP="008D2E39">
            <w:pPr>
              <w:pStyle w:val="Para0"/>
              <w:rPr>
                <w:rFonts w:ascii="Gill Sans MT" w:hAnsi="Gill Sans MT"/>
              </w:rPr>
            </w:pPr>
            <w:r w:rsidRPr="00E83DA2">
              <w:rPr>
                <w:rFonts w:ascii="Gill Sans MT" w:hAnsi="Gill Sans MT"/>
              </w:rPr>
              <w:t>4.6</w:t>
            </w:r>
          </w:p>
        </w:tc>
        <w:tc>
          <w:tcPr>
            <w:tcW w:w="1649" w:type="dxa"/>
          </w:tcPr>
          <w:p w:rsidR="00756B53" w:rsidRPr="00E83DA2" w:rsidRDefault="00756B53" w:rsidP="008D2E39">
            <w:pPr>
              <w:pStyle w:val="Para0"/>
              <w:rPr>
                <w:rFonts w:ascii="Gill Sans MT" w:hAnsi="Gill Sans MT"/>
              </w:rPr>
            </w:pPr>
            <w:r w:rsidRPr="00E83DA2">
              <w:rPr>
                <w:rFonts w:ascii="Gill Sans MT" w:hAnsi="Gill Sans MT"/>
              </w:rPr>
              <w:t>2.0 (2005-2011)</w:t>
            </w:r>
          </w:p>
        </w:tc>
        <w:tc>
          <w:tcPr>
            <w:tcW w:w="2441" w:type="dxa"/>
          </w:tcPr>
          <w:p w:rsidR="00756B53" w:rsidRPr="00E83DA2" w:rsidRDefault="00756B53" w:rsidP="008D2E39">
            <w:pPr>
              <w:pStyle w:val="Para0"/>
              <w:rPr>
                <w:rFonts w:ascii="Gill Sans MT" w:hAnsi="Gill Sans MT"/>
              </w:rPr>
            </w:pPr>
          </w:p>
        </w:tc>
      </w:tr>
      <w:tr w:rsidR="00756B53" w:rsidRPr="00E83DA2" w:rsidTr="00E83DA2">
        <w:trPr>
          <w:trHeight w:hRule="exact" w:val="1304"/>
        </w:trPr>
        <w:tc>
          <w:tcPr>
            <w:tcW w:w="1559" w:type="dxa"/>
          </w:tcPr>
          <w:p w:rsidR="00756B53" w:rsidRPr="00E83DA2" w:rsidRDefault="00756B53" w:rsidP="008D2E39">
            <w:pPr>
              <w:pStyle w:val="Para0"/>
              <w:rPr>
                <w:rFonts w:ascii="Gill Sans MT" w:hAnsi="Gill Sans MT"/>
              </w:rPr>
            </w:pPr>
            <w:proofErr w:type="spellStart"/>
            <w:r w:rsidRPr="00E83DA2">
              <w:rPr>
                <w:rFonts w:ascii="Gill Sans MT" w:hAnsi="Gill Sans MT"/>
              </w:rPr>
              <w:t>Blessington</w:t>
            </w:r>
            <w:proofErr w:type="spellEnd"/>
            <w:r w:rsidRPr="00E83DA2">
              <w:rPr>
                <w:rFonts w:ascii="Gill Sans MT" w:hAnsi="Gill Sans MT"/>
              </w:rPr>
              <w:t xml:space="preserve"> Main Road, S of Tasman Highway</w:t>
            </w:r>
          </w:p>
        </w:tc>
        <w:tc>
          <w:tcPr>
            <w:tcW w:w="887" w:type="dxa"/>
          </w:tcPr>
          <w:p w:rsidR="00756B53" w:rsidRPr="00E83DA2" w:rsidRDefault="00756B53" w:rsidP="008D2E39">
            <w:pPr>
              <w:pStyle w:val="Para0"/>
              <w:rPr>
                <w:rFonts w:ascii="Gill Sans MT" w:hAnsi="Gill Sans MT"/>
              </w:rPr>
            </w:pPr>
            <w:r w:rsidRPr="00E83DA2">
              <w:rPr>
                <w:rFonts w:ascii="Gill Sans MT" w:hAnsi="Gill Sans MT"/>
              </w:rPr>
              <w:t>5,941</w:t>
            </w:r>
          </w:p>
        </w:tc>
        <w:tc>
          <w:tcPr>
            <w:tcW w:w="925" w:type="dxa"/>
          </w:tcPr>
          <w:p w:rsidR="00756B53" w:rsidRPr="00E83DA2" w:rsidRDefault="00756B53" w:rsidP="008D2E39">
            <w:pPr>
              <w:pStyle w:val="Para0"/>
              <w:rPr>
                <w:rFonts w:ascii="Gill Sans MT" w:hAnsi="Gill Sans MT"/>
              </w:rPr>
            </w:pPr>
            <w:r w:rsidRPr="00E83DA2">
              <w:rPr>
                <w:rFonts w:ascii="Gill Sans MT" w:hAnsi="Gill Sans MT"/>
              </w:rPr>
              <w:t>2009</w:t>
            </w:r>
          </w:p>
        </w:tc>
        <w:tc>
          <w:tcPr>
            <w:tcW w:w="731" w:type="dxa"/>
          </w:tcPr>
          <w:p w:rsidR="00756B53" w:rsidRPr="00E83DA2" w:rsidRDefault="00756B53" w:rsidP="008D2E39">
            <w:pPr>
              <w:pStyle w:val="Para0"/>
              <w:rPr>
                <w:rFonts w:ascii="Gill Sans MT" w:hAnsi="Gill Sans MT"/>
              </w:rPr>
            </w:pPr>
          </w:p>
        </w:tc>
        <w:tc>
          <w:tcPr>
            <w:tcW w:w="1649" w:type="dxa"/>
          </w:tcPr>
          <w:p w:rsidR="00756B53" w:rsidRPr="00E83DA2" w:rsidRDefault="00756B53" w:rsidP="008D2E39">
            <w:pPr>
              <w:pStyle w:val="Para0"/>
              <w:rPr>
                <w:rFonts w:ascii="Gill Sans MT" w:hAnsi="Gill Sans MT"/>
              </w:rPr>
            </w:pPr>
          </w:p>
        </w:tc>
        <w:tc>
          <w:tcPr>
            <w:tcW w:w="2441" w:type="dxa"/>
          </w:tcPr>
          <w:p w:rsidR="00756B53" w:rsidRPr="00E83DA2" w:rsidRDefault="00756B53" w:rsidP="008D2E39">
            <w:pPr>
              <w:pStyle w:val="Para0"/>
              <w:rPr>
                <w:rFonts w:ascii="Gill Sans MT" w:hAnsi="Gill Sans MT"/>
              </w:rPr>
            </w:pPr>
          </w:p>
        </w:tc>
      </w:tr>
      <w:tr w:rsidR="00756B53" w:rsidRPr="00E83DA2" w:rsidTr="00E83DA2">
        <w:trPr>
          <w:trHeight w:hRule="exact" w:val="1304"/>
        </w:trPr>
        <w:tc>
          <w:tcPr>
            <w:tcW w:w="1559" w:type="dxa"/>
          </w:tcPr>
          <w:p w:rsidR="00756B53" w:rsidRPr="00E83DA2" w:rsidRDefault="00756B53" w:rsidP="008D2E39">
            <w:pPr>
              <w:pStyle w:val="Para0"/>
              <w:rPr>
                <w:rFonts w:ascii="Gill Sans MT" w:hAnsi="Gill Sans MT"/>
              </w:rPr>
            </w:pPr>
            <w:r w:rsidRPr="00E83DA2">
              <w:rPr>
                <w:rFonts w:ascii="Gill Sans MT" w:hAnsi="Gill Sans MT"/>
              </w:rPr>
              <w:t>Westbury Road – Mt Leslie Rd to Mace St</w:t>
            </w:r>
          </w:p>
        </w:tc>
        <w:tc>
          <w:tcPr>
            <w:tcW w:w="887" w:type="dxa"/>
          </w:tcPr>
          <w:p w:rsidR="00756B53" w:rsidRPr="00E83DA2" w:rsidRDefault="00756B53" w:rsidP="008D2E39">
            <w:pPr>
              <w:pStyle w:val="Para0"/>
              <w:rPr>
                <w:rFonts w:ascii="Gill Sans MT" w:hAnsi="Gill Sans MT"/>
              </w:rPr>
            </w:pPr>
            <w:r w:rsidRPr="00E83DA2">
              <w:rPr>
                <w:rFonts w:ascii="Gill Sans MT" w:hAnsi="Gill Sans MT"/>
              </w:rPr>
              <w:t>14,614</w:t>
            </w:r>
          </w:p>
        </w:tc>
        <w:tc>
          <w:tcPr>
            <w:tcW w:w="925" w:type="dxa"/>
          </w:tcPr>
          <w:p w:rsidR="00756B53" w:rsidRPr="00E83DA2" w:rsidRDefault="00756B53" w:rsidP="008D2E39">
            <w:pPr>
              <w:pStyle w:val="Para0"/>
              <w:rPr>
                <w:rFonts w:ascii="Gill Sans MT" w:hAnsi="Gill Sans MT"/>
              </w:rPr>
            </w:pPr>
            <w:r w:rsidRPr="00E83DA2">
              <w:rPr>
                <w:rFonts w:ascii="Gill Sans MT" w:hAnsi="Gill Sans MT"/>
              </w:rPr>
              <w:t>2010</w:t>
            </w:r>
          </w:p>
        </w:tc>
        <w:tc>
          <w:tcPr>
            <w:tcW w:w="731" w:type="dxa"/>
          </w:tcPr>
          <w:p w:rsidR="00756B53" w:rsidRPr="00E83DA2" w:rsidRDefault="00756B53" w:rsidP="008D2E39">
            <w:pPr>
              <w:pStyle w:val="Para0"/>
              <w:rPr>
                <w:rFonts w:ascii="Gill Sans MT" w:hAnsi="Gill Sans MT"/>
              </w:rPr>
            </w:pPr>
          </w:p>
        </w:tc>
        <w:tc>
          <w:tcPr>
            <w:tcW w:w="1649" w:type="dxa"/>
          </w:tcPr>
          <w:p w:rsidR="00756B53" w:rsidRPr="00E83DA2" w:rsidRDefault="00756B53" w:rsidP="008D2E39">
            <w:pPr>
              <w:pStyle w:val="Para0"/>
              <w:rPr>
                <w:rFonts w:ascii="Gill Sans MT" w:hAnsi="Gill Sans MT"/>
              </w:rPr>
            </w:pPr>
          </w:p>
        </w:tc>
        <w:tc>
          <w:tcPr>
            <w:tcW w:w="2441" w:type="dxa"/>
          </w:tcPr>
          <w:p w:rsidR="00756B53" w:rsidRPr="00E83DA2" w:rsidRDefault="00756B53" w:rsidP="008D2E39">
            <w:pPr>
              <w:pStyle w:val="Para0"/>
              <w:rPr>
                <w:rFonts w:ascii="Gill Sans MT" w:hAnsi="Gill Sans MT"/>
              </w:rPr>
            </w:pPr>
          </w:p>
        </w:tc>
      </w:tr>
      <w:tr w:rsidR="00756B53" w:rsidRPr="00E83DA2" w:rsidTr="00E83DA2">
        <w:trPr>
          <w:trHeight w:hRule="exact" w:val="1304"/>
        </w:trPr>
        <w:tc>
          <w:tcPr>
            <w:tcW w:w="1559" w:type="dxa"/>
          </w:tcPr>
          <w:p w:rsidR="00756B53" w:rsidRPr="00E83DA2" w:rsidRDefault="00756B53" w:rsidP="008D2E39">
            <w:pPr>
              <w:pStyle w:val="Para0"/>
              <w:rPr>
                <w:rFonts w:ascii="Gill Sans MT" w:hAnsi="Gill Sans MT"/>
              </w:rPr>
            </w:pPr>
            <w:r w:rsidRPr="00E83DA2">
              <w:rPr>
                <w:rFonts w:ascii="Gill Sans MT" w:hAnsi="Gill Sans MT"/>
              </w:rPr>
              <w:t>Country Club Avenue – E of Cheltenham Way</w:t>
            </w:r>
          </w:p>
        </w:tc>
        <w:tc>
          <w:tcPr>
            <w:tcW w:w="887" w:type="dxa"/>
          </w:tcPr>
          <w:p w:rsidR="00756B53" w:rsidRPr="00E83DA2" w:rsidRDefault="00756B53" w:rsidP="008D2E39">
            <w:pPr>
              <w:pStyle w:val="Para0"/>
              <w:rPr>
                <w:rFonts w:ascii="Gill Sans MT" w:hAnsi="Gill Sans MT"/>
              </w:rPr>
            </w:pPr>
            <w:r w:rsidRPr="00E83DA2">
              <w:rPr>
                <w:rFonts w:ascii="Gill Sans MT" w:hAnsi="Gill Sans MT"/>
              </w:rPr>
              <w:t>7,452</w:t>
            </w:r>
          </w:p>
        </w:tc>
        <w:tc>
          <w:tcPr>
            <w:tcW w:w="925" w:type="dxa"/>
          </w:tcPr>
          <w:p w:rsidR="00756B53" w:rsidRPr="00E83DA2" w:rsidRDefault="00756B53" w:rsidP="008D2E39">
            <w:pPr>
              <w:pStyle w:val="Para0"/>
              <w:rPr>
                <w:rFonts w:ascii="Gill Sans MT" w:hAnsi="Gill Sans MT"/>
              </w:rPr>
            </w:pPr>
            <w:r w:rsidRPr="00E83DA2">
              <w:rPr>
                <w:rFonts w:ascii="Gill Sans MT" w:hAnsi="Gill Sans MT"/>
              </w:rPr>
              <w:t>2009</w:t>
            </w:r>
          </w:p>
        </w:tc>
        <w:tc>
          <w:tcPr>
            <w:tcW w:w="731" w:type="dxa"/>
          </w:tcPr>
          <w:p w:rsidR="00756B53" w:rsidRPr="00E83DA2" w:rsidRDefault="00756B53" w:rsidP="008D2E39">
            <w:pPr>
              <w:pStyle w:val="Para0"/>
              <w:rPr>
                <w:rFonts w:ascii="Gill Sans MT" w:hAnsi="Gill Sans MT"/>
              </w:rPr>
            </w:pPr>
          </w:p>
        </w:tc>
        <w:tc>
          <w:tcPr>
            <w:tcW w:w="1649" w:type="dxa"/>
          </w:tcPr>
          <w:p w:rsidR="00756B53" w:rsidRPr="00E83DA2" w:rsidRDefault="00756B53" w:rsidP="008D2E39">
            <w:pPr>
              <w:pStyle w:val="Para0"/>
              <w:rPr>
                <w:rFonts w:ascii="Gill Sans MT" w:hAnsi="Gill Sans MT"/>
              </w:rPr>
            </w:pPr>
          </w:p>
        </w:tc>
        <w:tc>
          <w:tcPr>
            <w:tcW w:w="2441" w:type="dxa"/>
          </w:tcPr>
          <w:p w:rsidR="00756B53" w:rsidRPr="00E83DA2" w:rsidRDefault="00756B53" w:rsidP="008D2E39">
            <w:pPr>
              <w:pStyle w:val="Para0"/>
              <w:rPr>
                <w:rFonts w:ascii="Gill Sans MT" w:hAnsi="Gill Sans MT"/>
              </w:rPr>
            </w:pPr>
          </w:p>
        </w:tc>
      </w:tr>
      <w:tr w:rsidR="009F16CD" w:rsidRPr="00E83DA2" w:rsidTr="00E83DA2">
        <w:trPr>
          <w:trHeight w:hRule="exact" w:val="391"/>
        </w:trPr>
        <w:tc>
          <w:tcPr>
            <w:tcW w:w="8192" w:type="dxa"/>
            <w:gridSpan w:val="6"/>
            <w:vAlign w:val="center"/>
          </w:tcPr>
          <w:p w:rsidR="009F16CD" w:rsidRPr="00E83DA2" w:rsidRDefault="009F16CD" w:rsidP="009F16CD">
            <w:pPr>
              <w:rPr>
                <w:rFonts w:ascii="Gill Sans MT" w:hAnsi="Gill Sans MT"/>
              </w:rPr>
            </w:pPr>
            <w:r w:rsidRPr="00E83DA2">
              <w:rPr>
                <w:rFonts w:ascii="Gill Sans MT" w:hAnsi="Gill Sans MT"/>
              </w:rPr>
              <w:t>*Note:  AADT is Average Annual Daily Traffic</w:t>
            </w:r>
          </w:p>
          <w:p w:rsidR="009F16CD" w:rsidRPr="00E83DA2" w:rsidRDefault="009F16CD" w:rsidP="009F16CD">
            <w:pPr>
              <w:pStyle w:val="Para0"/>
              <w:rPr>
                <w:rFonts w:ascii="Gill Sans MT" w:hAnsi="Gill Sans MT"/>
              </w:rPr>
            </w:pPr>
          </w:p>
        </w:tc>
      </w:tr>
    </w:tbl>
    <w:p w:rsidR="00444FF8" w:rsidRDefault="00444FF8" w:rsidP="00756B53">
      <w:pPr>
        <w:rPr>
          <w:rFonts w:ascii="Gill Sans MT" w:hAnsi="Gill Sans MT"/>
        </w:rPr>
        <w:sectPr w:rsidR="00444FF8" w:rsidSect="00103702">
          <w:headerReference w:type="first" r:id="rId15"/>
          <w:pgSz w:w="11906" w:h="16838"/>
          <w:pgMar w:top="1440" w:right="1797" w:bottom="709" w:left="993" w:header="709" w:footer="544" w:gutter="0"/>
          <w:cols w:space="708"/>
          <w:titlePg/>
          <w:docGrid w:linePitch="360"/>
        </w:sectPr>
      </w:pPr>
    </w:p>
    <w:p w:rsidR="008F0C16" w:rsidRPr="00E83DA2" w:rsidRDefault="008F0C16" w:rsidP="00756B53">
      <w:pPr>
        <w:rPr>
          <w:rFonts w:ascii="Gill Sans MT" w:hAnsi="Gill Sans MT"/>
        </w:rPr>
      </w:pPr>
    </w:p>
    <w:tbl>
      <w:tblPr>
        <w:tblStyle w:val="TableGrid"/>
        <w:tblW w:w="0" w:type="auto"/>
        <w:tblInd w:w="1242" w:type="dxa"/>
        <w:tblLook w:val="04A0"/>
      </w:tblPr>
      <w:tblGrid>
        <w:gridCol w:w="4219"/>
        <w:gridCol w:w="1559"/>
        <w:gridCol w:w="1134"/>
      </w:tblGrid>
      <w:tr w:rsidR="009F16CD" w:rsidRPr="00E83DA2" w:rsidTr="00E83DA2">
        <w:trPr>
          <w:tblHeader/>
        </w:trPr>
        <w:tc>
          <w:tcPr>
            <w:tcW w:w="6912" w:type="dxa"/>
            <w:gridSpan w:val="3"/>
            <w:shd w:val="clear" w:color="auto" w:fill="4F81BD" w:themeFill="accent1"/>
            <w:vAlign w:val="center"/>
          </w:tcPr>
          <w:p w:rsidR="009F16CD" w:rsidRPr="00E83DA2" w:rsidRDefault="00444FF8" w:rsidP="009F16CD">
            <w:pPr>
              <w:pStyle w:val="Para0"/>
              <w:rPr>
                <w:rFonts w:ascii="Gill Sans MT" w:hAnsi="Gill Sans MT"/>
                <w:b/>
                <w:i/>
              </w:rPr>
            </w:pPr>
            <w:r>
              <w:rPr>
                <w:rFonts w:ascii="Gill Sans MT" w:hAnsi="Gill Sans MT"/>
                <w:b/>
                <w:i/>
              </w:rPr>
              <w:t>Figure 11</w:t>
            </w:r>
            <w:r w:rsidR="009F16CD" w:rsidRPr="00E83DA2">
              <w:rPr>
                <w:rFonts w:ascii="Gill Sans MT" w:hAnsi="Gill Sans MT"/>
                <w:b/>
                <w:i/>
              </w:rPr>
              <w:t xml:space="preserve">. </w:t>
            </w:r>
            <w:r w:rsidR="009F16CD" w:rsidRPr="00E83DA2">
              <w:rPr>
                <w:rFonts w:ascii="Gill Sans MT" w:hAnsi="Gill Sans MT"/>
                <w:b/>
              </w:rPr>
              <w:t>AADT volumes for main roads within Launceston.</w:t>
            </w:r>
          </w:p>
        </w:tc>
      </w:tr>
      <w:tr w:rsidR="00756B53" w:rsidRPr="00E83DA2" w:rsidTr="00E83DA2">
        <w:trPr>
          <w:tblHeader/>
        </w:trPr>
        <w:tc>
          <w:tcPr>
            <w:tcW w:w="4219" w:type="dxa"/>
            <w:shd w:val="clear" w:color="auto" w:fill="4F81BD" w:themeFill="accent1"/>
          </w:tcPr>
          <w:p w:rsidR="00756B53" w:rsidRPr="00E83DA2" w:rsidRDefault="00756B53" w:rsidP="008D2E39">
            <w:pPr>
              <w:pStyle w:val="Para0"/>
              <w:rPr>
                <w:rFonts w:ascii="Gill Sans MT" w:hAnsi="Gill Sans MT"/>
                <w:b/>
              </w:rPr>
            </w:pPr>
            <w:r w:rsidRPr="00E83DA2">
              <w:rPr>
                <w:rFonts w:ascii="Gill Sans MT" w:hAnsi="Gill Sans MT"/>
                <w:b/>
              </w:rPr>
              <w:t>Road</w:t>
            </w:r>
          </w:p>
        </w:tc>
        <w:tc>
          <w:tcPr>
            <w:tcW w:w="1559" w:type="dxa"/>
            <w:shd w:val="clear" w:color="auto" w:fill="4F81BD" w:themeFill="accent1"/>
          </w:tcPr>
          <w:p w:rsidR="00756B53" w:rsidRPr="00E83DA2" w:rsidRDefault="00756B53" w:rsidP="008D2E39">
            <w:pPr>
              <w:pStyle w:val="Para0"/>
              <w:rPr>
                <w:rFonts w:ascii="Gill Sans MT" w:hAnsi="Gill Sans MT"/>
                <w:b/>
              </w:rPr>
            </w:pPr>
            <w:r w:rsidRPr="00E83DA2">
              <w:rPr>
                <w:rFonts w:ascii="Gill Sans MT" w:hAnsi="Gill Sans MT"/>
                <w:b/>
              </w:rPr>
              <w:t>AADT</w:t>
            </w:r>
          </w:p>
        </w:tc>
        <w:tc>
          <w:tcPr>
            <w:tcW w:w="1134" w:type="dxa"/>
            <w:shd w:val="clear" w:color="auto" w:fill="4F81BD" w:themeFill="accent1"/>
          </w:tcPr>
          <w:p w:rsidR="00756B53" w:rsidRPr="00E83DA2" w:rsidRDefault="00756B53" w:rsidP="008D2E39">
            <w:pPr>
              <w:pStyle w:val="Para0"/>
              <w:rPr>
                <w:rFonts w:ascii="Gill Sans MT" w:hAnsi="Gill Sans MT"/>
                <w:b/>
              </w:rPr>
            </w:pPr>
            <w:r w:rsidRPr="00E83DA2">
              <w:rPr>
                <w:rFonts w:ascii="Gill Sans MT" w:hAnsi="Gill Sans MT"/>
                <w:b/>
              </w:rPr>
              <w:t>Survey Date</w:t>
            </w:r>
          </w:p>
        </w:tc>
      </w:tr>
      <w:tr w:rsidR="00756B53" w:rsidRPr="00E83DA2" w:rsidTr="00E83DA2">
        <w:tc>
          <w:tcPr>
            <w:tcW w:w="4219" w:type="dxa"/>
          </w:tcPr>
          <w:p w:rsidR="00756B53" w:rsidRPr="00E83DA2" w:rsidRDefault="00756B53" w:rsidP="008D2E39">
            <w:pPr>
              <w:pStyle w:val="Para0"/>
              <w:rPr>
                <w:rFonts w:ascii="Gill Sans MT" w:hAnsi="Gill Sans MT"/>
              </w:rPr>
            </w:pPr>
            <w:r w:rsidRPr="00E83DA2">
              <w:rPr>
                <w:rFonts w:ascii="Gill Sans MT" w:hAnsi="Gill Sans MT"/>
              </w:rPr>
              <w:t>Launceston Couplet</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45,396</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r w:rsidR="00756B53" w:rsidRPr="00E83DA2" w:rsidTr="00E83DA2">
        <w:tc>
          <w:tcPr>
            <w:tcW w:w="4219" w:type="dxa"/>
          </w:tcPr>
          <w:p w:rsidR="00756B53" w:rsidRPr="00E83DA2" w:rsidRDefault="00756B53" w:rsidP="008D2E39">
            <w:pPr>
              <w:pStyle w:val="Para0"/>
              <w:rPr>
                <w:rFonts w:ascii="Gill Sans MT" w:hAnsi="Gill Sans MT"/>
              </w:rPr>
            </w:pPr>
            <w:r w:rsidRPr="00E83DA2">
              <w:rPr>
                <w:rFonts w:ascii="Gill Sans MT" w:hAnsi="Gill Sans MT"/>
              </w:rPr>
              <w:t>Charles Street Bridge</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29,400</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2009</w:t>
            </w:r>
          </w:p>
        </w:tc>
      </w:tr>
      <w:tr w:rsidR="00756B53" w:rsidRPr="00E83DA2" w:rsidTr="00E83DA2">
        <w:tc>
          <w:tcPr>
            <w:tcW w:w="4219" w:type="dxa"/>
          </w:tcPr>
          <w:p w:rsidR="00756B53" w:rsidRPr="00E83DA2" w:rsidRDefault="00756B53" w:rsidP="008D2E39">
            <w:pPr>
              <w:pStyle w:val="Para0"/>
              <w:rPr>
                <w:rFonts w:ascii="Gill Sans MT" w:hAnsi="Gill Sans MT"/>
              </w:rPr>
            </w:pPr>
            <w:r w:rsidRPr="00E83DA2">
              <w:rPr>
                <w:rFonts w:ascii="Gill Sans MT" w:hAnsi="Gill Sans MT"/>
              </w:rPr>
              <w:t>Charles Street</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10,039</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r w:rsidR="00756B53" w:rsidRPr="00E83DA2" w:rsidTr="00E83DA2">
        <w:tc>
          <w:tcPr>
            <w:tcW w:w="4219" w:type="dxa"/>
          </w:tcPr>
          <w:p w:rsidR="00756B53" w:rsidRPr="00E83DA2" w:rsidRDefault="00756B53" w:rsidP="008D2E39">
            <w:pPr>
              <w:pStyle w:val="Para0"/>
              <w:rPr>
                <w:rFonts w:ascii="Gill Sans MT" w:hAnsi="Gill Sans MT"/>
              </w:rPr>
            </w:pPr>
            <w:r w:rsidRPr="00E83DA2">
              <w:rPr>
                <w:rFonts w:ascii="Gill Sans MT" w:hAnsi="Gill Sans MT"/>
              </w:rPr>
              <w:t>Victoria Street Bridge</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19,320</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2009</w:t>
            </w:r>
          </w:p>
        </w:tc>
      </w:tr>
      <w:tr w:rsidR="00756B53" w:rsidRPr="00E83DA2" w:rsidTr="00E83DA2">
        <w:tc>
          <w:tcPr>
            <w:tcW w:w="4219" w:type="dxa"/>
          </w:tcPr>
          <w:p w:rsidR="00756B53" w:rsidRPr="00E83DA2" w:rsidRDefault="00756B53" w:rsidP="008D2E39">
            <w:pPr>
              <w:pStyle w:val="Para0"/>
              <w:spacing w:line="240" w:lineRule="auto"/>
              <w:rPr>
                <w:rFonts w:ascii="Gill Sans MT" w:hAnsi="Gill Sans MT"/>
              </w:rPr>
            </w:pPr>
            <w:proofErr w:type="spellStart"/>
            <w:r w:rsidRPr="00E83DA2">
              <w:rPr>
                <w:rFonts w:ascii="Gill Sans MT" w:hAnsi="Gill Sans MT"/>
              </w:rPr>
              <w:t>Cimitiere</w:t>
            </w:r>
            <w:proofErr w:type="spellEnd"/>
            <w:r w:rsidRPr="00E83DA2">
              <w:rPr>
                <w:rFonts w:ascii="Gill Sans MT" w:hAnsi="Gill Sans MT"/>
              </w:rPr>
              <w:t xml:space="preserve"> Street</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11,527</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2009</w:t>
            </w:r>
          </w:p>
        </w:tc>
      </w:tr>
      <w:tr w:rsidR="00756B53" w:rsidRPr="00E83DA2" w:rsidTr="00E83DA2">
        <w:trPr>
          <w:trHeight w:val="582"/>
        </w:trPr>
        <w:tc>
          <w:tcPr>
            <w:tcW w:w="4219" w:type="dxa"/>
          </w:tcPr>
          <w:p w:rsidR="00756B53" w:rsidRPr="00E83DA2" w:rsidRDefault="00756B53" w:rsidP="008D2E39">
            <w:pPr>
              <w:pStyle w:val="Para0"/>
              <w:spacing w:line="240" w:lineRule="auto"/>
              <w:rPr>
                <w:rFonts w:ascii="Gill Sans MT" w:hAnsi="Gill Sans MT"/>
              </w:rPr>
            </w:pPr>
            <w:proofErr w:type="spellStart"/>
            <w:r w:rsidRPr="00E83DA2">
              <w:rPr>
                <w:rFonts w:ascii="Gill Sans MT" w:hAnsi="Gill Sans MT"/>
              </w:rPr>
              <w:t>Elphin</w:t>
            </w:r>
            <w:proofErr w:type="spellEnd"/>
            <w:r w:rsidRPr="00E83DA2">
              <w:rPr>
                <w:rFonts w:ascii="Gill Sans MT" w:hAnsi="Gill Sans MT"/>
              </w:rPr>
              <w:t xml:space="preserve"> Road</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16,808</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r w:rsidR="00756B53" w:rsidRPr="00E83DA2" w:rsidTr="00E83DA2">
        <w:tc>
          <w:tcPr>
            <w:tcW w:w="4219" w:type="dxa"/>
          </w:tcPr>
          <w:p w:rsidR="00756B53" w:rsidRPr="00E83DA2" w:rsidRDefault="00756B53" w:rsidP="008D2E39">
            <w:pPr>
              <w:pStyle w:val="Para0"/>
              <w:spacing w:line="240" w:lineRule="auto"/>
              <w:rPr>
                <w:rFonts w:ascii="Gill Sans MT" w:hAnsi="Gill Sans MT"/>
              </w:rPr>
            </w:pPr>
            <w:r w:rsidRPr="00E83DA2">
              <w:rPr>
                <w:rFonts w:ascii="Gill Sans MT" w:hAnsi="Gill Sans MT"/>
              </w:rPr>
              <w:t>Hobart Road</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16,656</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r w:rsidR="00756B53" w:rsidRPr="00E83DA2" w:rsidTr="00E83DA2">
        <w:tc>
          <w:tcPr>
            <w:tcW w:w="4219" w:type="dxa"/>
          </w:tcPr>
          <w:p w:rsidR="00756B53" w:rsidRPr="00E83DA2" w:rsidRDefault="00756B53" w:rsidP="008D2E39">
            <w:pPr>
              <w:pStyle w:val="Para0"/>
              <w:spacing w:line="240" w:lineRule="auto"/>
              <w:rPr>
                <w:rFonts w:ascii="Gill Sans MT" w:hAnsi="Gill Sans MT"/>
              </w:rPr>
            </w:pPr>
            <w:r w:rsidRPr="00E83DA2">
              <w:rPr>
                <w:rFonts w:ascii="Gill Sans MT" w:hAnsi="Gill Sans MT"/>
              </w:rPr>
              <w:t>Westbury Road</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11,612</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r w:rsidR="00756B53" w:rsidRPr="00E83DA2" w:rsidTr="00E83DA2">
        <w:tc>
          <w:tcPr>
            <w:tcW w:w="4219" w:type="dxa"/>
          </w:tcPr>
          <w:p w:rsidR="00756B53" w:rsidRPr="00E83DA2" w:rsidRDefault="00756B53" w:rsidP="008D2E39">
            <w:pPr>
              <w:pStyle w:val="Para0"/>
              <w:spacing w:line="240" w:lineRule="auto"/>
              <w:rPr>
                <w:rFonts w:ascii="Gill Sans MT" w:hAnsi="Gill Sans MT"/>
              </w:rPr>
            </w:pPr>
            <w:r w:rsidRPr="00E83DA2">
              <w:rPr>
                <w:rFonts w:ascii="Gill Sans MT" w:hAnsi="Gill Sans MT"/>
              </w:rPr>
              <w:t>Frederick Street</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8,126</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r w:rsidR="00756B53" w:rsidRPr="00E83DA2" w:rsidTr="00E83DA2">
        <w:tc>
          <w:tcPr>
            <w:tcW w:w="4219" w:type="dxa"/>
          </w:tcPr>
          <w:p w:rsidR="00756B53" w:rsidRPr="00E83DA2" w:rsidRDefault="00756B53" w:rsidP="008D2E39">
            <w:pPr>
              <w:pStyle w:val="Para0"/>
              <w:spacing w:line="240" w:lineRule="auto"/>
              <w:rPr>
                <w:rFonts w:ascii="Gill Sans MT" w:hAnsi="Gill Sans MT"/>
              </w:rPr>
            </w:pPr>
            <w:r w:rsidRPr="00E83DA2">
              <w:rPr>
                <w:rFonts w:ascii="Gill Sans MT" w:hAnsi="Gill Sans MT"/>
              </w:rPr>
              <w:t>Kings Bridge</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8,807</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r w:rsidR="00756B53" w:rsidRPr="00E83DA2" w:rsidTr="00E83DA2">
        <w:tc>
          <w:tcPr>
            <w:tcW w:w="4219" w:type="dxa"/>
          </w:tcPr>
          <w:p w:rsidR="00756B53" w:rsidRPr="00E83DA2" w:rsidRDefault="00756B53" w:rsidP="008D2E39">
            <w:pPr>
              <w:pStyle w:val="Para0"/>
              <w:spacing w:line="240" w:lineRule="auto"/>
              <w:rPr>
                <w:rFonts w:ascii="Gill Sans MT" w:hAnsi="Gill Sans MT"/>
              </w:rPr>
            </w:pPr>
            <w:proofErr w:type="spellStart"/>
            <w:r w:rsidRPr="00E83DA2">
              <w:rPr>
                <w:rFonts w:ascii="Gill Sans MT" w:hAnsi="Gill Sans MT"/>
              </w:rPr>
              <w:t>Hoblers</w:t>
            </w:r>
            <w:proofErr w:type="spellEnd"/>
            <w:r w:rsidRPr="00E83DA2">
              <w:rPr>
                <w:rFonts w:ascii="Gill Sans MT" w:hAnsi="Gill Sans MT"/>
              </w:rPr>
              <w:t xml:space="preserve"> Bridge Road</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8,788</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r w:rsidR="00756B53" w:rsidRPr="00E83DA2" w:rsidTr="00E83DA2">
        <w:tc>
          <w:tcPr>
            <w:tcW w:w="4219" w:type="dxa"/>
          </w:tcPr>
          <w:p w:rsidR="00756B53" w:rsidRPr="00E83DA2" w:rsidRDefault="00756B53" w:rsidP="008D2E39">
            <w:pPr>
              <w:pStyle w:val="Para0"/>
              <w:spacing w:line="240" w:lineRule="auto"/>
              <w:rPr>
                <w:rFonts w:ascii="Gill Sans MT" w:hAnsi="Gill Sans MT"/>
              </w:rPr>
            </w:pPr>
            <w:proofErr w:type="spellStart"/>
            <w:r w:rsidRPr="00E83DA2">
              <w:rPr>
                <w:rFonts w:ascii="Gill Sans MT" w:hAnsi="Gill Sans MT"/>
              </w:rPr>
              <w:t>Invermay</w:t>
            </w:r>
            <w:proofErr w:type="spellEnd"/>
            <w:r w:rsidRPr="00E83DA2">
              <w:rPr>
                <w:rFonts w:ascii="Gill Sans MT" w:hAnsi="Gill Sans MT"/>
              </w:rPr>
              <w:t xml:space="preserve"> Road</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17,014</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r w:rsidR="00756B53" w:rsidRPr="00E83DA2" w:rsidTr="00E83DA2">
        <w:trPr>
          <w:trHeight w:val="267"/>
        </w:trPr>
        <w:tc>
          <w:tcPr>
            <w:tcW w:w="4219" w:type="dxa"/>
          </w:tcPr>
          <w:p w:rsidR="00756B53" w:rsidRPr="00E83DA2" w:rsidRDefault="00756B53" w:rsidP="008D2E39">
            <w:pPr>
              <w:pStyle w:val="Para0"/>
              <w:spacing w:line="240" w:lineRule="auto"/>
              <w:rPr>
                <w:rFonts w:ascii="Gill Sans MT" w:hAnsi="Gill Sans MT"/>
              </w:rPr>
            </w:pPr>
            <w:r w:rsidRPr="00E83DA2">
              <w:rPr>
                <w:rFonts w:ascii="Gill Sans MT" w:hAnsi="Gill Sans MT"/>
              </w:rPr>
              <w:t xml:space="preserve">Vermont Road </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7,018</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r w:rsidR="00756B53" w:rsidRPr="00E83DA2" w:rsidTr="00E83DA2">
        <w:tc>
          <w:tcPr>
            <w:tcW w:w="4219" w:type="dxa"/>
          </w:tcPr>
          <w:p w:rsidR="00756B53" w:rsidRPr="00E83DA2" w:rsidRDefault="00756B53" w:rsidP="008D2E39">
            <w:pPr>
              <w:pStyle w:val="Para0"/>
              <w:rPr>
                <w:rFonts w:ascii="Gill Sans MT" w:hAnsi="Gill Sans MT"/>
              </w:rPr>
            </w:pPr>
            <w:r w:rsidRPr="00E83DA2">
              <w:rPr>
                <w:rFonts w:ascii="Gill Sans MT" w:hAnsi="Gill Sans MT"/>
              </w:rPr>
              <w:t>Ravenswood Road</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5,135</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r w:rsidR="00756B53" w:rsidRPr="00E83DA2" w:rsidTr="00E83DA2">
        <w:tc>
          <w:tcPr>
            <w:tcW w:w="4219" w:type="dxa"/>
          </w:tcPr>
          <w:p w:rsidR="00756B53" w:rsidRPr="00E83DA2" w:rsidRDefault="00756B53" w:rsidP="008D2E39">
            <w:pPr>
              <w:pStyle w:val="Para0"/>
              <w:rPr>
                <w:rFonts w:ascii="Gill Sans MT" w:hAnsi="Gill Sans MT"/>
              </w:rPr>
            </w:pPr>
            <w:r w:rsidRPr="00E83DA2">
              <w:rPr>
                <w:rFonts w:ascii="Gill Sans MT" w:hAnsi="Gill Sans MT"/>
              </w:rPr>
              <w:t>Boland Street</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14,296</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2009</w:t>
            </w:r>
          </w:p>
        </w:tc>
      </w:tr>
      <w:tr w:rsidR="00756B53" w:rsidRPr="00E83DA2" w:rsidTr="00E83DA2">
        <w:tc>
          <w:tcPr>
            <w:tcW w:w="4219" w:type="dxa"/>
          </w:tcPr>
          <w:p w:rsidR="00756B53" w:rsidRPr="00E83DA2" w:rsidRDefault="00756B53" w:rsidP="008D2E39">
            <w:pPr>
              <w:pStyle w:val="Para0"/>
              <w:rPr>
                <w:rFonts w:ascii="Gill Sans MT" w:hAnsi="Gill Sans MT"/>
              </w:rPr>
            </w:pPr>
            <w:r w:rsidRPr="00E83DA2">
              <w:rPr>
                <w:rFonts w:ascii="Gill Sans MT" w:hAnsi="Gill Sans MT"/>
              </w:rPr>
              <w:t>High Street</w:t>
            </w:r>
          </w:p>
        </w:tc>
        <w:tc>
          <w:tcPr>
            <w:tcW w:w="1559" w:type="dxa"/>
          </w:tcPr>
          <w:p w:rsidR="00756B53" w:rsidRPr="00E83DA2" w:rsidRDefault="00756B53" w:rsidP="008D2E39">
            <w:pPr>
              <w:pStyle w:val="Para0"/>
              <w:rPr>
                <w:rFonts w:ascii="Gill Sans MT" w:hAnsi="Gill Sans MT"/>
              </w:rPr>
            </w:pPr>
            <w:r w:rsidRPr="00E83DA2">
              <w:rPr>
                <w:rFonts w:ascii="Gill Sans MT" w:hAnsi="Gill Sans MT"/>
              </w:rPr>
              <w:t>13,376</w:t>
            </w:r>
          </w:p>
        </w:tc>
        <w:tc>
          <w:tcPr>
            <w:tcW w:w="1134" w:type="dxa"/>
          </w:tcPr>
          <w:p w:rsidR="00756B53" w:rsidRPr="00E83DA2" w:rsidRDefault="00756B53" w:rsidP="008D2E39">
            <w:pPr>
              <w:pStyle w:val="Para0"/>
              <w:rPr>
                <w:rFonts w:ascii="Gill Sans MT" w:hAnsi="Gill Sans MT"/>
              </w:rPr>
            </w:pPr>
            <w:r w:rsidRPr="00E83DA2">
              <w:rPr>
                <w:rFonts w:ascii="Gill Sans MT" w:hAnsi="Gill Sans MT"/>
              </w:rPr>
              <w:t>2011</w:t>
            </w:r>
          </w:p>
        </w:tc>
      </w:tr>
    </w:tbl>
    <w:p w:rsidR="00756B53" w:rsidRPr="00E83DA2" w:rsidRDefault="00756B53" w:rsidP="00756B53">
      <w:pPr>
        <w:rPr>
          <w:rFonts w:ascii="Gill Sans MT" w:hAnsi="Gill Sans MT"/>
          <w:i/>
        </w:rPr>
      </w:pPr>
    </w:p>
    <w:p w:rsidR="00756B53" w:rsidRPr="00E83DA2" w:rsidRDefault="00756B53" w:rsidP="009F7B89">
      <w:pPr>
        <w:ind w:left="567"/>
        <w:rPr>
          <w:rStyle w:val="InstructionText"/>
        </w:rPr>
      </w:pPr>
      <w:r w:rsidRPr="00E83DA2">
        <w:rPr>
          <w:rStyle w:val="InstructionText"/>
        </w:rPr>
        <w:t xml:space="preserve">Launceston </w:t>
      </w:r>
      <w:r w:rsidR="009F16CD" w:rsidRPr="00E83DA2">
        <w:rPr>
          <w:rStyle w:val="InstructionText"/>
        </w:rPr>
        <w:t>Traffic Study</w:t>
      </w:r>
    </w:p>
    <w:p w:rsidR="00756B53" w:rsidRPr="00E83DA2" w:rsidRDefault="00756B53" w:rsidP="009F7B89">
      <w:pPr>
        <w:ind w:left="567"/>
        <w:rPr>
          <w:rFonts w:ascii="Gill Sans MT" w:hAnsi="Gill Sans MT"/>
        </w:rPr>
      </w:pPr>
      <w:r w:rsidRPr="00E83DA2">
        <w:rPr>
          <w:rFonts w:ascii="Gill Sans MT" w:hAnsi="Gill Sans MT"/>
        </w:rPr>
        <w:t>DIER and Launceston City Council have been working together to review passenger and freight traffic in Launceston and investigate any issues.   Some of the issues considered include:</w:t>
      </w:r>
    </w:p>
    <w:p w:rsidR="00756B53" w:rsidRPr="00E83DA2" w:rsidRDefault="00756B53" w:rsidP="009F7B89">
      <w:pPr>
        <w:pStyle w:val="ListParagraph"/>
        <w:numPr>
          <w:ilvl w:val="0"/>
          <w:numId w:val="37"/>
        </w:numPr>
        <w:ind w:left="993"/>
        <w:rPr>
          <w:rFonts w:ascii="Gill Sans MT" w:hAnsi="Gill Sans MT"/>
        </w:rPr>
      </w:pPr>
      <w:r w:rsidRPr="00E83DA2">
        <w:rPr>
          <w:rFonts w:ascii="Gill Sans MT" w:hAnsi="Gill Sans MT"/>
        </w:rPr>
        <w:t>Congestion on Wellington/Bathurst Streets during peak times</w:t>
      </w:r>
    </w:p>
    <w:p w:rsidR="00756B53" w:rsidRPr="00E83DA2" w:rsidRDefault="00756B53" w:rsidP="009F7B89">
      <w:pPr>
        <w:pStyle w:val="ListParagraph"/>
        <w:numPr>
          <w:ilvl w:val="0"/>
          <w:numId w:val="37"/>
        </w:numPr>
        <w:ind w:left="993"/>
        <w:rPr>
          <w:rFonts w:ascii="Gill Sans MT" w:hAnsi="Gill Sans MT"/>
        </w:rPr>
      </w:pPr>
      <w:r w:rsidRPr="00E83DA2">
        <w:rPr>
          <w:rFonts w:ascii="Gill Sans MT" w:hAnsi="Gill Sans MT"/>
        </w:rPr>
        <w:t>Freight and through traffic using the CBD network</w:t>
      </w:r>
    </w:p>
    <w:p w:rsidR="00756B53" w:rsidRPr="00E83DA2" w:rsidRDefault="00756B53" w:rsidP="009F7B89">
      <w:pPr>
        <w:pStyle w:val="ListParagraph"/>
        <w:numPr>
          <w:ilvl w:val="0"/>
          <w:numId w:val="37"/>
        </w:numPr>
        <w:ind w:left="993"/>
        <w:rPr>
          <w:rFonts w:ascii="Gill Sans MT" w:hAnsi="Gill Sans MT"/>
        </w:rPr>
      </w:pPr>
      <w:r w:rsidRPr="00E83DA2">
        <w:rPr>
          <w:rFonts w:ascii="Gill Sans MT" w:hAnsi="Gill Sans MT"/>
        </w:rPr>
        <w:t xml:space="preserve">Capacity issues at </w:t>
      </w:r>
      <w:proofErr w:type="spellStart"/>
      <w:r w:rsidRPr="00E83DA2">
        <w:rPr>
          <w:rFonts w:ascii="Gill Sans MT" w:hAnsi="Gill Sans MT"/>
        </w:rPr>
        <w:t>Hoblers</w:t>
      </w:r>
      <w:proofErr w:type="spellEnd"/>
      <w:r w:rsidRPr="00E83DA2">
        <w:rPr>
          <w:rFonts w:ascii="Gill Sans MT" w:hAnsi="Gill Sans MT"/>
        </w:rPr>
        <w:t xml:space="preserve"> Bridge and Elphin Road – proposed residential and commercial development may compound existing issues</w:t>
      </w:r>
    </w:p>
    <w:p w:rsidR="00756B53" w:rsidRPr="00E83DA2" w:rsidRDefault="00756B53" w:rsidP="009F7B89">
      <w:pPr>
        <w:ind w:left="567"/>
        <w:rPr>
          <w:rFonts w:ascii="Gill Sans MT" w:hAnsi="Gill Sans MT"/>
        </w:rPr>
      </w:pPr>
      <w:r w:rsidRPr="00E83DA2">
        <w:rPr>
          <w:rFonts w:ascii="Gill Sans MT" w:hAnsi="Gill Sans MT"/>
        </w:rPr>
        <w:lastRenderedPageBreak/>
        <w:t>Data used to inform the recommendations from the study included:</w:t>
      </w:r>
    </w:p>
    <w:p w:rsidR="00756B53" w:rsidRPr="00E83DA2" w:rsidRDefault="00756B53" w:rsidP="009F7B89">
      <w:pPr>
        <w:pStyle w:val="ListParagraph"/>
        <w:numPr>
          <w:ilvl w:val="0"/>
          <w:numId w:val="50"/>
        </w:numPr>
        <w:ind w:left="993"/>
        <w:rPr>
          <w:rFonts w:ascii="Gill Sans MT" w:hAnsi="Gill Sans MT"/>
        </w:rPr>
      </w:pPr>
      <w:r w:rsidRPr="00E83DA2">
        <w:rPr>
          <w:rFonts w:ascii="Gill Sans MT" w:hAnsi="Gill Sans MT"/>
        </w:rPr>
        <w:t>Traffic volume data</w:t>
      </w:r>
    </w:p>
    <w:p w:rsidR="00756B53" w:rsidRPr="00E83DA2" w:rsidRDefault="00756B53" w:rsidP="009F7B89">
      <w:pPr>
        <w:pStyle w:val="ListParagraph"/>
        <w:numPr>
          <w:ilvl w:val="0"/>
          <w:numId w:val="50"/>
        </w:numPr>
        <w:ind w:left="993"/>
        <w:rPr>
          <w:rFonts w:ascii="Gill Sans MT" w:hAnsi="Gill Sans MT"/>
        </w:rPr>
      </w:pPr>
      <w:r w:rsidRPr="00E83DA2">
        <w:rPr>
          <w:rFonts w:ascii="Gill Sans MT" w:hAnsi="Gill Sans MT"/>
        </w:rPr>
        <w:t>Crash data</w:t>
      </w:r>
    </w:p>
    <w:p w:rsidR="00756B53" w:rsidRPr="00E83DA2" w:rsidRDefault="00756B53" w:rsidP="009F7B89">
      <w:pPr>
        <w:pStyle w:val="ListParagraph"/>
        <w:numPr>
          <w:ilvl w:val="0"/>
          <w:numId w:val="50"/>
        </w:numPr>
        <w:ind w:left="993"/>
        <w:rPr>
          <w:rFonts w:ascii="Gill Sans MT" w:hAnsi="Gill Sans MT"/>
        </w:rPr>
      </w:pPr>
      <w:r w:rsidRPr="00E83DA2">
        <w:rPr>
          <w:rFonts w:ascii="Gill Sans MT" w:hAnsi="Gill Sans MT"/>
        </w:rPr>
        <w:t>Travel time data</w:t>
      </w:r>
    </w:p>
    <w:p w:rsidR="00756B53" w:rsidRPr="00E83DA2" w:rsidRDefault="00756B53" w:rsidP="009F7B89">
      <w:pPr>
        <w:pStyle w:val="ListParagraph"/>
        <w:numPr>
          <w:ilvl w:val="0"/>
          <w:numId w:val="50"/>
        </w:numPr>
        <w:ind w:left="993"/>
        <w:rPr>
          <w:rFonts w:ascii="Gill Sans MT" w:hAnsi="Gill Sans MT"/>
        </w:rPr>
      </w:pPr>
      <w:r w:rsidRPr="00E83DA2">
        <w:rPr>
          <w:rFonts w:ascii="Gill Sans MT" w:hAnsi="Gill Sans MT"/>
        </w:rPr>
        <w:t>Congestion data</w:t>
      </w:r>
    </w:p>
    <w:p w:rsidR="00756B53" w:rsidRPr="00E83DA2" w:rsidRDefault="00756B53" w:rsidP="009F7B89">
      <w:pPr>
        <w:pStyle w:val="ListParagraph"/>
        <w:numPr>
          <w:ilvl w:val="0"/>
          <w:numId w:val="50"/>
        </w:numPr>
        <w:ind w:left="993"/>
        <w:rPr>
          <w:rFonts w:ascii="Gill Sans MT" w:hAnsi="Gill Sans MT"/>
        </w:rPr>
      </w:pPr>
      <w:r w:rsidRPr="00E83DA2">
        <w:rPr>
          <w:rFonts w:ascii="Gill Sans MT" w:hAnsi="Gill Sans MT"/>
        </w:rPr>
        <w:t>Freight demand</w:t>
      </w:r>
    </w:p>
    <w:p w:rsidR="00756B53" w:rsidRPr="00E83DA2" w:rsidRDefault="001B5F99" w:rsidP="009F7B89">
      <w:pPr>
        <w:ind w:left="567"/>
        <w:rPr>
          <w:rFonts w:ascii="Gill Sans MT" w:hAnsi="Gill Sans MT"/>
        </w:rPr>
      </w:pPr>
      <w:r>
        <w:rPr>
          <w:rFonts w:ascii="Gill Sans MT" w:hAnsi="Gill Sans MT"/>
        </w:rPr>
        <w:t xml:space="preserve">The study </w:t>
      </w:r>
      <w:r w:rsidR="00756B53" w:rsidRPr="00E83DA2">
        <w:rPr>
          <w:rFonts w:ascii="Gill Sans MT" w:hAnsi="Gill Sans MT"/>
        </w:rPr>
        <w:t xml:space="preserve">also considered the likely impact of proposed developments within Launceston and the surrounding area including: </w:t>
      </w:r>
    </w:p>
    <w:p w:rsidR="00756B53" w:rsidRPr="00E83DA2" w:rsidRDefault="00756B53" w:rsidP="009F7B89">
      <w:pPr>
        <w:pStyle w:val="ListParagraph"/>
        <w:numPr>
          <w:ilvl w:val="0"/>
          <w:numId w:val="51"/>
        </w:numPr>
        <w:ind w:left="993"/>
        <w:rPr>
          <w:rFonts w:ascii="Gill Sans MT" w:hAnsi="Gill Sans MT"/>
        </w:rPr>
      </w:pPr>
      <w:r w:rsidRPr="00E83DA2">
        <w:rPr>
          <w:rFonts w:ascii="Gill Sans MT" w:hAnsi="Gill Sans MT"/>
        </w:rPr>
        <w:t>Bell bay pulp mill</w:t>
      </w:r>
    </w:p>
    <w:p w:rsidR="00756B53" w:rsidRPr="00E83DA2" w:rsidRDefault="00756B53" w:rsidP="009F7B89">
      <w:pPr>
        <w:pStyle w:val="ListParagraph"/>
        <w:numPr>
          <w:ilvl w:val="0"/>
          <w:numId w:val="51"/>
        </w:numPr>
        <w:ind w:left="993"/>
        <w:rPr>
          <w:rFonts w:ascii="Gill Sans MT" w:hAnsi="Gill Sans MT"/>
        </w:rPr>
      </w:pPr>
      <w:r w:rsidRPr="00E83DA2">
        <w:rPr>
          <w:rFonts w:ascii="Gill Sans MT" w:hAnsi="Gill Sans MT"/>
        </w:rPr>
        <w:t>Hardware store and commercial development, Lindsay Street</w:t>
      </w:r>
    </w:p>
    <w:p w:rsidR="00756B53" w:rsidRPr="00E83DA2" w:rsidRDefault="00756B53" w:rsidP="009F7B89">
      <w:pPr>
        <w:pStyle w:val="ListParagraph"/>
        <w:numPr>
          <w:ilvl w:val="0"/>
          <w:numId w:val="51"/>
        </w:numPr>
        <w:ind w:left="993"/>
        <w:rPr>
          <w:rFonts w:ascii="Gill Sans MT" w:hAnsi="Gill Sans MT"/>
        </w:rPr>
      </w:pPr>
      <w:r w:rsidRPr="00E83DA2">
        <w:rPr>
          <w:rFonts w:ascii="Gill Sans MT" w:hAnsi="Gill Sans MT"/>
        </w:rPr>
        <w:t>Department store, Hobart Road</w:t>
      </w:r>
    </w:p>
    <w:p w:rsidR="00756B53" w:rsidRPr="00E83DA2" w:rsidRDefault="00756B53" w:rsidP="009F7B89">
      <w:pPr>
        <w:pStyle w:val="ListParagraph"/>
        <w:numPr>
          <w:ilvl w:val="0"/>
          <w:numId w:val="51"/>
        </w:numPr>
        <w:ind w:left="993"/>
        <w:rPr>
          <w:rFonts w:ascii="Gill Sans MT" w:hAnsi="Gill Sans MT"/>
        </w:rPr>
      </w:pPr>
      <w:r w:rsidRPr="00E83DA2">
        <w:rPr>
          <w:rFonts w:ascii="Gill Sans MT" w:hAnsi="Gill Sans MT"/>
        </w:rPr>
        <w:t>Subdivision activity, Waverley</w:t>
      </w:r>
    </w:p>
    <w:p w:rsidR="00756B53" w:rsidRPr="00E83DA2" w:rsidRDefault="00756B53" w:rsidP="009F7B89">
      <w:pPr>
        <w:ind w:left="567"/>
        <w:rPr>
          <w:rFonts w:ascii="Gill Sans MT" w:hAnsi="Gill Sans MT"/>
        </w:rPr>
      </w:pPr>
      <w:r w:rsidRPr="00E83DA2">
        <w:rPr>
          <w:rFonts w:ascii="Gill Sans MT" w:hAnsi="Gill Sans MT"/>
        </w:rPr>
        <w:t>One of the key findings of the study was that there had been a considerable increase in travel times on east/west routes through Launceston.  This appeared to be linked to congestion at intersections on this route.  High traffic volumes and growth was identified in several areas.  Key issues included:</w:t>
      </w:r>
    </w:p>
    <w:p w:rsidR="00756B53" w:rsidRPr="00E83DA2" w:rsidRDefault="00756B53" w:rsidP="009F7B89">
      <w:pPr>
        <w:pStyle w:val="ListParagraph"/>
        <w:numPr>
          <w:ilvl w:val="0"/>
          <w:numId w:val="52"/>
        </w:numPr>
        <w:ind w:left="993"/>
        <w:rPr>
          <w:rFonts w:ascii="Gill Sans MT" w:hAnsi="Gill Sans MT"/>
        </w:rPr>
      </w:pPr>
      <w:r w:rsidRPr="00E83DA2">
        <w:rPr>
          <w:rFonts w:ascii="Gill Sans MT" w:hAnsi="Gill Sans MT"/>
        </w:rPr>
        <w:t>Charles Street Bridge – capacity constraints around Lindsay Street/</w:t>
      </w:r>
      <w:proofErr w:type="spellStart"/>
      <w:r w:rsidRPr="00E83DA2">
        <w:rPr>
          <w:rFonts w:ascii="Gill Sans MT" w:hAnsi="Gill Sans MT"/>
        </w:rPr>
        <w:t>Goderich</w:t>
      </w:r>
      <w:proofErr w:type="spellEnd"/>
      <w:r w:rsidRPr="00E83DA2">
        <w:rPr>
          <w:rFonts w:ascii="Gill Sans MT" w:hAnsi="Gill Sans MT"/>
        </w:rPr>
        <w:t xml:space="preserve"> Street</w:t>
      </w:r>
    </w:p>
    <w:p w:rsidR="00756B53" w:rsidRPr="00E83DA2" w:rsidRDefault="00756B53" w:rsidP="009F7B89">
      <w:pPr>
        <w:pStyle w:val="ListParagraph"/>
        <w:numPr>
          <w:ilvl w:val="0"/>
          <w:numId w:val="52"/>
        </w:numPr>
        <w:ind w:left="993"/>
        <w:rPr>
          <w:rFonts w:ascii="Gill Sans MT" w:hAnsi="Gill Sans MT"/>
        </w:rPr>
      </w:pPr>
      <w:r w:rsidRPr="00E83DA2">
        <w:rPr>
          <w:rFonts w:ascii="Gill Sans MT" w:hAnsi="Gill Sans MT"/>
        </w:rPr>
        <w:t>Hobart Road – High traffic volumes and increased commercial development</w:t>
      </w:r>
    </w:p>
    <w:p w:rsidR="00756B53" w:rsidRPr="00E83DA2" w:rsidRDefault="00756B53" w:rsidP="009F7B89">
      <w:pPr>
        <w:pStyle w:val="ListParagraph"/>
        <w:numPr>
          <w:ilvl w:val="0"/>
          <w:numId w:val="52"/>
        </w:numPr>
        <w:ind w:left="993"/>
        <w:rPr>
          <w:rFonts w:ascii="Gill Sans MT" w:hAnsi="Gill Sans MT"/>
        </w:rPr>
      </w:pPr>
      <w:r w:rsidRPr="00E83DA2">
        <w:rPr>
          <w:rFonts w:ascii="Gill Sans MT" w:hAnsi="Gill Sans MT"/>
        </w:rPr>
        <w:t>Victoria Bridge – high traffic volumes and links to city and key industrial sites</w:t>
      </w:r>
    </w:p>
    <w:p w:rsidR="00756B53" w:rsidRPr="00E83DA2" w:rsidRDefault="00756B53" w:rsidP="009F7B89">
      <w:pPr>
        <w:ind w:left="567"/>
        <w:rPr>
          <w:rFonts w:ascii="Gill Sans MT" w:hAnsi="Gill Sans MT"/>
        </w:rPr>
      </w:pPr>
      <w:r w:rsidRPr="00E83DA2">
        <w:rPr>
          <w:rFonts w:ascii="Gill Sans MT" w:hAnsi="Gill Sans MT"/>
        </w:rPr>
        <w:t xml:space="preserve">Crash analysis was conducted and determined that the majority of crashes occurred on the busiest routes. </w:t>
      </w:r>
    </w:p>
    <w:p w:rsidR="00756B53" w:rsidRPr="00461888" w:rsidRDefault="00756B53" w:rsidP="009F7B89">
      <w:pPr>
        <w:ind w:left="567"/>
        <w:rPr>
          <w:rFonts w:ascii="Gill Sans MT" w:hAnsi="Gill Sans MT"/>
        </w:rPr>
      </w:pPr>
      <w:r w:rsidRPr="00E83DA2">
        <w:rPr>
          <w:rFonts w:ascii="Gill Sans MT" w:hAnsi="Gill Sans MT"/>
        </w:rPr>
        <w:t xml:space="preserve">DIER and Launceston City Council will continue to work together to further investigate </w:t>
      </w:r>
      <w:r w:rsidRPr="00461888">
        <w:rPr>
          <w:rFonts w:ascii="Gill Sans MT" w:hAnsi="Gill Sans MT"/>
        </w:rPr>
        <w:t>issues</w:t>
      </w:r>
      <w:r w:rsidR="0005671F">
        <w:rPr>
          <w:rFonts w:ascii="Gill Sans MT" w:hAnsi="Gill Sans MT"/>
        </w:rPr>
        <w:t xml:space="preserve"> and develop options</w:t>
      </w:r>
      <w:r w:rsidRPr="00461888">
        <w:rPr>
          <w:rFonts w:ascii="Gill Sans MT" w:hAnsi="Gill Sans MT"/>
        </w:rPr>
        <w:t>.</w:t>
      </w:r>
    </w:p>
    <w:p w:rsidR="00461888" w:rsidRPr="00461888" w:rsidRDefault="00461888" w:rsidP="009F7B89">
      <w:pPr>
        <w:pStyle w:val="Heading2"/>
        <w:ind w:left="567"/>
      </w:pPr>
      <w:r w:rsidRPr="00461888">
        <w:t>Metropolitan transport</w:t>
      </w:r>
    </w:p>
    <w:p w:rsidR="00461888" w:rsidRPr="00461888" w:rsidRDefault="00461888" w:rsidP="009F7B89">
      <w:pPr>
        <w:ind w:left="567"/>
        <w:rPr>
          <w:rFonts w:ascii="Gill Sans MT" w:hAnsi="Gill Sans MT"/>
        </w:rPr>
      </w:pPr>
      <w:bookmarkStart w:id="26" w:name="_Toc332033581"/>
      <w:bookmarkStart w:id="27" w:name="_Toc332114076"/>
      <w:bookmarkStart w:id="28" w:name="_Toc332115651"/>
      <w:bookmarkStart w:id="29" w:name="_Toc332115742"/>
      <w:r w:rsidRPr="00461888">
        <w:rPr>
          <w:rFonts w:ascii="Gill Sans MT" w:hAnsi="Gill Sans MT"/>
        </w:rPr>
        <w:t xml:space="preserve">The </w:t>
      </w:r>
      <w:r w:rsidRPr="00461888">
        <w:rPr>
          <w:rFonts w:ascii="Gill Sans MT" w:hAnsi="Gill Sans MT"/>
          <w:i/>
        </w:rPr>
        <w:t>Tasmanian Urban Passenger Framework</w:t>
      </w:r>
      <w:r w:rsidR="00DB1C74">
        <w:rPr>
          <w:rFonts w:ascii="Gill Sans MT" w:hAnsi="Gill Sans MT"/>
        </w:rPr>
        <w:t xml:space="preserve"> was released in 2010</w:t>
      </w:r>
      <w:r w:rsidRPr="00461888">
        <w:rPr>
          <w:rFonts w:ascii="Gill Sans MT" w:hAnsi="Gill Sans MT"/>
        </w:rPr>
        <w:t xml:space="preserve"> to provide direction for urban passenger transport in the State.  The vision statement is:</w:t>
      </w:r>
    </w:p>
    <w:p w:rsidR="00461888" w:rsidRPr="009806F0" w:rsidRDefault="009806F0" w:rsidP="009F7B89">
      <w:pPr>
        <w:pStyle w:val="ListParagraph"/>
        <w:ind w:left="567" w:right="946"/>
        <w:rPr>
          <w:rFonts w:ascii="Gill Sans MT" w:hAnsi="Gill Sans MT"/>
          <w:i/>
        </w:rPr>
      </w:pPr>
      <w:r w:rsidRPr="009806F0">
        <w:rPr>
          <w:rFonts w:ascii="Gill Sans MT" w:hAnsi="Gill Sans MT"/>
          <w:i/>
        </w:rPr>
        <w:t>“</w:t>
      </w:r>
      <w:r w:rsidR="00461888" w:rsidRPr="009806F0">
        <w:rPr>
          <w:rFonts w:ascii="Gill Sans MT" w:hAnsi="Gill Sans MT"/>
          <w:i/>
        </w:rPr>
        <w:t>A safe and responsive passenger transport system that supports improved accessibility, liveability, and health outcomes for our communities, in the context of the challenges of climate change.</w:t>
      </w:r>
      <w:r w:rsidRPr="009806F0">
        <w:rPr>
          <w:rFonts w:ascii="Gill Sans MT" w:hAnsi="Gill Sans MT"/>
          <w:i/>
        </w:rPr>
        <w:t>”</w:t>
      </w:r>
    </w:p>
    <w:p w:rsidR="00461888" w:rsidRPr="00461888" w:rsidRDefault="00461888" w:rsidP="009F7B89">
      <w:pPr>
        <w:ind w:left="567"/>
        <w:rPr>
          <w:rFonts w:ascii="Gill Sans MT" w:hAnsi="Gill Sans MT"/>
        </w:rPr>
      </w:pPr>
      <w:r w:rsidRPr="00461888">
        <w:rPr>
          <w:rFonts w:ascii="Gill Sans MT" w:hAnsi="Gill Sans MT"/>
        </w:rPr>
        <w:t xml:space="preserve">The </w:t>
      </w:r>
      <w:bookmarkStart w:id="30" w:name="OLE_LINK16"/>
      <w:bookmarkStart w:id="31" w:name="OLE_LINK23"/>
      <w:r w:rsidRPr="00461888">
        <w:rPr>
          <w:rFonts w:ascii="Gill Sans MT" w:hAnsi="Gill Sans MT"/>
        </w:rPr>
        <w:t>Framework provides the overarching policy response to deliver better modal choice to people in urban areas</w:t>
      </w:r>
      <w:bookmarkEnd w:id="30"/>
      <w:bookmarkEnd w:id="31"/>
      <w:r w:rsidRPr="00461888">
        <w:rPr>
          <w:rFonts w:ascii="Gill Sans MT" w:hAnsi="Gill Sans MT"/>
        </w:rPr>
        <w:t xml:space="preserve"> and identifies Metropolitan Transport Plans as key initiatives to ensure that investment in the transport system is matched by supportive land use planning decisions.</w:t>
      </w:r>
    </w:p>
    <w:p w:rsidR="00461888" w:rsidRPr="00461888" w:rsidRDefault="00461888" w:rsidP="009F7B89">
      <w:pPr>
        <w:ind w:left="567"/>
        <w:rPr>
          <w:rFonts w:ascii="Gill Sans MT" w:hAnsi="Gill Sans MT" w:cs="Arial"/>
        </w:rPr>
      </w:pPr>
      <w:r w:rsidRPr="00461888">
        <w:rPr>
          <w:rFonts w:ascii="Gill Sans MT" w:hAnsi="Gill Sans MT"/>
        </w:rPr>
        <w:t xml:space="preserve">DIER is currently working with stakeholders on the </w:t>
      </w:r>
      <w:r w:rsidRPr="00461888">
        <w:rPr>
          <w:rFonts w:ascii="Gill Sans MT" w:hAnsi="Gill Sans MT"/>
          <w:i/>
        </w:rPr>
        <w:t xml:space="preserve">Greater Launceston Metropolitan Passenger Transport Plan. </w:t>
      </w:r>
      <w:r w:rsidRPr="00461888">
        <w:rPr>
          <w:rFonts w:ascii="Gill Sans MT" w:hAnsi="Gill Sans MT"/>
        </w:rPr>
        <w:t>This</w:t>
      </w:r>
      <w:r w:rsidRPr="00461888">
        <w:rPr>
          <w:rFonts w:ascii="Gill Sans MT" w:hAnsi="Gill Sans MT" w:cs="Arial"/>
        </w:rPr>
        <w:t xml:space="preserve"> will provide a framework to guide future passenger transport development and investment in Greater Launceston. </w:t>
      </w:r>
      <w:r w:rsidRPr="00461888">
        <w:rPr>
          <w:rFonts w:ascii="Gill Sans MT" w:hAnsi="Gill Sans MT" w:cs="Arial"/>
        </w:rPr>
        <w:lastRenderedPageBreak/>
        <w:t xml:space="preserve">To progress the outcomes of the </w:t>
      </w:r>
      <w:r w:rsidRPr="00461888">
        <w:rPr>
          <w:rFonts w:ascii="Gill Sans MT" w:hAnsi="Gill Sans MT" w:cs="Arial"/>
          <w:i/>
        </w:rPr>
        <w:t>Tasmanian Urban Passenger Transport Framework</w:t>
      </w:r>
      <w:r w:rsidRPr="00461888">
        <w:rPr>
          <w:rFonts w:ascii="Gill Sans MT" w:hAnsi="Gill Sans MT" w:cs="Arial"/>
        </w:rPr>
        <w:t xml:space="preserve"> </w:t>
      </w:r>
      <w:r w:rsidR="009806F0">
        <w:rPr>
          <w:rFonts w:ascii="Gill Sans MT" w:hAnsi="Gill Sans MT" w:cs="Arial"/>
        </w:rPr>
        <w:t>the Passenger T</w:t>
      </w:r>
      <w:r w:rsidRPr="00461888">
        <w:rPr>
          <w:rFonts w:ascii="Gill Sans MT" w:hAnsi="Gill Sans MT" w:cs="Arial"/>
        </w:rPr>
        <w:t xml:space="preserve">ransport </w:t>
      </w:r>
      <w:r w:rsidR="009806F0">
        <w:rPr>
          <w:rFonts w:ascii="Gill Sans MT" w:hAnsi="Gill Sans MT" w:cs="Arial"/>
        </w:rPr>
        <w:t>P</w:t>
      </w:r>
      <w:r w:rsidRPr="00461888">
        <w:rPr>
          <w:rFonts w:ascii="Gill Sans MT" w:hAnsi="Gill Sans MT" w:cs="Arial"/>
        </w:rPr>
        <w:t>lan has the following objectives:</w:t>
      </w:r>
    </w:p>
    <w:p w:rsidR="00461888" w:rsidRPr="00461888" w:rsidRDefault="00461888" w:rsidP="009F7B89">
      <w:pPr>
        <w:keepLines/>
        <w:numPr>
          <w:ilvl w:val="0"/>
          <w:numId w:val="49"/>
        </w:numPr>
        <w:spacing w:before="100" w:beforeAutospacing="1" w:after="100" w:afterAutospacing="1" w:line="240" w:lineRule="auto"/>
        <w:ind w:left="993"/>
        <w:rPr>
          <w:rFonts w:ascii="Gill Sans MT" w:hAnsi="Gill Sans MT" w:cs="Arial"/>
        </w:rPr>
      </w:pPr>
      <w:r w:rsidRPr="00461888">
        <w:rPr>
          <w:rFonts w:ascii="Gill Sans MT" w:hAnsi="Gill Sans MT" w:cs="Arial"/>
        </w:rPr>
        <w:t>To encourage and promote stakeholder and</w:t>
      </w:r>
      <w:r w:rsidR="009806F0">
        <w:rPr>
          <w:rFonts w:ascii="Gill Sans MT" w:hAnsi="Gill Sans MT" w:cs="Arial"/>
        </w:rPr>
        <w:t xml:space="preserve"> community awareness of non-car-</w:t>
      </w:r>
      <w:r w:rsidRPr="00461888">
        <w:rPr>
          <w:rFonts w:ascii="Gill Sans MT" w:hAnsi="Gill Sans MT" w:cs="Arial"/>
        </w:rPr>
        <w:t>based travel options and solutions;</w:t>
      </w:r>
    </w:p>
    <w:p w:rsidR="00461888" w:rsidRPr="00461888" w:rsidRDefault="00461888" w:rsidP="009F7B89">
      <w:pPr>
        <w:keepLines/>
        <w:numPr>
          <w:ilvl w:val="0"/>
          <w:numId w:val="49"/>
        </w:numPr>
        <w:spacing w:before="100" w:beforeAutospacing="1" w:after="100" w:afterAutospacing="1" w:line="240" w:lineRule="auto"/>
        <w:ind w:left="993"/>
        <w:rPr>
          <w:rFonts w:ascii="Gill Sans MT" w:hAnsi="Gill Sans MT" w:cs="Arial"/>
        </w:rPr>
      </w:pPr>
      <w:r w:rsidRPr="00461888">
        <w:rPr>
          <w:rFonts w:ascii="Gill Sans MT" w:hAnsi="Gill Sans MT" w:cs="Arial"/>
        </w:rPr>
        <w:t>To identify and promote opportunities for non-infrastructure solutions to manage travel demand issues; and</w:t>
      </w:r>
    </w:p>
    <w:p w:rsidR="00461888" w:rsidRPr="00461888" w:rsidRDefault="00461888" w:rsidP="009F7B89">
      <w:pPr>
        <w:keepLines/>
        <w:numPr>
          <w:ilvl w:val="0"/>
          <w:numId w:val="49"/>
        </w:numPr>
        <w:spacing w:before="100" w:beforeAutospacing="1" w:after="100" w:afterAutospacing="1" w:line="240" w:lineRule="auto"/>
        <w:ind w:left="993"/>
        <w:rPr>
          <w:rFonts w:ascii="Gill Sans MT" w:hAnsi="Gill Sans MT" w:cs="Arial"/>
        </w:rPr>
      </w:pPr>
      <w:r w:rsidRPr="00461888">
        <w:rPr>
          <w:rFonts w:ascii="Gill Sans MT" w:hAnsi="Gill Sans MT" w:cs="Arial"/>
        </w:rPr>
        <w:t>To achieve agreement between major stakeholders for an action plan that pursues non-car</w:t>
      </w:r>
      <w:r w:rsidR="009806F0">
        <w:rPr>
          <w:rFonts w:ascii="Gill Sans MT" w:hAnsi="Gill Sans MT" w:cs="Arial"/>
        </w:rPr>
        <w:t>-</w:t>
      </w:r>
      <w:r w:rsidRPr="00461888">
        <w:rPr>
          <w:rFonts w:ascii="Gill Sans MT" w:hAnsi="Gill Sans MT" w:cs="Arial"/>
        </w:rPr>
        <w:t>based solutions to travel demand issues.</w:t>
      </w:r>
    </w:p>
    <w:p w:rsidR="00461888" w:rsidRPr="00461888" w:rsidRDefault="00461888" w:rsidP="009F7B89">
      <w:pPr>
        <w:ind w:left="567"/>
        <w:rPr>
          <w:rFonts w:ascii="Gill Sans MT" w:hAnsi="Gill Sans MT" w:cs="Arial"/>
        </w:rPr>
      </w:pPr>
      <w:r w:rsidRPr="00461888">
        <w:rPr>
          <w:rFonts w:ascii="Gill Sans MT" w:hAnsi="Gill Sans MT" w:cs="Arial"/>
        </w:rPr>
        <w:t>To achieve these objectives, the Plan will work towards the following specific outcomes:</w:t>
      </w:r>
    </w:p>
    <w:p w:rsidR="00461888" w:rsidRPr="00461888" w:rsidRDefault="00461888" w:rsidP="009F7B89">
      <w:pPr>
        <w:keepLines/>
        <w:numPr>
          <w:ilvl w:val="0"/>
          <w:numId w:val="49"/>
        </w:numPr>
        <w:spacing w:before="100" w:beforeAutospacing="1" w:after="100" w:afterAutospacing="1" w:line="240" w:lineRule="auto"/>
        <w:ind w:left="993"/>
        <w:rPr>
          <w:rFonts w:ascii="Gill Sans MT" w:hAnsi="Gill Sans MT" w:cs="Arial"/>
        </w:rPr>
      </w:pPr>
      <w:r w:rsidRPr="00461888">
        <w:rPr>
          <w:rFonts w:ascii="Gill Sans MT" w:hAnsi="Gill Sans MT" w:cs="Arial"/>
        </w:rPr>
        <w:t>Map passenger transport demand drivers;</w:t>
      </w:r>
    </w:p>
    <w:p w:rsidR="00461888" w:rsidRPr="00461888" w:rsidRDefault="00461888" w:rsidP="009F7B89">
      <w:pPr>
        <w:keepLines/>
        <w:numPr>
          <w:ilvl w:val="0"/>
          <w:numId w:val="49"/>
        </w:numPr>
        <w:spacing w:before="100" w:beforeAutospacing="1" w:after="100" w:afterAutospacing="1" w:line="240" w:lineRule="auto"/>
        <w:ind w:left="993"/>
        <w:rPr>
          <w:rFonts w:ascii="Gill Sans MT" w:hAnsi="Gill Sans MT" w:cs="Arial"/>
        </w:rPr>
      </w:pPr>
      <w:r w:rsidRPr="00461888">
        <w:rPr>
          <w:rFonts w:ascii="Gill Sans MT" w:hAnsi="Gill Sans MT" w:cs="Arial"/>
        </w:rPr>
        <w:t>Map land use patterns, including residential and future growth areas, key activity and employment centres;</w:t>
      </w:r>
    </w:p>
    <w:p w:rsidR="00461888" w:rsidRPr="00461888" w:rsidRDefault="00461888" w:rsidP="009F7B89">
      <w:pPr>
        <w:keepLines/>
        <w:numPr>
          <w:ilvl w:val="0"/>
          <w:numId w:val="49"/>
        </w:numPr>
        <w:spacing w:before="100" w:beforeAutospacing="1" w:after="100" w:afterAutospacing="1" w:line="240" w:lineRule="auto"/>
        <w:ind w:left="993"/>
        <w:rPr>
          <w:rFonts w:ascii="Gill Sans MT" w:hAnsi="Gill Sans MT" w:cs="Arial"/>
        </w:rPr>
      </w:pPr>
      <w:r w:rsidRPr="00461888">
        <w:rPr>
          <w:rFonts w:ascii="Gill Sans MT" w:hAnsi="Gill Sans MT" w:cs="Arial"/>
        </w:rPr>
        <w:t xml:space="preserve">Identify key passenger transport corridors and attributes and assess potential travel demand management measures such as park and ride and high frequency transit corridors; and </w:t>
      </w:r>
    </w:p>
    <w:p w:rsidR="00461888" w:rsidRPr="00461888" w:rsidRDefault="00461888" w:rsidP="009F7B89">
      <w:pPr>
        <w:keepLines/>
        <w:numPr>
          <w:ilvl w:val="0"/>
          <w:numId w:val="49"/>
        </w:numPr>
        <w:spacing w:before="100" w:beforeAutospacing="1" w:after="100" w:afterAutospacing="1" w:line="240" w:lineRule="auto"/>
        <w:ind w:left="993"/>
        <w:rPr>
          <w:rFonts w:ascii="Gill Sans MT" w:hAnsi="Gill Sans MT" w:cs="Arial"/>
        </w:rPr>
      </w:pPr>
      <w:r w:rsidRPr="00461888">
        <w:rPr>
          <w:rFonts w:ascii="Gill Sans MT" w:hAnsi="Gill Sans MT" w:cs="Arial"/>
        </w:rPr>
        <w:t>Identify and assess local transport linkages and opportunities.</w:t>
      </w:r>
    </w:p>
    <w:p w:rsidR="00461888" w:rsidRPr="00461888" w:rsidRDefault="00461888" w:rsidP="009F7B89">
      <w:pPr>
        <w:ind w:left="567"/>
        <w:rPr>
          <w:rFonts w:ascii="Gill Sans MT" w:hAnsi="Gill Sans MT" w:cs="Arial"/>
        </w:rPr>
      </w:pPr>
      <w:r w:rsidRPr="00461888">
        <w:rPr>
          <w:rFonts w:ascii="Gill Sans MT" w:hAnsi="Gill Sans MT" w:cs="Arial"/>
        </w:rPr>
        <w:t>Metropolitan and regional Information on public transport and cycling is provided below. Further detail on the metropolitan context – including local issues and potential options – will be available through the Passenger Transport Plan background documents. The actions identified through this work will inform the urban component of the Northern Integrated Transport Plan.</w:t>
      </w:r>
    </w:p>
    <w:p w:rsidR="00461888" w:rsidRPr="00461888" w:rsidRDefault="00461888" w:rsidP="009F7B89">
      <w:pPr>
        <w:pStyle w:val="Heading2"/>
        <w:ind w:left="567"/>
      </w:pPr>
      <w:r w:rsidRPr="00461888">
        <w:t>Public transport</w:t>
      </w:r>
      <w:bookmarkEnd w:id="26"/>
      <w:bookmarkEnd w:id="27"/>
      <w:bookmarkEnd w:id="28"/>
      <w:bookmarkEnd w:id="29"/>
    </w:p>
    <w:p w:rsidR="00461888" w:rsidRPr="00461888" w:rsidRDefault="00461888" w:rsidP="009F7B89">
      <w:pPr>
        <w:pStyle w:val="Subtitle"/>
        <w:ind w:left="567"/>
        <w:rPr>
          <w:rFonts w:ascii="Gill Sans MT" w:hAnsi="Gill Sans MT"/>
        </w:rPr>
      </w:pPr>
      <w:r w:rsidRPr="00461888">
        <w:rPr>
          <w:rFonts w:ascii="Gill Sans MT" w:hAnsi="Gill Sans MT"/>
        </w:rPr>
        <w:t>Metropolitan</w:t>
      </w:r>
    </w:p>
    <w:p w:rsidR="00461888" w:rsidRPr="00461888" w:rsidRDefault="00461888" w:rsidP="009F7B89">
      <w:pPr>
        <w:ind w:left="567"/>
        <w:rPr>
          <w:rFonts w:ascii="Gill Sans MT" w:hAnsi="Gill Sans MT"/>
        </w:rPr>
      </w:pPr>
      <w:r w:rsidRPr="00461888">
        <w:rPr>
          <w:rFonts w:ascii="Gill Sans MT" w:hAnsi="Gill Sans MT"/>
        </w:rPr>
        <w:t xml:space="preserve">Metro Tasmania operates bus services within and around Launceston with a variety of other operators servicing the rest of the region.   </w:t>
      </w:r>
    </w:p>
    <w:p w:rsidR="00461888" w:rsidRPr="00461888" w:rsidRDefault="00461888" w:rsidP="009F7B89">
      <w:pPr>
        <w:ind w:left="567"/>
        <w:rPr>
          <w:rFonts w:ascii="Gill Sans MT" w:hAnsi="Gill Sans MT"/>
        </w:rPr>
      </w:pPr>
      <w:r w:rsidRPr="00461888">
        <w:rPr>
          <w:rFonts w:ascii="Gill Sans MT" w:hAnsi="Gill Sans MT"/>
        </w:rPr>
        <w:t xml:space="preserve">Public transport in Tasmania is supported through significant subsidies by the Tasmanian Government.  Fares only account for around 30% of Metro’s revenue.  Subsidisation allows for additional services in non-peak periods and low cost concession fares.  In 2009-10 the Tasmanian Government invested around $70 million in public transport across the state, including $29.5 million on Metro services.   It is estimated that on a weekday during </w:t>
      </w:r>
      <w:r w:rsidR="009806F0">
        <w:rPr>
          <w:rFonts w:ascii="Gill Sans MT" w:hAnsi="Gill Sans MT"/>
        </w:rPr>
        <w:t>the school term</w:t>
      </w:r>
      <w:r w:rsidRPr="00461888">
        <w:rPr>
          <w:rFonts w:ascii="Gill Sans MT" w:hAnsi="Gill Sans MT"/>
        </w:rPr>
        <w:t xml:space="preserve">, students make up around two-thirds of bus passengers in the Launceston metropolitan area. </w:t>
      </w:r>
    </w:p>
    <w:p w:rsidR="00461888" w:rsidRPr="00461888" w:rsidRDefault="00461888" w:rsidP="009F7B89">
      <w:pPr>
        <w:ind w:left="567"/>
        <w:rPr>
          <w:rFonts w:ascii="Gill Sans MT" w:hAnsi="Gill Sans MT"/>
        </w:rPr>
      </w:pPr>
      <w:r w:rsidRPr="00461888">
        <w:rPr>
          <w:rFonts w:ascii="Gill Sans MT" w:hAnsi="Gill Sans MT"/>
        </w:rPr>
        <w:t xml:space="preserve">Providing public transport to low density housing developments on the urban fringe can be extremely costly and inefficient.  </w:t>
      </w:r>
      <w:r w:rsidR="009806F0">
        <w:rPr>
          <w:rFonts w:ascii="Gill Sans MT" w:hAnsi="Gill Sans MT"/>
        </w:rPr>
        <w:t>Despite this,</w:t>
      </w:r>
      <w:r w:rsidRPr="00461888">
        <w:rPr>
          <w:rFonts w:ascii="Gill Sans MT" w:hAnsi="Gill Sans MT"/>
        </w:rPr>
        <w:t xml:space="preserve"> the growth of areas like Legana indicates that many people want to live in areas outside the major urban area.  Future consolidation of development around existing areas may make these services more viable.  Park and ride facilities at key locations, combined with specialised bus services may potentially be attractive for people </w:t>
      </w:r>
      <w:r w:rsidRPr="00461888">
        <w:rPr>
          <w:rFonts w:ascii="Gill Sans MT" w:hAnsi="Gill Sans MT"/>
        </w:rPr>
        <w:lastRenderedPageBreak/>
        <w:t xml:space="preserve">living in outer communities, however issues around access would remain for those with limited access to cars.   </w:t>
      </w:r>
    </w:p>
    <w:p w:rsidR="00461888" w:rsidRPr="00461888" w:rsidRDefault="00461888" w:rsidP="009F7B89">
      <w:pPr>
        <w:ind w:left="567"/>
        <w:rPr>
          <w:rFonts w:ascii="Gill Sans MT" w:hAnsi="Gill Sans MT"/>
        </w:rPr>
      </w:pPr>
      <w:r w:rsidRPr="00461888">
        <w:rPr>
          <w:rFonts w:ascii="Gill Sans MT" w:hAnsi="Gill Sans MT"/>
        </w:rPr>
        <w:t xml:space="preserve">One of the actions identified in the framework was the development of passenger transport plans for Hobart, Launceston and the North-West Coast. </w:t>
      </w:r>
    </w:p>
    <w:p w:rsidR="00756B53" w:rsidRPr="00E83DA2" w:rsidRDefault="00756B53" w:rsidP="009F7B89">
      <w:pPr>
        <w:ind w:left="567"/>
        <w:rPr>
          <w:rFonts w:ascii="Gill Sans MT" w:hAnsi="Gill Sans MT"/>
        </w:rPr>
      </w:pPr>
      <w:r w:rsidRPr="00461888">
        <w:rPr>
          <w:rFonts w:ascii="Gill Sans MT" w:hAnsi="Gill Sans MT"/>
        </w:rPr>
        <w:t>To increase</w:t>
      </w:r>
      <w:r w:rsidRPr="00E83DA2">
        <w:rPr>
          <w:rFonts w:ascii="Gill Sans MT" w:hAnsi="Gill Sans MT"/>
        </w:rPr>
        <w:t xml:space="preserve"> patronage and improve the convenience of bus travel, Metro </w:t>
      </w:r>
      <w:r w:rsidR="00201E9C">
        <w:rPr>
          <w:rFonts w:ascii="Gill Sans MT" w:hAnsi="Gill Sans MT"/>
        </w:rPr>
        <w:t xml:space="preserve">intends a </w:t>
      </w:r>
      <w:proofErr w:type="spellStart"/>
      <w:r w:rsidR="00201E9C">
        <w:rPr>
          <w:rFonts w:ascii="Gill Sans MT" w:hAnsi="Gill Sans MT"/>
        </w:rPr>
        <w:t>statewide</w:t>
      </w:r>
      <w:proofErr w:type="spellEnd"/>
      <w:r w:rsidR="00201E9C">
        <w:rPr>
          <w:rFonts w:ascii="Gill Sans MT" w:hAnsi="Gill Sans MT"/>
        </w:rPr>
        <w:t xml:space="preserve"> </w:t>
      </w:r>
      <w:r w:rsidRPr="00E83DA2">
        <w:rPr>
          <w:rFonts w:ascii="Gill Sans MT" w:hAnsi="Gill Sans MT"/>
        </w:rPr>
        <w:t xml:space="preserve">review </w:t>
      </w:r>
      <w:r w:rsidR="00201E9C">
        <w:rPr>
          <w:rFonts w:ascii="Gill Sans MT" w:hAnsi="Gill Sans MT"/>
        </w:rPr>
        <w:t xml:space="preserve">of its bus timetables </w:t>
      </w:r>
      <w:r w:rsidRPr="00E83DA2">
        <w:rPr>
          <w:rFonts w:ascii="Gill Sans MT" w:hAnsi="Gill Sans MT"/>
        </w:rPr>
        <w:t xml:space="preserve">to ensure they </w:t>
      </w:r>
      <w:r w:rsidR="00201E9C">
        <w:rPr>
          <w:rFonts w:ascii="Gill Sans MT" w:hAnsi="Gill Sans MT"/>
        </w:rPr>
        <w:t xml:space="preserve">respond to market demand, </w:t>
      </w:r>
      <w:r w:rsidRPr="00E83DA2">
        <w:rPr>
          <w:rFonts w:ascii="Gill Sans MT" w:hAnsi="Gill Sans MT"/>
        </w:rPr>
        <w:t xml:space="preserve">are more accurate and </w:t>
      </w:r>
      <w:r w:rsidR="00201E9C">
        <w:rPr>
          <w:rFonts w:ascii="Gill Sans MT" w:hAnsi="Gill Sans MT"/>
        </w:rPr>
        <w:t>read</w:t>
      </w:r>
      <w:r w:rsidRPr="00E83DA2">
        <w:rPr>
          <w:rFonts w:ascii="Gill Sans MT" w:hAnsi="Gill Sans MT"/>
        </w:rPr>
        <w:t xml:space="preserve">ily understood. They are also improving the information available at bus stops and via the web, including the use of Twitter alerts to allow people to get real time information about issues affecting services, and introducing a journey planner on the website to make it easier for people to plan their trip. </w:t>
      </w:r>
    </w:p>
    <w:p w:rsidR="00756B53" w:rsidRPr="00E03D2D" w:rsidRDefault="00756B53" w:rsidP="009F7B89">
      <w:pPr>
        <w:ind w:left="567"/>
        <w:rPr>
          <w:rFonts w:ascii="Gill Sans MT" w:hAnsi="Gill Sans MT"/>
        </w:rPr>
      </w:pPr>
      <w:r w:rsidRPr="00E83DA2">
        <w:rPr>
          <w:rFonts w:ascii="Gill Sans MT" w:hAnsi="Gill Sans MT"/>
        </w:rPr>
        <w:t xml:space="preserve">In addition to upgrading the bus fleet with modern, more eco-friendly and accessible buses, Metro is undertaking a program to progressively upgrade bus shelters and seating - especially at stops where research indicates a greater need. Currently 35% of the fleet is wheelchair accessible with low floors and kneeling capability, which allow the buses to be lowered closer to the pavement level. Metro </w:t>
      </w:r>
      <w:r w:rsidRPr="00E03D2D">
        <w:rPr>
          <w:rFonts w:ascii="Gill Sans MT" w:hAnsi="Gill Sans MT"/>
        </w:rPr>
        <w:t>has a fleet replacement program that will increase the number of wheelchair accessible buses operating in Tasmania.</w:t>
      </w:r>
    </w:p>
    <w:p w:rsidR="00E03D2D" w:rsidRPr="00E03D2D" w:rsidRDefault="00E03D2D" w:rsidP="009F7B89">
      <w:pPr>
        <w:ind w:left="567"/>
        <w:rPr>
          <w:rFonts w:ascii="Gill Sans MT" w:hAnsi="Gill Sans MT"/>
        </w:rPr>
      </w:pPr>
      <w:r w:rsidRPr="00E03D2D">
        <w:rPr>
          <w:rFonts w:ascii="Gill Sans MT" w:hAnsi="Gill Sans MT"/>
        </w:rPr>
        <w:t>While the above attributes may improve patronage, the most influential impact across a range of factors, is increases in the frequency of services with a good spread of operating hours across both weekday and weekend services.</w:t>
      </w:r>
    </w:p>
    <w:p w:rsidR="00E03D2D" w:rsidRPr="00E03D2D" w:rsidRDefault="00E03D2D" w:rsidP="009F7B89">
      <w:pPr>
        <w:ind w:left="567"/>
        <w:rPr>
          <w:rFonts w:ascii="Gill Sans MT" w:hAnsi="Gill Sans MT"/>
        </w:rPr>
      </w:pPr>
      <w:r w:rsidRPr="00E03D2D">
        <w:rPr>
          <w:rFonts w:ascii="Gill Sans MT" w:hAnsi="Gill Sans MT"/>
        </w:rPr>
        <w:t>Metro operates a high frequency corridor between Launceston CBD and Mowbray, with services operating on a 10 minute frequency during weekdays until 6:00pm.  Since the introduction of the service in 2007 there have been significant improvements in patronage along this corridor.</w:t>
      </w:r>
    </w:p>
    <w:p w:rsidR="00E03D2D" w:rsidRPr="00E03D2D" w:rsidRDefault="00E03D2D" w:rsidP="009F7B89">
      <w:pPr>
        <w:ind w:left="567"/>
        <w:rPr>
          <w:rFonts w:ascii="Gill Sans MT" w:hAnsi="Gill Sans MT"/>
        </w:rPr>
      </w:pPr>
      <w:r w:rsidRPr="00E03D2D">
        <w:rPr>
          <w:rFonts w:ascii="Gill Sans MT" w:hAnsi="Gill Sans MT"/>
        </w:rPr>
        <w:t>Similarly, there is a lot of evidence to suggest that a network of core high frequency services operating along defined transport corridors is the most effective way to improve patronage on bus services. Such an approach is being considered as part of the Launceston Transport Plan.</w:t>
      </w:r>
    </w:p>
    <w:p w:rsidR="00756B53" w:rsidRDefault="00E03D2D" w:rsidP="009F7B89">
      <w:pPr>
        <w:ind w:left="567"/>
        <w:rPr>
          <w:rFonts w:ascii="Gill Sans MT" w:hAnsi="Gill Sans MT"/>
        </w:rPr>
      </w:pPr>
      <w:r>
        <w:rPr>
          <w:rFonts w:ascii="Gill Sans MT" w:hAnsi="Gill Sans MT"/>
        </w:rPr>
        <w:t xml:space="preserve">Additionally, </w:t>
      </w:r>
      <w:r w:rsidR="00756B53" w:rsidRPr="00E83DA2">
        <w:rPr>
          <w:rFonts w:ascii="Gill Sans MT" w:hAnsi="Gill Sans MT"/>
        </w:rPr>
        <w:t xml:space="preserve">Metro operates the Tiger Bus service which is a 15 minute weekday peak period shuttle from Inveresk to Launceston CBD and an </w:t>
      </w:r>
      <w:proofErr w:type="spellStart"/>
      <w:r w:rsidR="00756B53" w:rsidRPr="00E83DA2">
        <w:rPr>
          <w:rFonts w:ascii="Gill Sans MT" w:hAnsi="Gill Sans MT"/>
        </w:rPr>
        <w:t>interpeak</w:t>
      </w:r>
      <w:proofErr w:type="spellEnd"/>
      <w:r w:rsidR="00756B53" w:rsidRPr="00E83DA2">
        <w:rPr>
          <w:rFonts w:ascii="Gill Sans MT" w:hAnsi="Gill Sans MT"/>
        </w:rPr>
        <w:t xml:space="preserve"> 30 minute city loop. This service is funded by the Launceston City Council.  Around 50% of Metro’s services in Launceston are operated with an accessible bus. </w:t>
      </w:r>
    </w:p>
    <w:p w:rsidR="008F0C16" w:rsidRPr="00E83DA2" w:rsidRDefault="008F0C16" w:rsidP="009F7B89">
      <w:pPr>
        <w:ind w:left="567"/>
        <w:rPr>
          <w:rFonts w:ascii="Gill Sans MT" w:hAnsi="Gill Sans MT"/>
        </w:rPr>
      </w:pPr>
    </w:p>
    <w:p w:rsidR="00756B53" w:rsidRPr="00E83DA2" w:rsidRDefault="00756B53" w:rsidP="009F7B89">
      <w:pPr>
        <w:ind w:left="567"/>
        <w:rPr>
          <w:rStyle w:val="InstructionText"/>
        </w:rPr>
      </w:pPr>
      <w:r w:rsidRPr="00E83DA2">
        <w:rPr>
          <w:rStyle w:val="InstructionText"/>
        </w:rPr>
        <w:t>Launceston Metropolitan Services</w:t>
      </w:r>
    </w:p>
    <w:p w:rsidR="00756B53" w:rsidRDefault="00756B53" w:rsidP="009F7B89">
      <w:pPr>
        <w:ind w:left="567"/>
        <w:rPr>
          <w:rFonts w:ascii="Gill Sans MT" w:hAnsi="Gill Sans MT"/>
        </w:rPr>
      </w:pPr>
      <w:r w:rsidRPr="00E83DA2">
        <w:rPr>
          <w:rFonts w:ascii="Gill Sans MT" w:hAnsi="Gill Sans MT"/>
        </w:rPr>
        <w:t>Launceston itself is served by a comprehensive bus system providing regular bus services within the me</w:t>
      </w:r>
      <w:r w:rsidR="00D10C42">
        <w:rPr>
          <w:rFonts w:ascii="Gill Sans MT" w:hAnsi="Gill Sans MT"/>
        </w:rPr>
        <w:t xml:space="preserve">tropolitan area of Launceston: the extent of these services align with the urban boundary – an approach consistent for all services across Tasmania. </w:t>
      </w:r>
      <w:r w:rsidRPr="00E83DA2">
        <w:rPr>
          <w:rFonts w:ascii="Gill Sans MT" w:hAnsi="Gill Sans MT"/>
        </w:rPr>
        <w:t xml:space="preserve">Services operate seven days a week including evening services until </w:t>
      </w:r>
      <w:r w:rsidRPr="00E83DA2">
        <w:rPr>
          <w:rFonts w:ascii="Gill Sans MT" w:hAnsi="Gill Sans MT"/>
        </w:rPr>
        <w:lastRenderedPageBreak/>
        <w:t xml:space="preserve">approximately 10pm Monday to Saturday.  Nearly all metropolitan areas are serviced by Metro, including outer metropolitan areas such as Hadspen St Leonards and Blackstone Heights.  Services to Legana are provided by </w:t>
      </w:r>
      <w:proofErr w:type="spellStart"/>
      <w:r w:rsidRPr="00E83DA2">
        <w:rPr>
          <w:rFonts w:ascii="Gill Sans MT" w:hAnsi="Gill Sans MT"/>
        </w:rPr>
        <w:t>Manions</w:t>
      </w:r>
      <w:proofErr w:type="spellEnd"/>
      <w:r w:rsidRPr="00E83DA2">
        <w:rPr>
          <w:rFonts w:ascii="Gill Sans MT" w:hAnsi="Gill Sans MT"/>
        </w:rPr>
        <w:t xml:space="preserve"> Coaches.  Launceston has many areas with people who are transport disadvantaged who have critical needs for bus services throughout the week.  Most core areas are provided with services after 6pm on an hourly basis.  Some areas which are </w:t>
      </w:r>
      <w:proofErr w:type="spellStart"/>
      <w:r w:rsidRPr="00E83DA2">
        <w:rPr>
          <w:rFonts w:ascii="Gill Sans MT" w:hAnsi="Gill Sans MT"/>
        </w:rPr>
        <w:t>unserviced</w:t>
      </w:r>
      <w:proofErr w:type="spellEnd"/>
      <w:r w:rsidRPr="00E83DA2">
        <w:rPr>
          <w:rFonts w:ascii="Gill Sans MT" w:hAnsi="Gill Sans MT"/>
        </w:rPr>
        <w:t xml:space="preserve"> at night have nearby services within 500 metres walk.  All areas have Saturday services, including outer metropolitan areas.  Sunday services are limited to key suburbs.  Routes are designed around a series of loops, providing passengers with higher frequency than would normally be available.  Loop services are also very cost effective to run</w:t>
      </w:r>
      <w:r w:rsidR="00510979">
        <w:rPr>
          <w:rFonts w:ascii="Gill Sans MT" w:hAnsi="Gill Sans MT"/>
        </w:rPr>
        <w:t xml:space="preserve"> but can create some confusion to patrons</w:t>
      </w:r>
      <w:r w:rsidRPr="00E83DA2">
        <w:rPr>
          <w:rFonts w:ascii="Gill Sans MT" w:hAnsi="Gill Sans MT"/>
        </w:rPr>
        <w:t xml:space="preserve">.  There is also a high frequency corridor service from Launceston to Mowbray shopping area with services continuing further to the more distant Northern suburbs.  There are also lower frequency services to outer suburbs as well as a specialist higher penetration service in the Southern suburbs.   The level of service is comparable to other cities with similar populations in Australia and New Zealand.   </w:t>
      </w:r>
    </w:p>
    <w:tbl>
      <w:tblPr>
        <w:tblStyle w:val="TableGrid"/>
        <w:tblW w:w="0" w:type="auto"/>
        <w:tblInd w:w="1101" w:type="dxa"/>
        <w:tblLook w:val="04A0"/>
      </w:tblPr>
      <w:tblGrid>
        <w:gridCol w:w="2184"/>
        <w:gridCol w:w="1242"/>
        <w:gridCol w:w="1362"/>
        <w:gridCol w:w="1362"/>
        <w:gridCol w:w="1362"/>
      </w:tblGrid>
      <w:tr w:rsidR="008F0C16" w:rsidRPr="00E83DA2" w:rsidTr="009F7B89">
        <w:trPr>
          <w:tblHeader/>
        </w:trPr>
        <w:tc>
          <w:tcPr>
            <w:tcW w:w="7512" w:type="dxa"/>
            <w:gridSpan w:val="5"/>
            <w:shd w:val="clear" w:color="auto" w:fill="4F81BD" w:themeFill="accent1"/>
          </w:tcPr>
          <w:p w:rsidR="008F0C16" w:rsidRPr="00E83DA2" w:rsidRDefault="00444FF8" w:rsidP="008D2E39">
            <w:pPr>
              <w:rPr>
                <w:rFonts w:ascii="Gill Sans MT" w:hAnsi="Gill Sans MT" w:cs="Arial"/>
                <w:b/>
              </w:rPr>
            </w:pPr>
            <w:r w:rsidRPr="00444FF8">
              <w:rPr>
                <w:rFonts w:ascii="Gill Sans MT" w:hAnsi="Gill Sans MT" w:cs="Arial"/>
                <w:b/>
                <w:i/>
              </w:rPr>
              <w:t>Figure 12</w:t>
            </w:r>
            <w:r w:rsidR="008F0C16">
              <w:rPr>
                <w:rFonts w:ascii="Gill Sans MT" w:hAnsi="Gill Sans MT" w:cs="Arial"/>
                <w:b/>
              </w:rPr>
              <w:t>. Table of Bus Services</w:t>
            </w:r>
          </w:p>
        </w:tc>
      </w:tr>
      <w:tr w:rsidR="00510979" w:rsidRPr="00E83DA2" w:rsidTr="009F7B89">
        <w:trPr>
          <w:tblHeader/>
        </w:trPr>
        <w:tc>
          <w:tcPr>
            <w:tcW w:w="2184" w:type="dxa"/>
            <w:shd w:val="clear" w:color="auto" w:fill="4F81BD" w:themeFill="accent1"/>
          </w:tcPr>
          <w:p w:rsidR="00510979" w:rsidRPr="00E83DA2" w:rsidRDefault="00510979" w:rsidP="008D2E39">
            <w:pPr>
              <w:rPr>
                <w:rFonts w:ascii="Gill Sans MT" w:hAnsi="Gill Sans MT" w:cs="Arial"/>
                <w:b/>
              </w:rPr>
            </w:pPr>
            <w:r w:rsidRPr="00E83DA2">
              <w:rPr>
                <w:rFonts w:ascii="Gill Sans MT" w:hAnsi="Gill Sans MT" w:cs="Arial"/>
                <w:b/>
              </w:rPr>
              <w:t>Suburbs or areas</w:t>
            </w:r>
          </w:p>
        </w:tc>
        <w:tc>
          <w:tcPr>
            <w:tcW w:w="1242" w:type="dxa"/>
            <w:shd w:val="clear" w:color="auto" w:fill="4F81BD" w:themeFill="accent1"/>
          </w:tcPr>
          <w:p w:rsidR="00510979" w:rsidRPr="00E83DA2" w:rsidRDefault="00510979" w:rsidP="008D2E39">
            <w:pPr>
              <w:rPr>
                <w:rFonts w:ascii="Gill Sans MT" w:hAnsi="Gill Sans MT" w:cs="Arial"/>
                <w:b/>
              </w:rPr>
            </w:pPr>
            <w:r w:rsidRPr="00E83DA2">
              <w:rPr>
                <w:rFonts w:ascii="Gill Sans MT" w:hAnsi="Gill Sans MT" w:cs="Arial"/>
                <w:b/>
              </w:rPr>
              <w:t>Weekday core day time hours before 6pm</w:t>
            </w:r>
          </w:p>
        </w:tc>
        <w:tc>
          <w:tcPr>
            <w:tcW w:w="1362" w:type="dxa"/>
            <w:shd w:val="clear" w:color="auto" w:fill="4F81BD" w:themeFill="accent1"/>
          </w:tcPr>
          <w:p w:rsidR="00510979" w:rsidRPr="00E83DA2" w:rsidRDefault="00510979" w:rsidP="008D2E39">
            <w:pPr>
              <w:rPr>
                <w:rFonts w:ascii="Gill Sans MT" w:hAnsi="Gill Sans MT" w:cs="Arial"/>
                <w:b/>
              </w:rPr>
            </w:pPr>
            <w:r w:rsidRPr="00E83DA2">
              <w:rPr>
                <w:rFonts w:ascii="Gill Sans MT" w:hAnsi="Gill Sans MT" w:cs="Arial"/>
                <w:b/>
              </w:rPr>
              <w:t>Weekday &amp; Saturday Evenings to approx 10pm</w:t>
            </w:r>
          </w:p>
        </w:tc>
        <w:tc>
          <w:tcPr>
            <w:tcW w:w="1362" w:type="dxa"/>
            <w:shd w:val="clear" w:color="auto" w:fill="4F81BD" w:themeFill="accent1"/>
          </w:tcPr>
          <w:p w:rsidR="00510979" w:rsidRPr="00E83DA2" w:rsidRDefault="00510979" w:rsidP="008D2E39">
            <w:pPr>
              <w:rPr>
                <w:rFonts w:ascii="Gill Sans MT" w:hAnsi="Gill Sans MT" w:cs="Arial"/>
                <w:b/>
              </w:rPr>
            </w:pPr>
            <w:r w:rsidRPr="00E83DA2">
              <w:rPr>
                <w:rFonts w:ascii="Gill Sans MT" w:hAnsi="Gill Sans MT" w:cs="Arial"/>
                <w:b/>
              </w:rPr>
              <w:t>Saturday core day time hours before 6pm</w:t>
            </w:r>
          </w:p>
        </w:tc>
        <w:tc>
          <w:tcPr>
            <w:tcW w:w="1362" w:type="dxa"/>
            <w:shd w:val="clear" w:color="auto" w:fill="4F81BD" w:themeFill="accent1"/>
          </w:tcPr>
          <w:p w:rsidR="00510979" w:rsidRPr="00E83DA2" w:rsidRDefault="00510979" w:rsidP="008D2E39">
            <w:pPr>
              <w:rPr>
                <w:rFonts w:ascii="Gill Sans MT" w:hAnsi="Gill Sans MT" w:cs="Arial"/>
                <w:b/>
              </w:rPr>
            </w:pPr>
            <w:r w:rsidRPr="00E83DA2">
              <w:rPr>
                <w:rFonts w:ascii="Gill Sans MT" w:hAnsi="Gill Sans MT" w:cs="Arial"/>
                <w:b/>
              </w:rPr>
              <w:t xml:space="preserve">Sunday core day time hours </w:t>
            </w:r>
          </w:p>
        </w:tc>
      </w:tr>
      <w:tr w:rsidR="00510979" w:rsidRPr="00E83DA2" w:rsidTr="009F7B89">
        <w:tc>
          <w:tcPr>
            <w:tcW w:w="2184" w:type="dxa"/>
            <w:shd w:val="clear" w:color="auto" w:fill="DBE5F1" w:themeFill="accent1" w:themeFillTint="33"/>
          </w:tcPr>
          <w:p w:rsidR="00510979" w:rsidRPr="00E83DA2" w:rsidRDefault="00510979" w:rsidP="008D2E39">
            <w:pPr>
              <w:jc w:val="center"/>
              <w:rPr>
                <w:rFonts w:ascii="Gill Sans MT" w:hAnsi="Gill Sans MT" w:cs="Arial"/>
                <w:b/>
              </w:rPr>
            </w:pPr>
            <w:r w:rsidRPr="00E83DA2">
              <w:rPr>
                <w:rFonts w:ascii="Gill Sans MT" w:hAnsi="Gill Sans MT" w:cs="Arial"/>
                <w:b/>
              </w:rPr>
              <w:t>Northern Launceston</w:t>
            </w:r>
          </w:p>
        </w:tc>
        <w:tc>
          <w:tcPr>
            <w:tcW w:w="124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r>
      <w:tr w:rsidR="00510979" w:rsidRPr="00E83DA2" w:rsidTr="009F7B89">
        <w:tc>
          <w:tcPr>
            <w:tcW w:w="2184" w:type="dxa"/>
          </w:tcPr>
          <w:p w:rsidR="00510979" w:rsidRPr="00E83DA2" w:rsidRDefault="00510979" w:rsidP="00510979">
            <w:pPr>
              <w:jc w:val="center"/>
              <w:rPr>
                <w:rFonts w:ascii="Gill Sans MT" w:hAnsi="Gill Sans MT" w:cs="Arial"/>
                <w:i/>
              </w:rPr>
            </w:pPr>
            <w:r w:rsidRPr="00E83DA2">
              <w:rPr>
                <w:rFonts w:ascii="Gill Sans MT" w:hAnsi="Gill Sans MT" w:cs="Arial"/>
                <w:i/>
              </w:rPr>
              <w:t xml:space="preserve">Launceston to Mowbray Shopping Centre Corridor </w:t>
            </w:r>
          </w:p>
        </w:tc>
        <w:tc>
          <w:tcPr>
            <w:tcW w:w="1242" w:type="dxa"/>
          </w:tcPr>
          <w:p w:rsidR="00510979" w:rsidRPr="00E83DA2" w:rsidRDefault="00510979" w:rsidP="008D2E39">
            <w:pPr>
              <w:jc w:val="center"/>
              <w:rPr>
                <w:rFonts w:ascii="Gill Sans MT" w:hAnsi="Gill Sans MT" w:cs="Arial"/>
              </w:rPr>
            </w:pPr>
            <w:r w:rsidRPr="00E83DA2">
              <w:rPr>
                <w:rFonts w:ascii="Gill Sans MT" w:hAnsi="Gill Sans MT" w:cs="Arial"/>
              </w:rPr>
              <w:t>10</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60</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30@</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60</w:t>
            </w:r>
          </w:p>
        </w:tc>
      </w:tr>
      <w:tr w:rsidR="00510979" w:rsidRPr="00E83DA2" w:rsidTr="009F7B89">
        <w:tc>
          <w:tcPr>
            <w:tcW w:w="2184" w:type="dxa"/>
          </w:tcPr>
          <w:p w:rsidR="00510979" w:rsidRPr="00E83DA2" w:rsidRDefault="00510979" w:rsidP="008D2E39">
            <w:pPr>
              <w:jc w:val="center"/>
              <w:rPr>
                <w:rFonts w:ascii="Gill Sans MT" w:hAnsi="Gill Sans MT" w:cs="Arial"/>
              </w:rPr>
            </w:pPr>
            <w:r w:rsidRPr="00E83DA2">
              <w:rPr>
                <w:rFonts w:ascii="Gill Sans MT" w:hAnsi="Gill Sans MT" w:cs="Arial"/>
              </w:rPr>
              <w:t>Rocherlea</w:t>
            </w:r>
          </w:p>
        </w:tc>
        <w:tc>
          <w:tcPr>
            <w:tcW w:w="1242" w:type="dxa"/>
          </w:tcPr>
          <w:p w:rsidR="00510979" w:rsidRPr="00E83DA2" w:rsidRDefault="00510979" w:rsidP="008D2E39">
            <w:pPr>
              <w:jc w:val="center"/>
              <w:rPr>
                <w:rFonts w:ascii="Gill Sans MT" w:hAnsi="Gill Sans MT" w:cs="Arial"/>
              </w:rPr>
            </w:pPr>
            <w:r w:rsidRPr="00E83DA2">
              <w:rPr>
                <w:rFonts w:ascii="Gill Sans MT" w:hAnsi="Gill Sans MT" w:cs="Arial"/>
              </w:rPr>
              <w:t>30</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60</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30</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60</w:t>
            </w:r>
          </w:p>
        </w:tc>
      </w:tr>
      <w:tr w:rsidR="00510979" w:rsidRPr="00E83DA2" w:rsidTr="009F7B89">
        <w:tc>
          <w:tcPr>
            <w:tcW w:w="2184" w:type="dxa"/>
          </w:tcPr>
          <w:p w:rsidR="00510979" w:rsidRPr="00E83DA2" w:rsidRDefault="00510979" w:rsidP="008D2E39">
            <w:pPr>
              <w:jc w:val="center"/>
              <w:rPr>
                <w:rFonts w:ascii="Gill Sans MT" w:hAnsi="Gill Sans MT" w:cs="Arial"/>
              </w:rPr>
            </w:pPr>
            <w:r w:rsidRPr="00E83DA2">
              <w:rPr>
                <w:rFonts w:ascii="Gill Sans MT" w:hAnsi="Gill Sans MT" w:cs="Arial"/>
              </w:rPr>
              <w:t>University</w:t>
            </w:r>
          </w:p>
        </w:tc>
        <w:tc>
          <w:tcPr>
            <w:tcW w:w="1242" w:type="dxa"/>
          </w:tcPr>
          <w:p w:rsidR="00510979" w:rsidRPr="00E83DA2" w:rsidRDefault="00510979" w:rsidP="008D2E39">
            <w:pPr>
              <w:jc w:val="center"/>
              <w:rPr>
                <w:rFonts w:ascii="Gill Sans MT" w:hAnsi="Gill Sans MT" w:cs="Arial"/>
              </w:rPr>
            </w:pPr>
            <w:r w:rsidRPr="00E83DA2">
              <w:rPr>
                <w:rFonts w:ascii="Gill Sans MT" w:hAnsi="Gill Sans MT" w:cs="Arial"/>
              </w:rPr>
              <w:t>30</w:t>
            </w:r>
          </w:p>
        </w:tc>
        <w:tc>
          <w:tcPr>
            <w:tcW w:w="1362" w:type="dxa"/>
          </w:tcPr>
          <w:p w:rsidR="00510979" w:rsidRPr="00510979" w:rsidRDefault="00510979" w:rsidP="00B517DE">
            <w:pPr>
              <w:jc w:val="center"/>
              <w:rPr>
                <w:rFonts w:ascii="Gill Sans MT" w:hAnsi="Gill Sans MT" w:cs="Arial"/>
              </w:rPr>
            </w:pPr>
            <w:r w:rsidRPr="00510979">
              <w:rPr>
                <w:rFonts w:ascii="Gill Sans MT" w:hAnsi="Gill Sans MT" w:cs="Arial"/>
              </w:rPr>
              <w:t>Close to alternative service.</w:t>
            </w:r>
          </w:p>
        </w:tc>
        <w:tc>
          <w:tcPr>
            <w:tcW w:w="1362" w:type="dxa"/>
          </w:tcPr>
          <w:p w:rsidR="00510979" w:rsidRPr="00510979" w:rsidRDefault="00510979" w:rsidP="00B517DE">
            <w:pPr>
              <w:jc w:val="center"/>
              <w:rPr>
                <w:rFonts w:ascii="Gill Sans MT" w:hAnsi="Gill Sans MT" w:cs="Arial"/>
              </w:rPr>
            </w:pPr>
            <w:r w:rsidRPr="00510979">
              <w:rPr>
                <w:rFonts w:ascii="Gill Sans MT" w:hAnsi="Gill Sans MT" w:cs="Arial"/>
              </w:rPr>
              <w:t>Close to alternative service.</w:t>
            </w:r>
          </w:p>
        </w:tc>
        <w:tc>
          <w:tcPr>
            <w:tcW w:w="1362" w:type="dxa"/>
          </w:tcPr>
          <w:p w:rsidR="00510979" w:rsidRPr="00510979" w:rsidRDefault="00510979" w:rsidP="00B517DE">
            <w:pPr>
              <w:jc w:val="center"/>
              <w:rPr>
                <w:rFonts w:ascii="Gill Sans MT" w:hAnsi="Gill Sans MT" w:cs="Arial"/>
              </w:rPr>
            </w:pPr>
            <w:r w:rsidRPr="00510979">
              <w:rPr>
                <w:rFonts w:ascii="Gill Sans MT" w:hAnsi="Gill Sans MT" w:cs="Arial"/>
              </w:rPr>
              <w:t>Close to alternative service.</w:t>
            </w:r>
          </w:p>
        </w:tc>
      </w:tr>
      <w:tr w:rsidR="00510979" w:rsidRPr="00E83DA2" w:rsidTr="009F7B89">
        <w:tc>
          <w:tcPr>
            <w:tcW w:w="2184" w:type="dxa"/>
          </w:tcPr>
          <w:p w:rsidR="00510979" w:rsidRPr="00E83DA2" w:rsidRDefault="00510979" w:rsidP="008D2E39">
            <w:pPr>
              <w:jc w:val="center"/>
              <w:rPr>
                <w:rFonts w:ascii="Gill Sans MT" w:hAnsi="Gill Sans MT" w:cs="Arial"/>
              </w:rPr>
            </w:pPr>
            <w:r w:rsidRPr="00E83DA2">
              <w:rPr>
                <w:rFonts w:ascii="Gill Sans MT" w:hAnsi="Gill Sans MT" w:cs="Arial"/>
              </w:rPr>
              <w:t>Mayfield/</w:t>
            </w:r>
            <w:proofErr w:type="spellStart"/>
            <w:r w:rsidRPr="00E83DA2">
              <w:rPr>
                <w:rFonts w:ascii="Gill Sans MT" w:hAnsi="Gill Sans MT" w:cs="Arial"/>
              </w:rPr>
              <w:t>Alanvale</w:t>
            </w:r>
            <w:proofErr w:type="spellEnd"/>
          </w:p>
        </w:tc>
        <w:tc>
          <w:tcPr>
            <w:tcW w:w="1242" w:type="dxa"/>
          </w:tcPr>
          <w:p w:rsidR="00510979" w:rsidRPr="00E83DA2" w:rsidRDefault="00510979" w:rsidP="008D2E39">
            <w:pPr>
              <w:jc w:val="center"/>
              <w:rPr>
                <w:rFonts w:ascii="Gill Sans MT" w:hAnsi="Gill Sans MT" w:cs="Arial"/>
              </w:rPr>
            </w:pPr>
            <w:r w:rsidRPr="00E83DA2">
              <w:rPr>
                <w:rFonts w:ascii="Gill Sans MT" w:hAnsi="Gill Sans MT" w:cs="Arial"/>
              </w:rPr>
              <w:t>30</w:t>
            </w:r>
          </w:p>
        </w:tc>
        <w:tc>
          <w:tcPr>
            <w:tcW w:w="1362" w:type="dxa"/>
          </w:tcPr>
          <w:p w:rsidR="00510979" w:rsidRPr="00510979" w:rsidRDefault="00510979" w:rsidP="00B517DE">
            <w:pPr>
              <w:jc w:val="center"/>
              <w:rPr>
                <w:rFonts w:ascii="Gill Sans MT" w:hAnsi="Gill Sans MT" w:cs="Arial"/>
              </w:rPr>
            </w:pPr>
            <w:r w:rsidRPr="00510979">
              <w:rPr>
                <w:rFonts w:ascii="Gill Sans MT" w:hAnsi="Gill Sans MT" w:cs="Arial"/>
              </w:rPr>
              <w:t>Close to alternative service.</w:t>
            </w:r>
          </w:p>
        </w:tc>
        <w:tc>
          <w:tcPr>
            <w:tcW w:w="1362" w:type="dxa"/>
          </w:tcPr>
          <w:p w:rsidR="00510979" w:rsidRPr="00510979" w:rsidRDefault="00510979" w:rsidP="00B517DE">
            <w:pPr>
              <w:jc w:val="center"/>
              <w:rPr>
                <w:rFonts w:ascii="Gill Sans MT" w:hAnsi="Gill Sans MT" w:cs="Arial"/>
              </w:rPr>
            </w:pPr>
            <w:r w:rsidRPr="00510979">
              <w:rPr>
                <w:rFonts w:ascii="Gill Sans MT" w:hAnsi="Gill Sans MT" w:cs="Arial"/>
              </w:rPr>
              <w:t>Close to alternative service.</w:t>
            </w:r>
          </w:p>
        </w:tc>
        <w:tc>
          <w:tcPr>
            <w:tcW w:w="1362" w:type="dxa"/>
          </w:tcPr>
          <w:p w:rsidR="00510979" w:rsidRPr="00510979" w:rsidRDefault="00510979" w:rsidP="00B517DE">
            <w:pPr>
              <w:jc w:val="center"/>
              <w:rPr>
                <w:rFonts w:ascii="Gill Sans MT" w:hAnsi="Gill Sans MT" w:cs="Arial"/>
              </w:rPr>
            </w:pPr>
            <w:r w:rsidRPr="00510979">
              <w:rPr>
                <w:rFonts w:ascii="Gill Sans MT" w:hAnsi="Gill Sans MT" w:cs="Arial"/>
              </w:rPr>
              <w:t>Close to alternative service.</w:t>
            </w:r>
          </w:p>
        </w:tc>
      </w:tr>
      <w:tr w:rsidR="00510979" w:rsidRPr="00E83DA2" w:rsidTr="009F7B89">
        <w:tc>
          <w:tcPr>
            <w:tcW w:w="2184" w:type="dxa"/>
            <w:shd w:val="clear" w:color="auto" w:fill="DBE5F1" w:themeFill="accent1" w:themeFillTint="33"/>
          </w:tcPr>
          <w:p w:rsidR="00510979" w:rsidRPr="00E83DA2" w:rsidRDefault="00510979" w:rsidP="008D2E39">
            <w:pPr>
              <w:jc w:val="center"/>
              <w:rPr>
                <w:rFonts w:ascii="Gill Sans MT" w:hAnsi="Gill Sans MT" w:cs="Arial"/>
                <w:b/>
              </w:rPr>
            </w:pPr>
            <w:r w:rsidRPr="00E83DA2">
              <w:rPr>
                <w:rFonts w:ascii="Gill Sans MT" w:hAnsi="Gill Sans MT" w:cs="Arial"/>
                <w:b/>
              </w:rPr>
              <w:t>Southern Launceston</w:t>
            </w:r>
          </w:p>
        </w:tc>
        <w:tc>
          <w:tcPr>
            <w:tcW w:w="124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r>
      <w:tr w:rsidR="00510979" w:rsidRPr="00E83DA2" w:rsidTr="009F7B89">
        <w:tc>
          <w:tcPr>
            <w:tcW w:w="2184" w:type="dxa"/>
          </w:tcPr>
          <w:p w:rsidR="00510979" w:rsidRPr="00E83DA2" w:rsidRDefault="00510979" w:rsidP="008D2E39">
            <w:pPr>
              <w:jc w:val="center"/>
              <w:rPr>
                <w:rFonts w:ascii="Gill Sans MT" w:hAnsi="Gill Sans MT" w:cs="Arial"/>
                <w:i/>
              </w:rPr>
            </w:pPr>
            <w:r w:rsidRPr="00E83DA2">
              <w:rPr>
                <w:rFonts w:ascii="Gill Sans MT" w:hAnsi="Gill Sans MT" w:cs="Arial"/>
                <w:i/>
              </w:rPr>
              <w:t>King Meadows Shopping area</w:t>
            </w:r>
          </w:p>
        </w:tc>
        <w:tc>
          <w:tcPr>
            <w:tcW w:w="1242" w:type="dxa"/>
          </w:tcPr>
          <w:p w:rsidR="00510979" w:rsidRPr="00E83DA2" w:rsidRDefault="00510979" w:rsidP="00510979">
            <w:pPr>
              <w:jc w:val="center"/>
              <w:rPr>
                <w:rFonts w:ascii="Gill Sans MT" w:hAnsi="Gill Sans MT" w:cs="Arial"/>
              </w:rPr>
            </w:pPr>
            <w:r w:rsidRPr="00E83DA2">
              <w:rPr>
                <w:rFonts w:ascii="Gill Sans MT" w:hAnsi="Gill Sans MT" w:cs="Arial"/>
              </w:rPr>
              <w:t>15L</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60L</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30L</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60L</w:t>
            </w:r>
          </w:p>
        </w:tc>
      </w:tr>
      <w:tr w:rsidR="00510979" w:rsidRPr="00E83DA2" w:rsidTr="009F7B89">
        <w:tc>
          <w:tcPr>
            <w:tcW w:w="2184" w:type="dxa"/>
          </w:tcPr>
          <w:p w:rsidR="00510979" w:rsidRPr="00E83DA2" w:rsidRDefault="00510979" w:rsidP="008D2E39">
            <w:pPr>
              <w:jc w:val="center"/>
              <w:rPr>
                <w:rFonts w:ascii="Gill Sans MT" w:hAnsi="Gill Sans MT" w:cs="Arial"/>
              </w:rPr>
            </w:pPr>
            <w:r w:rsidRPr="00E83DA2">
              <w:rPr>
                <w:rFonts w:ascii="Gill Sans MT" w:hAnsi="Gill Sans MT" w:cs="Arial"/>
              </w:rPr>
              <w:t>Newstead, Norwood, Youngtown, Kings Meadows</w:t>
            </w:r>
          </w:p>
        </w:tc>
        <w:tc>
          <w:tcPr>
            <w:tcW w:w="1242" w:type="dxa"/>
          </w:tcPr>
          <w:p w:rsidR="00510979" w:rsidRPr="00E83DA2" w:rsidRDefault="00510979" w:rsidP="008D2E39">
            <w:pPr>
              <w:jc w:val="center"/>
              <w:rPr>
                <w:rFonts w:ascii="Gill Sans MT" w:hAnsi="Gill Sans MT" w:cs="Arial"/>
              </w:rPr>
            </w:pPr>
            <w:r w:rsidRPr="00E83DA2">
              <w:rPr>
                <w:rFonts w:ascii="Gill Sans MT" w:hAnsi="Gill Sans MT" w:cs="Arial"/>
              </w:rPr>
              <w:t>15</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60</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30</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60</w:t>
            </w:r>
          </w:p>
        </w:tc>
      </w:tr>
      <w:tr w:rsidR="00510979" w:rsidRPr="00E83DA2" w:rsidTr="009F7B89">
        <w:tc>
          <w:tcPr>
            <w:tcW w:w="2184"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East Launceston and Punchbowl</w:t>
            </w:r>
          </w:p>
        </w:tc>
        <w:tc>
          <w:tcPr>
            <w:tcW w:w="124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60#</w:t>
            </w:r>
          </w:p>
        </w:tc>
        <w:tc>
          <w:tcPr>
            <w:tcW w:w="1362" w:type="dxa"/>
            <w:tcBorders>
              <w:bottom w:val="single" w:sz="4" w:space="0" w:color="000000" w:themeColor="text1"/>
            </w:tcBorders>
          </w:tcPr>
          <w:p w:rsidR="00510979" w:rsidRPr="00510979" w:rsidRDefault="00510979" w:rsidP="00B517DE">
            <w:pPr>
              <w:jc w:val="center"/>
              <w:rPr>
                <w:rFonts w:ascii="Gill Sans MT" w:hAnsi="Gill Sans MT" w:cs="Arial"/>
              </w:rPr>
            </w:pPr>
            <w:r w:rsidRPr="00510979">
              <w:rPr>
                <w:rFonts w:ascii="Gill Sans MT" w:hAnsi="Gill Sans MT" w:cs="Arial"/>
              </w:rPr>
              <w:t>Close to alternative service.</w:t>
            </w:r>
          </w:p>
        </w:tc>
        <w:tc>
          <w:tcPr>
            <w:tcW w:w="1362" w:type="dxa"/>
            <w:tcBorders>
              <w:bottom w:val="single" w:sz="4" w:space="0" w:color="000000" w:themeColor="text1"/>
            </w:tcBorders>
          </w:tcPr>
          <w:p w:rsidR="00510979" w:rsidRPr="00510979" w:rsidRDefault="00510979" w:rsidP="00B517DE">
            <w:pPr>
              <w:jc w:val="center"/>
              <w:rPr>
                <w:rFonts w:ascii="Gill Sans MT" w:hAnsi="Gill Sans MT" w:cs="Arial"/>
              </w:rPr>
            </w:pPr>
            <w:r w:rsidRPr="00510979">
              <w:rPr>
                <w:rFonts w:ascii="Gill Sans MT" w:hAnsi="Gill Sans MT" w:cs="Arial"/>
              </w:rPr>
              <w:t>120</w:t>
            </w:r>
          </w:p>
        </w:tc>
        <w:tc>
          <w:tcPr>
            <w:tcW w:w="1362" w:type="dxa"/>
            <w:tcBorders>
              <w:bottom w:val="single" w:sz="4" w:space="0" w:color="000000" w:themeColor="text1"/>
            </w:tcBorders>
          </w:tcPr>
          <w:p w:rsidR="00510979" w:rsidRPr="00510979" w:rsidRDefault="00510979" w:rsidP="00B517DE">
            <w:pPr>
              <w:jc w:val="center"/>
              <w:rPr>
                <w:rFonts w:ascii="Gill Sans MT" w:hAnsi="Gill Sans MT" w:cs="Arial"/>
              </w:rPr>
            </w:pPr>
            <w:r w:rsidRPr="00510979">
              <w:rPr>
                <w:rFonts w:ascii="Gill Sans MT" w:hAnsi="Gill Sans MT" w:cs="Arial"/>
              </w:rPr>
              <w:t>Close to alternative service.</w:t>
            </w:r>
          </w:p>
        </w:tc>
      </w:tr>
      <w:tr w:rsidR="00510979" w:rsidRPr="00E83DA2" w:rsidTr="009F7B89">
        <w:tc>
          <w:tcPr>
            <w:tcW w:w="2184"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lastRenderedPageBreak/>
              <w:t>High penetration services to Youngtown and Kings Meadows</w:t>
            </w:r>
          </w:p>
        </w:tc>
        <w:tc>
          <w:tcPr>
            <w:tcW w:w="124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6 services</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Access to routes 40 &amp; 50</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Access to routes 40 &amp; 50</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Access to routes 40 &amp; 50</w:t>
            </w:r>
          </w:p>
        </w:tc>
      </w:tr>
      <w:tr w:rsidR="00510979" w:rsidRPr="00E83DA2" w:rsidTr="009F7B89">
        <w:tc>
          <w:tcPr>
            <w:tcW w:w="2184" w:type="dxa"/>
            <w:shd w:val="clear" w:color="auto" w:fill="DBE5F1" w:themeFill="accent1" w:themeFillTint="33"/>
          </w:tcPr>
          <w:p w:rsidR="00510979" w:rsidRPr="00E83DA2" w:rsidRDefault="00510979" w:rsidP="008D2E39">
            <w:pPr>
              <w:jc w:val="center"/>
              <w:rPr>
                <w:rFonts w:ascii="Gill Sans MT" w:hAnsi="Gill Sans MT" w:cs="Arial"/>
                <w:b/>
              </w:rPr>
            </w:pPr>
            <w:r w:rsidRPr="00E83DA2">
              <w:rPr>
                <w:rFonts w:ascii="Gill Sans MT" w:hAnsi="Gill Sans MT" w:cs="Arial"/>
                <w:b/>
              </w:rPr>
              <w:t>Eastern Launceston</w:t>
            </w:r>
          </w:p>
        </w:tc>
        <w:tc>
          <w:tcPr>
            <w:tcW w:w="124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r>
      <w:tr w:rsidR="00510979" w:rsidRPr="00E83DA2" w:rsidTr="009F7B89">
        <w:tc>
          <w:tcPr>
            <w:tcW w:w="2184"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 xml:space="preserve">Ravenswood &amp; Waverly </w:t>
            </w:r>
          </w:p>
        </w:tc>
        <w:tc>
          <w:tcPr>
            <w:tcW w:w="124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60#</w:t>
            </w:r>
          </w:p>
        </w:tc>
        <w:tc>
          <w:tcPr>
            <w:tcW w:w="136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120</w:t>
            </w:r>
          </w:p>
        </w:tc>
        <w:tc>
          <w:tcPr>
            <w:tcW w:w="136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 xml:space="preserve">60 </w:t>
            </w:r>
          </w:p>
        </w:tc>
        <w:tc>
          <w:tcPr>
            <w:tcW w:w="136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120</w:t>
            </w:r>
          </w:p>
        </w:tc>
      </w:tr>
      <w:tr w:rsidR="00510979" w:rsidRPr="00E83DA2" w:rsidTr="009F7B89">
        <w:tc>
          <w:tcPr>
            <w:tcW w:w="2184"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St Leonards</w:t>
            </w:r>
          </w:p>
        </w:tc>
        <w:tc>
          <w:tcPr>
            <w:tcW w:w="124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60</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No service</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120</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No service</w:t>
            </w:r>
          </w:p>
        </w:tc>
      </w:tr>
      <w:tr w:rsidR="00510979" w:rsidRPr="00E83DA2" w:rsidTr="009F7B89">
        <w:tc>
          <w:tcPr>
            <w:tcW w:w="2184" w:type="dxa"/>
            <w:shd w:val="clear" w:color="auto" w:fill="DBE5F1" w:themeFill="accent1" w:themeFillTint="33"/>
          </w:tcPr>
          <w:p w:rsidR="00510979" w:rsidRPr="00E83DA2" w:rsidRDefault="00510979" w:rsidP="008D2E39">
            <w:pPr>
              <w:jc w:val="center"/>
              <w:rPr>
                <w:rFonts w:ascii="Gill Sans MT" w:hAnsi="Gill Sans MT" w:cs="Arial"/>
                <w:b/>
              </w:rPr>
            </w:pPr>
            <w:r w:rsidRPr="00E83DA2">
              <w:rPr>
                <w:rFonts w:ascii="Gill Sans MT" w:hAnsi="Gill Sans MT" w:cs="Arial"/>
                <w:b/>
              </w:rPr>
              <w:t>Western Launceston</w:t>
            </w:r>
          </w:p>
        </w:tc>
        <w:tc>
          <w:tcPr>
            <w:tcW w:w="124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r>
      <w:tr w:rsidR="00510979" w:rsidRPr="00E83DA2" w:rsidTr="009F7B89">
        <w:tc>
          <w:tcPr>
            <w:tcW w:w="2184" w:type="dxa"/>
          </w:tcPr>
          <w:p w:rsidR="00510979" w:rsidRPr="00E83DA2" w:rsidRDefault="00510979" w:rsidP="008D2E39">
            <w:pPr>
              <w:jc w:val="center"/>
              <w:rPr>
                <w:rFonts w:ascii="Gill Sans MT" w:hAnsi="Gill Sans MT" w:cs="Arial"/>
                <w:i/>
              </w:rPr>
            </w:pPr>
            <w:r w:rsidRPr="00E83DA2">
              <w:rPr>
                <w:rFonts w:ascii="Gill Sans MT" w:hAnsi="Gill Sans MT" w:cs="Arial"/>
                <w:i/>
              </w:rPr>
              <w:t>Prospect – Westbury Road via Hospital</w:t>
            </w:r>
          </w:p>
        </w:tc>
        <w:tc>
          <w:tcPr>
            <w:tcW w:w="1242" w:type="dxa"/>
          </w:tcPr>
          <w:p w:rsidR="00510979" w:rsidRPr="00E83DA2" w:rsidRDefault="00510979" w:rsidP="008D2E39">
            <w:pPr>
              <w:jc w:val="center"/>
              <w:rPr>
                <w:rFonts w:ascii="Gill Sans MT" w:hAnsi="Gill Sans MT" w:cs="Arial"/>
              </w:rPr>
            </w:pPr>
            <w:r w:rsidRPr="00E83DA2">
              <w:rPr>
                <w:rFonts w:ascii="Gill Sans MT" w:hAnsi="Gill Sans MT" w:cs="Arial"/>
              </w:rPr>
              <w:t>15#L</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60L</w:t>
            </w:r>
          </w:p>
        </w:tc>
        <w:tc>
          <w:tcPr>
            <w:tcW w:w="1362" w:type="dxa"/>
          </w:tcPr>
          <w:p w:rsidR="00510979" w:rsidRPr="00E83DA2" w:rsidRDefault="00510979" w:rsidP="008D2E39">
            <w:pPr>
              <w:jc w:val="center"/>
              <w:rPr>
                <w:rFonts w:ascii="Gill Sans MT" w:hAnsi="Gill Sans MT" w:cs="Arial"/>
              </w:rPr>
            </w:pPr>
            <w:r>
              <w:rPr>
                <w:rFonts w:ascii="Gill Sans MT" w:hAnsi="Gill Sans MT" w:cs="Arial"/>
              </w:rPr>
              <w:t>60</w:t>
            </w:r>
            <w:r w:rsidRPr="00E83DA2">
              <w:rPr>
                <w:rFonts w:ascii="Gill Sans MT" w:hAnsi="Gill Sans MT" w:cs="Arial"/>
              </w:rPr>
              <w:t>L</w:t>
            </w:r>
          </w:p>
        </w:tc>
        <w:tc>
          <w:tcPr>
            <w:tcW w:w="1362" w:type="dxa"/>
          </w:tcPr>
          <w:p w:rsidR="00510979" w:rsidRPr="00E83DA2" w:rsidRDefault="00510979" w:rsidP="008D2E39">
            <w:pPr>
              <w:jc w:val="center"/>
              <w:rPr>
                <w:rFonts w:ascii="Gill Sans MT" w:hAnsi="Gill Sans MT" w:cs="Arial"/>
              </w:rPr>
            </w:pPr>
            <w:r w:rsidRPr="00E83DA2">
              <w:rPr>
                <w:rFonts w:ascii="Gill Sans MT" w:hAnsi="Gill Sans MT" w:cs="Arial"/>
              </w:rPr>
              <w:t>60L</w:t>
            </w:r>
          </w:p>
        </w:tc>
      </w:tr>
      <w:tr w:rsidR="00510979" w:rsidRPr="00E83DA2" w:rsidTr="009F7B89">
        <w:tc>
          <w:tcPr>
            <w:tcW w:w="2184"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Prospect Vale, Summerhill, West Launceston</w:t>
            </w:r>
          </w:p>
        </w:tc>
        <w:tc>
          <w:tcPr>
            <w:tcW w:w="124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30</w:t>
            </w:r>
          </w:p>
        </w:tc>
        <w:tc>
          <w:tcPr>
            <w:tcW w:w="136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60</w:t>
            </w:r>
          </w:p>
        </w:tc>
        <w:tc>
          <w:tcPr>
            <w:tcW w:w="136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60</w:t>
            </w:r>
          </w:p>
        </w:tc>
        <w:tc>
          <w:tcPr>
            <w:tcW w:w="136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60</w:t>
            </w:r>
          </w:p>
        </w:tc>
      </w:tr>
      <w:tr w:rsidR="00510979" w:rsidRPr="00E83DA2" w:rsidTr="009F7B89">
        <w:tc>
          <w:tcPr>
            <w:tcW w:w="2184"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Blackstone Heights</w:t>
            </w:r>
          </w:p>
        </w:tc>
        <w:tc>
          <w:tcPr>
            <w:tcW w:w="124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6 services</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No service</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3 services</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No service</w:t>
            </w:r>
          </w:p>
        </w:tc>
      </w:tr>
      <w:tr w:rsidR="00510979" w:rsidRPr="00E83DA2" w:rsidTr="009F7B89">
        <w:tc>
          <w:tcPr>
            <w:tcW w:w="2184"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Hadspen</w:t>
            </w:r>
          </w:p>
        </w:tc>
        <w:tc>
          <w:tcPr>
            <w:tcW w:w="124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60</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No service</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120</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No service</w:t>
            </w:r>
          </w:p>
        </w:tc>
      </w:tr>
      <w:tr w:rsidR="00510979" w:rsidRPr="00E83DA2" w:rsidTr="009F7B89">
        <w:tc>
          <w:tcPr>
            <w:tcW w:w="2184" w:type="dxa"/>
            <w:shd w:val="clear" w:color="auto" w:fill="DBE5F1" w:themeFill="accent1" w:themeFillTint="33"/>
          </w:tcPr>
          <w:p w:rsidR="00510979" w:rsidRPr="00E83DA2" w:rsidRDefault="00510979" w:rsidP="008D2E39">
            <w:pPr>
              <w:jc w:val="center"/>
              <w:rPr>
                <w:rFonts w:ascii="Gill Sans MT" w:hAnsi="Gill Sans MT" w:cs="Arial"/>
                <w:b/>
              </w:rPr>
            </w:pPr>
            <w:r w:rsidRPr="00E83DA2">
              <w:rPr>
                <w:rFonts w:ascii="Gill Sans MT" w:hAnsi="Gill Sans MT" w:cs="Arial"/>
                <w:b/>
              </w:rPr>
              <w:t xml:space="preserve">Riverside  area </w:t>
            </w:r>
          </w:p>
        </w:tc>
        <w:tc>
          <w:tcPr>
            <w:tcW w:w="124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c>
          <w:tcPr>
            <w:tcW w:w="1362" w:type="dxa"/>
            <w:shd w:val="clear" w:color="auto" w:fill="DBE5F1" w:themeFill="accent1" w:themeFillTint="33"/>
          </w:tcPr>
          <w:p w:rsidR="00510979" w:rsidRPr="00E83DA2" w:rsidRDefault="00510979" w:rsidP="008D2E39">
            <w:pPr>
              <w:jc w:val="center"/>
              <w:rPr>
                <w:rFonts w:ascii="Gill Sans MT" w:hAnsi="Gill Sans MT" w:cs="Arial"/>
              </w:rPr>
            </w:pPr>
          </w:p>
        </w:tc>
      </w:tr>
      <w:tr w:rsidR="00510979" w:rsidRPr="00E83DA2" w:rsidTr="009F7B89">
        <w:tc>
          <w:tcPr>
            <w:tcW w:w="2184"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Trevallyn, West Riverside, Riverside, North Riverside</w:t>
            </w:r>
          </w:p>
        </w:tc>
        <w:tc>
          <w:tcPr>
            <w:tcW w:w="124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30#</w:t>
            </w:r>
          </w:p>
        </w:tc>
        <w:tc>
          <w:tcPr>
            <w:tcW w:w="1362" w:type="dxa"/>
            <w:tcBorders>
              <w:bottom w:val="single" w:sz="4" w:space="0" w:color="000000" w:themeColor="text1"/>
            </w:tcBorders>
          </w:tcPr>
          <w:p w:rsidR="00510979" w:rsidRPr="00E83DA2" w:rsidRDefault="00510979" w:rsidP="008D2E39">
            <w:pPr>
              <w:jc w:val="center"/>
              <w:rPr>
                <w:rFonts w:ascii="Gill Sans MT" w:hAnsi="Gill Sans MT" w:cs="Arial"/>
              </w:rPr>
            </w:pPr>
            <w:r>
              <w:rPr>
                <w:rFonts w:ascii="Gill Sans MT" w:hAnsi="Gill Sans MT" w:cs="Arial"/>
              </w:rPr>
              <w:t>120</w:t>
            </w:r>
          </w:p>
        </w:tc>
        <w:tc>
          <w:tcPr>
            <w:tcW w:w="136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60</w:t>
            </w:r>
          </w:p>
        </w:tc>
        <w:tc>
          <w:tcPr>
            <w:tcW w:w="1362" w:type="dxa"/>
            <w:tcBorders>
              <w:bottom w:val="single" w:sz="4" w:space="0" w:color="000000" w:themeColor="text1"/>
            </w:tcBorders>
          </w:tcPr>
          <w:p w:rsidR="00510979" w:rsidRPr="00E83DA2" w:rsidRDefault="00510979" w:rsidP="008D2E39">
            <w:pPr>
              <w:jc w:val="center"/>
              <w:rPr>
                <w:rFonts w:ascii="Gill Sans MT" w:hAnsi="Gill Sans MT" w:cs="Arial"/>
              </w:rPr>
            </w:pPr>
            <w:r w:rsidRPr="00E83DA2">
              <w:rPr>
                <w:rFonts w:ascii="Gill Sans MT" w:hAnsi="Gill Sans MT" w:cs="Arial"/>
              </w:rPr>
              <w:t>120</w:t>
            </w:r>
          </w:p>
        </w:tc>
      </w:tr>
      <w:tr w:rsidR="00510979" w:rsidRPr="00E83DA2" w:rsidTr="009F7B89">
        <w:tc>
          <w:tcPr>
            <w:tcW w:w="2184"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Legana</w:t>
            </w:r>
          </w:p>
        </w:tc>
        <w:tc>
          <w:tcPr>
            <w:tcW w:w="124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60</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No service</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4 services</w:t>
            </w:r>
          </w:p>
        </w:tc>
        <w:tc>
          <w:tcPr>
            <w:tcW w:w="1362" w:type="dxa"/>
            <w:shd w:val="clear" w:color="auto" w:fill="auto"/>
          </w:tcPr>
          <w:p w:rsidR="00510979" w:rsidRPr="00E83DA2" w:rsidRDefault="00510979" w:rsidP="008D2E39">
            <w:pPr>
              <w:jc w:val="center"/>
              <w:rPr>
                <w:rFonts w:ascii="Gill Sans MT" w:hAnsi="Gill Sans MT" w:cs="Arial"/>
              </w:rPr>
            </w:pPr>
            <w:r w:rsidRPr="00E83DA2">
              <w:rPr>
                <w:rFonts w:ascii="Gill Sans MT" w:hAnsi="Gill Sans MT" w:cs="Arial"/>
              </w:rPr>
              <w:t>No service</w:t>
            </w:r>
          </w:p>
        </w:tc>
      </w:tr>
      <w:tr w:rsidR="00510979" w:rsidRPr="00E83DA2" w:rsidTr="009F7B89">
        <w:tc>
          <w:tcPr>
            <w:tcW w:w="7512" w:type="dxa"/>
            <w:gridSpan w:val="5"/>
            <w:shd w:val="clear" w:color="auto" w:fill="auto"/>
          </w:tcPr>
          <w:p w:rsidR="00510979" w:rsidRDefault="00510979" w:rsidP="00510979">
            <w:pPr>
              <w:ind w:left="175"/>
              <w:rPr>
                <w:rFonts w:cs="Arial"/>
                <w:i/>
              </w:rPr>
            </w:pPr>
            <w:r w:rsidRPr="00510979">
              <w:rPr>
                <w:rFonts w:cs="Arial"/>
                <w:i/>
              </w:rPr>
              <w:t>L - Access by L</w:t>
            </w:r>
            <w:r>
              <w:rPr>
                <w:rFonts w:cs="Arial"/>
                <w:i/>
              </w:rPr>
              <w:t>oop service</w:t>
            </w:r>
          </w:p>
          <w:p w:rsidR="00510979" w:rsidRPr="00510979" w:rsidRDefault="00510979" w:rsidP="00510979">
            <w:pPr>
              <w:ind w:left="175"/>
              <w:rPr>
                <w:rFonts w:cs="Arial"/>
                <w:i/>
              </w:rPr>
            </w:pPr>
            <w:r w:rsidRPr="00510979">
              <w:rPr>
                <w:rFonts w:cs="Arial"/>
                <w:i/>
              </w:rPr>
              <w:t># - Additional services during peak hours</w:t>
            </w:r>
          </w:p>
        </w:tc>
      </w:tr>
    </w:tbl>
    <w:p w:rsidR="009049AA" w:rsidRDefault="009049AA" w:rsidP="00756B53">
      <w:pPr>
        <w:jc w:val="both"/>
        <w:rPr>
          <w:rStyle w:val="InstructionText"/>
        </w:rPr>
      </w:pPr>
    </w:p>
    <w:p w:rsidR="00756B53" w:rsidRPr="00E83DA2" w:rsidRDefault="00756B53" w:rsidP="009F7B89">
      <w:pPr>
        <w:ind w:left="567"/>
        <w:jc w:val="both"/>
        <w:rPr>
          <w:rStyle w:val="InstructionText"/>
        </w:rPr>
      </w:pPr>
      <w:r w:rsidRPr="00E83DA2">
        <w:rPr>
          <w:rStyle w:val="InstructionText"/>
        </w:rPr>
        <w:t>Launceston Urban Fringe Services</w:t>
      </w:r>
    </w:p>
    <w:p w:rsidR="00756B53" w:rsidRPr="00E83DA2" w:rsidRDefault="00756B53" w:rsidP="009F7B89">
      <w:pPr>
        <w:ind w:left="567"/>
        <w:jc w:val="both"/>
        <w:rPr>
          <w:rFonts w:ascii="Gill Sans MT" w:hAnsi="Gill Sans MT" w:cs="Arial"/>
        </w:rPr>
      </w:pPr>
      <w:r w:rsidRPr="00E83DA2">
        <w:rPr>
          <w:rFonts w:ascii="Gill Sans MT" w:hAnsi="Gill Sans MT" w:cs="Arial"/>
        </w:rPr>
        <w:t xml:space="preserve">Urban fringe services are in three broad groups: </w:t>
      </w:r>
    </w:p>
    <w:p w:rsidR="00756B53" w:rsidRPr="00E83DA2" w:rsidRDefault="00756B53" w:rsidP="009F7B89">
      <w:pPr>
        <w:pStyle w:val="ListParagraph"/>
        <w:numPr>
          <w:ilvl w:val="0"/>
          <w:numId w:val="39"/>
        </w:numPr>
        <w:spacing w:after="0" w:line="240" w:lineRule="auto"/>
        <w:ind w:left="993"/>
        <w:contextualSpacing w:val="0"/>
        <w:jc w:val="both"/>
        <w:rPr>
          <w:rFonts w:ascii="Gill Sans MT" w:hAnsi="Gill Sans MT" w:cs="Arial"/>
        </w:rPr>
      </w:pPr>
      <w:r w:rsidRPr="00E83DA2">
        <w:rPr>
          <w:rFonts w:ascii="Gill Sans MT" w:hAnsi="Gill Sans MT" w:cs="Arial"/>
        </w:rPr>
        <w:t xml:space="preserve">Cressy/Longford/Evandale/Perth operated by </w:t>
      </w:r>
      <w:proofErr w:type="spellStart"/>
      <w:r w:rsidRPr="00E83DA2">
        <w:rPr>
          <w:rFonts w:ascii="Gill Sans MT" w:hAnsi="Gill Sans MT" w:cs="Arial"/>
        </w:rPr>
        <w:t>Tassielink</w:t>
      </w:r>
      <w:proofErr w:type="spellEnd"/>
    </w:p>
    <w:p w:rsidR="00756B53" w:rsidRPr="00E83DA2" w:rsidRDefault="00756B53" w:rsidP="009F7B89">
      <w:pPr>
        <w:pStyle w:val="ListParagraph"/>
        <w:numPr>
          <w:ilvl w:val="0"/>
          <w:numId w:val="39"/>
        </w:numPr>
        <w:spacing w:after="0" w:line="240" w:lineRule="auto"/>
        <w:ind w:left="993"/>
        <w:contextualSpacing w:val="0"/>
        <w:jc w:val="both"/>
        <w:rPr>
          <w:rFonts w:ascii="Gill Sans MT" w:hAnsi="Gill Sans MT" w:cs="Arial"/>
        </w:rPr>
      </w:pPr>
      <w:r w:rsidRPr="00E83DA2">
        <w:rPr>
          <w:rFonts w:ascii="Gill Sans MT" w:hAnsi="Gill Sans MT" w:cs="Arial"/>
        </w:rPr>
        <w:t xml:space="preserve">Beauty Point/Beaconsfield/Grindelwald operated by </w:t>
      </w:r>
      <w:proofErr w:type="spellStart"/>
      <w:r w:rsidRPr="00E83DA2">
        <w:rPr>
          <w:rFonts w:ascii="Gill Sans MT" w:hAnsi="Gill Sans MT" w:cs="Arial"/>
        </w:rPr>
        <w:t>Manion’s</w:t>
      </w:r>
      <w:proofErr w:type="spellEnd"/>
      <w:r w:rsidRPr="00E83DA2">
        <w:rPr>
          <w:rFonts w:ascii="Gill Sans MT" w:hAnsi="Gill Sans MT" w:cs="Arial"/>
        </w:rPr>
        <w:t xml:space="preserve"> coaches</w:t>
      </w:r>
    </w:p>
    <w:p w:rsidR="00756B53" w:rsidRPr="00E83DA2" w:rsidRDefault="00756B53" w:rsidP="009F7B89">
      <w:pPr>
        <w:pStyle w:val="ListParagraph"/>
        <w:numPr>
          <w:ilvl w:val="0"/>
          <w:numId w:val="39"/>
        </w:numPr>
        <w:spacing w:after="0" w:line="240" w:lineRule="auto"/>
        <w:ind w:left="993"/>
        <w:contextualSpacing w:val="0"/>
        <w:jc w:val="both"/>
        <w:rPr>
          <w:rFonts w:ascii="Gill Sans MT" w:hAnsi="Gill Sans MT" w:cs="Arial"/>
        </w:rPr>
      </w:pPr>
      <w:r w:rsidRPr="00E83DA2">
        <w:rPr>
          <w:rFonts w:ascii="Gill Sans MT" w:hAnsi="Gill Sans MT" w:cs="Arial"/>
        </w:rPr>
        <w:t>George Town area operated by Lees coaches</w:t>
      </w:r>
    </w:p>
    <w:p w:rsidR="00756B53" w:rsidRPr="00E83DA2" w:rsidRDefault="00756B53" w:rsidP="009F7B89">
      <w:pPr>
        <w:ind w:left="567"/>
        <w:rPr>
          <w:rFonts w:ascii="Gill Sans MT" w:hAnsi="Gill Sans MT" w:cs="Arial"/>
        </w:rPr>
      </w:pPr>
    </w:p>
    <w:p w:rsidR="00756B53" w:rsidRDefault="00756B53" w:rsidP="009F7B89">
      <w:pPr>
        <w:ind w:left="567"/>
        <w:rPr>
          <w:rFonts w:ascii="Gill Sans MT" w:hAnsi="Gill Sans MT" w:cs="Arial"/>
        </w:rPr>
      </w:pPr>
      <w:r w:rsidRPr="00E83DA2">
        <w:rPr>
          <w:rFonts w:ascii="Gill Sans MT" w:hAnsi="Gill Sans MT" w:cs="Arial"/>
        </w:rPr>
        <w:t xml:space="preserve">The key feature of urban fringe services are timetables which allow multiple trips including a choice of times to make return trips. Timetables allows for both students and work trips on weekdays as well as allowing weekday and weekend shopping trips to Launceston. There are no evening services other than those which depart almost immediately after 6pm. </w:t>
      </w:r>
      <w:r w:rsidR="003A0E2A">
        <w:rPr>
          <w:rFonts w:ascii="Gill Sans MT" w:hAnsi="Gill Sans MT" w:cs="Arial"/>
        </w:rPr>
        <w:t xml:space="preserve">A number of these </w:t>
      </w:r>
      <w:r w:rsidR="003A0E2A">
        <w:rPr>
          <w:rFonts w:ascii="Gill Sans MT" w:hAnsi="Gill Sans MT" w:cs="Arial"/>
        </w:rPr>
        <w:lastRenderedPageBreak/>
        <w:t>services are provided on a commercial basis, subject to market demand</w:t>
      </w:r>
      <w:r w:rsidR="000362B9">
        <w:rPr>
          <w:rFonts w:ascii="Gill Sans MT" w:hAnsi="Gill Sans MT" w:cs="Arial"/>
        </w:rPr>
        <w:t>s</w:t>
      </w:r>
      <w:r w:rsidR="003A0E2A">
        <w:rPr>
          <w:rFonts w:ascii="Gill Sans MT" w:hAnsi="Gill Sans MT" w:cs="Arial"/>
        </w:rPr>
        <w:t xml:space="preserve"> (</w:t>
      </w:r>
      <w:proofErr w:type="spellStart"/>
      <w:r w:rsidR="003A0E2A">
        <w:rPr>
          <w:rFonts w:ascii="Gill Sans MT" w:hAnsi="Gill Sans MT" w:cs="Arial"/>
        </w:rPr>
        <w:t>ie</w:t>
      </w:r>
      <w:proofErr w:type="spellEnd"/>
      <w:r w:rsidR="003A0E2A">
        <w:rPr>
          <w:rFonts w:ascii="Gill Sans MT" w:hAnsi="Gill Sans MT" w:cs="Arial"/>
        </w:rPr>
        <w:t>. An increase in demand could lead to an increase in services)</w:t>
      </w:r>
      <w:r w:rsidR="000362B9">
        <w:rPr>
          <w:rFonts w:ascii="Gill Sans MT" w:hAnsi="Gill Sans MT" w:cs="Arial"/>
        </w:rPr>
        <w:t>. Low patronage subsequently results in costly and under-utilised services, making it difficult to justify further extensions of these services.</w:t>
      </w:r>
    </w:p>
    <w:p w:rsidR="009F7B89" w:rsidRDefault="009F7B89" w:rsidP="009F7B89">
      <w:pPr>
        <w:ind w:left="567"/>
        <w:rPr>
          <w:rFonts w:ascii="Gill Sans MT" w:hAnsi="Gill Sans MT" w:cs="Arial"/>
        </w:rPr>
      </w:pPr>
    </w:p>
    <w:tbl>
      <w:tblPr>
        <w:tblStyle w:val="TableGrid"/>
        <w:tblW w:w="0" w:type="auto"/>
        <w:tblInd w:w="1101" w:type="dxa"/>
        <w:tblLook w:val="04A0"/>
      </w:tblPr>
      <w:tblGrid>
        <w:gridCol w:w="1868"/>
        <w:gridCol w:w="1027"/>
        <w:gridCol w:w="1315"/>
        <w:gridCol w:w="1317"/>
        <w:gridCol w:w="1274"/>
        <w:gridCol w:w="1199"/>
      </w:tblGrid>
      <w:tr w:rsidR="009F16CD" w:rsidRPr="00E83DA2" w:rsidTr="009F7B89">
        <w:trPr>
          <w:trHeight w:val="454"/>
          <w:tblHeader/>
        </w:trPr>
        <w:tc>
          <w:tcPr>
            <w:tcW w:w="8000" w:type="dxa"/>
            <w:gridSpan w:val="6"/>
            <w:shd w:val="clear" w:color="auto" w:fill="4F81BD" w:themeFill="accent1"/>
            <w:vAlign w:val="center"/>
          </w:tcPr>
          <w:p w:rsidR="009F16CD" w:rsidRPr="00E83DA2" w:rsidRDefault="00444FF8" w:rsidP="009F16CD">
            <w:pPr>
              <w:rPr>
                <w:rFonts w:ascii="Gill Sans MT" w:hAnsi="Gill Sans MT" w:cs="Arial"/>
                <w:b/>
              </w:rPr>
            </w:pPr>
            <w:r>
              <w:rPr>
                <w:rFonts w:ascii="Gill Sans MT" w:hAnsi="Gill Sans MT" w:cs="Arial"/>
                <w:b/>
                <w:i/>
              </w:rPr>
              <w:t>Figure 13</w:t>
            </w:r>
            <w:r w:rsidR="009F16CD" w:rsidRPr="00E83DA2">
              <w:rPr>
                <w:rFonts w:ascii="Gill Sans MT" w:hAnsi="Gill Sans MT" w:cs="Arial"/>
                <w:b/>
                <w:i/>
              </w:rPr>
              <w:t xml:space="preserve">. </w:t>
            </w:r>
            <w:r w:rsidR="009F16CD" w:rsidRPr="00E83DA2">
              <w:rPr>
                <w:rFonts w:ascii="Gill Sans MT" w:hAnsi="Gill Sans MT" w:cs="Arial"/>
                <w:b/>
              </w:rPr>
              <w:t>Number of return daily services to urban fringe areas.</w:t>
            </w:r>
          </w:p>
        </w:tc>
      </w:tr>
      <w:tr w:rsidR="00756B53" w:rsidRPr="00E83DA2" w:rsidTr="009F7B89">
        <w:trPr>
          <w:tblHeader/>
        </w:trPr>
        <w:tc>
          <w:tcPr>
            <w:tcW w:w="1868" w:type="dxa"/>
            <w:shd w:val="clear" w:color="auto" w:fill="4F81BD" w:themeFill="accent1"/>
          </w:tcPr>
          <w:p w:rsidR="00756B53" w:rsidRPr="00E83DA2" w:rsidRDefault="00756B53" w:rsidP="008D2E39">
            <w:pPr>
              <w:rPr>
                <w:rFonts w:ascii="Gill Sans MT" w:hAnsi="Gill Sans MT" w:cs="Arial"/>
                <w:b/>
              </w:rPr>
            </w:pPr>
            <w:r w:rsidRPr="00E83DA2">
              <w:rPr>
                <w:rFonts w:ascii="Gill Sans MT" w:hAnsi="Gill Sans MT" w:cs="Arial"/>
                <w:b/>
              </w:rPr>
              <w:t>Suburbs or areas</w:t>
            </w:r>
          </w:p>
        </w:tc>
        <w:tc>
          <w:tcPr>
            <w:tcW w:w="1027" w:type="dxa"/>
            <w:shd w:val="clear" w:color="auto" w:fill="4F81BD" w:themeFill="accent1"/>
          </w:tcPr>
          <w:p w:rsidR="00756B53" w:rsidRPr="00E83DA2" w:rsidRDefault="00756B53" w:rsidP="008D2E39">
            <w:pPr>
              <w:rPr>
                <w:rFonts w:ascii="Gill Sans MT" w:hAnsi="Gill Sans MT" w:cs="Arial"/>
                <w:b/>
              </w:rPr>
            </w:pPr>
            <w:r w:rsidRPr="00E83DA2">
              <w:rPr>
                <w:rFonts w:ascii="Gill Sans MT" w:hAnsi="Gill Sans MT" w:cs="Arial"/>
                <w:b/>
              </w:rPr>
              <w:t>Route Nos</w:t>
            </w:r>
          </w:p>
        </w:tc>
        <w:tc>
          <w:tcPr>
            <w:tcW w:w="1315" w:type="dxa"/>
            <w:shd w:val="clear" w:color="auto" w:fill="4F81BD" w:themeFill="accent1"/>
          </w:tcPr>
          <w:p w:rsidR="00756B53" w:rsidRPr="00E83DA2" w:rsidRDefault="00756B53" w:rsidP="008D2E39">
            <w:pPr>
              <w:rPr>
                <w:rFonts w:ascii="Gill Sans MT" w:hAnsi="Gill Sans MT" w:cs="Arial"/>
                <w:b/>
              </w:rPr>
            </w:pPr>
            <w:r w:rsidRPr="00E83DA2">
              <w:rPr>
                <w:rFonts w:ascii="Gill Sans MT" w:hAnsi="Gill Sans MT" w:cs="Arial"/>
                <w:b/>
              </w:rPr>
              <w:t>Weekday core day time hours before 6pm</w:t>
            </w:r>
          </w:p>
        </w:tc>
        <w:tc>
          <w:tcPr>
            <w:tcW w:w="1317" w:type="dxa"/>
            <w:shd w:val="clear" w:color="auto" w:fill="4F81BD" w:themeFill="accent1"/>
          </w:tcPr>
          <w:p w:rsidR="00756B53" w:rsidRPr="00E83DA2" w:rsidRDefault="00756B53" w:rsidP="008D2E39">
            <w:pPr>
              <w:rPr>
                <w:rFonts w:ascii="Gill Sans MT" w:hAnsi="Gill Sans MT" w:cs="Arial"/>
                <w:b/>
              </w:rPr>
            </w:pPr>
            <w:r w:rsidRPr="00E83DA2">
              <w:rPr>
                <w:rFonts w:ascii="Gill Sans MT" w:hAnsi="Gill Sans MT" w:cs="Arial"/>
                <w:b/>
              </w:rPr>
              <w:t>Weekday Evenings after 6pm</w:t>
            </w:r>
          </w:p>
        </w:tc>
        <w:tc>
          <w:tcPr>
            <w:tcW w:w="1274" w:type="dxa"/>
            <w:shd w:val="clear" w:color="auto" w:fill="4F81BD" w:themeFill="accent1"/>
          </w:tcPr>
          <w:p w:rsidR="00756B53" w:rsidRPr="00E83DA2" w:rsidRDefault="00756B53" w:rsidP="008D2E39">
            <w:pPr>
              <w:rPr>
                <w:rFonts w:ascii="Gill Sans MT" w:hAnsi="Gill Sans MT" w:cs="Arial"/>
                <w:b/>
              </w:rPr>
            </w:pPr>
            <w:r w:rsidRPr="00E83DA2">
              <w:rPr>
                <w:rFonts w:ascii="Gill Sans MT" w:hAnsi="Gill Sans MT" w:cs="Arial"/>
                <w:b/>
              </w:rPr>
              <w:t>Saturday core day time hours before 6pm</w:t>
            </w:r>
          </w:p>
        </w:tc>
        <w:tc>
          <w:tcPr>
            <w:tcW w:w="1199" w:type="dxa"/>
            <w:shd w:val="clear" w:color="auto" w:fill="4F81BD" w:themeFill="accent1"/>
          </w:tcPr>
          <w:p w:rsidR="00756B53" w:rsidRPr="00E83DA2" w:rsidRDefault="00756B53" w:rsidP="008D2E39">
            <w:pPr>
              <w:rPr>
                <w:rFonts w:ascii="Gill Sans MT" w:hAnsi="Gill Sans MT" w:cs="Arial"/>
                <w:b/>
              </w:rPr>
            </w:pPr>
            <w:r w:rsidRPr="00E83DA2">
              <w:rPr>
                <w:rFonts w:ascii="Gill Sans MT" w:hAnsi="Gill Sans MT" w:cs="Arial"/>
                <w:b/>
              </w:rPr>
              <w:t>Sunday core day time hours before 6pm</w:t>
            </w:r>
          </w:p>
        </w:tc>
      </w:tr>
      <w:tr w:rsidR="00756B53" w:rsidRPr="00E83DA2" w:rsidTr="009F7B89">
        <w:tc>
          <w:tcPr>
            <w:tcW w:w="1868" w:type="dxa"/>
          </w:tcPr>
          <w:p w:rsidR="00756B53" w:rsidRPr="00E83DA2" w:rsidRDefault="00756B53" w:rsidP="008D2E39">
            <w:pPr>
              <w:jc w:val="center"/>
              <w:rPr>
                <w:rFonts w:ascii="Gill Sans MT" w:hAnsi="Gill Sans MT" w:cs="Arial"/>
                <w:i/>
              </w:rPr>
            </w:pPr>
            <w:r w:rsidRPr="00E83DA2">
              <w:rPr>
                <w:rFonts w:ascii="Gill Sans MT" w:hAnsi="Gill Sans MT" w:cs="Arial"/>
                <w:i/>
              </w:rPr>
              <w:t>Cressy</w:t>
            </w:r>
          </w:p>
        </w:tc>
        <w:tc>
          <w:tcPr>
            <w:tcW w:w="1027" w:type="dxa"/>
          </w:tcPr>
          <w:p w:rsidR="00756B53" w:rsidRPr="00E83DA2" w:rsidRDefault="00756B53" w:rsidP="008D2E39">
            <w:pPr>
              <w:jc w:val="center"/>
              <w:rPr>
                <w:rFonts w:ascii="Gill Sans MT" w:hAnsi="Gill Sans MT" w:cs="Arial"/>
              </w:rPr>
            </w:pPr>
            <w:r w:rsidRPr="00E83DA2">
              <w:rPr>
                <w:rFonts w:ascii="Gill Sans MT" w:hAnsi="Gill Sans MT" w:cs="Arial"/>
              </w:rPr>
              <w:t>740,742 743</w:t>
            </w:r>
          </w:p>
        </w:tc>
        <w:tc>
          <w:tcPr>
            <w:tcW w:w="1315" w:type="dxa"/>
          </w:tcPr>
          <w:p w:rsidR="00756B53" w:rsidRPr="00E83DA2" w:rsidRDefault="00756B53" w:rsidP="008D2E39">
            <w:pPr>
              <w:jc w:val="center"/>
              <w:rPr>
                <w:rFonts w:ascii="Gill Sans MT" w:hAnsi="Gill Sans MT" w:cs="Arial"/>
              </w:rPr>
            </w:pPr>
            <w:r w:rsidRPr="00E83DA2">
              <w:rPr>
                <w:rFonts w:ascii="Gill Sans MT" w:hAnsi="Gill Sans MT" w:cs="Arial"/>
              </w:rPr>
              <w:t>7</w:t>
            </w:r>
            <w:r w:rsidRPr="00E83DA2">
              <w:rPr>
                <w:rFonts w:ascii="Gill Sans MT" w:hAnsi="Gill Sans MT" w:cs="Arial"/>
                <w:sz w:val="28"/>
                <w:szCs w:val="28"/>
                <w:vertAlign w:val="superscript"/>
              </w:rPr>
              <w:t>#</w:t>
            </w:r>
          </w:p>
        </w:tc>
        <w:tc>
          <w:tcPr>
            <w:tcW w:w="1317" w:type="dxa"/>
          </w:tcPr>
          <w:p w:rsidR="00756B53" w:rsidRPr="00E83DA2" w:rsidRDefault="00756B53" w:rsidP="008D2E39">
            <w:pPr>
              <w:jc w:val="center"/>
              <w:rPr>
                <w:rFonts w:ascii="Gill Sans MT" w:hAnsi="Gill Sans MT" w:cs="Arial"/>
              </w:rPr>
            </w:pPr>
            <w:r w:rsidRPr="00E83DA2">
              <w:rPr>
                <w:rFonts w:ascii="Gill Sans MT" w:hAnsi="Gill Sans MT" w:cs="Arial"/>
              </w:rPr>
              <w:t>1</w:t>
            </w:r>
          </w:p>
        </w:tc>
        <w:tc>
          <w:tcPr>
            <w:tcW w:w="1274" w:type="dxa"/>
          </w:tcPr>
          <w:p w:rsidR="00756B53" w:rsidRPr="00E83DA2" w:rsidRDefault="00756B53" w:rsidP="008D2E39">
            <w:pPr>
              <w:jc w:val="center"/>
              <w:rPr>
                <w:rFonts w:ascii="Gill Sans MT" w:hAnsi="Gill Sans MT" w:cs="Arial"/>
              </w:rPr>
            </w:pPr>
            <w:r w:rsidRPr="00E83DA2">
              <w:rPr>
                <w:rFonts w:ascii="Gill Sans MT" w:hAnsi="Gill Sans MT" w:cs="Arial"/>
              </w:rPr>
              <w:t>2</w:t>
            </w:r>
          </w:p>
        </w:tc>
        <w:tc>
          <w:tcPr>
            <w:tcW w:w="1199" w:type="dxa"/>
          </w:tcPr>
          <w:p w:rsidR="00756B53" w:rsidRPr="00E83DA2" w:rsidRDefault="00756B53" w:rsidP="008D2E39">
            <w:pPr>
              <w:jc w:val="center"/>
              <w:rPr>
                <w:rFonts w:ascii="Gill Sans MT" w:hAnsi="Gill Sans MT" w:cs="Arial"/>
              </w:rPr>
            </w:pPr>
            <w:r w:rsidRPr="00E83DA2">
              <w:rPr>
                <w:rFonts w:ascii="Gill Sans MT" w:hAnsi="Gill Sans MT" w:cs="Arial"/>
              </w:rPr>
              <w:t>2</w:t>
            </w:r>
          </w:p>
        </w:tc>
      </w:tr>
      <w:tr w:rsidR="00756B53" w:rsidRPr="00E83DA2" w:rsidTr="009F7B89">
        <w:tc>
          <w:tcPr>
            <w:tcW w:w="1868" w:type="dxa"/>
          </w:tcPr>
          <w:p w:rsidR="00756B53" w:rsidRPr="00E83DA2" w:rsidRDefault="00756B53" w:rsidP="008D2E39">
            <w:pPr>
              <w:jc w:val="center"/>
              <w:rPr>
                <w:rFonts w:ascii="Gill Sans MT" w:hAnsi="Gill Sans MT" w:cs="Arial"/>
                <w:i/>
              </w:rPr>
            </w:pPr>
            <w:r w:rsidRPr="00E83DA2">
              <w:rPr>
                <w:rFonts w:ascii="Gill Sans MT" w:hAnsi="Gill Sans MT" w:cs="Arial"/>
                <w:i/>
              </w:rPr>
              <w:t>Longford &amp; Perth</w:t>
            </w:r>
          </w:p>
        </w:tc>
        <w:tc>
          <w:tcPr>
            <w:tcW w:w="1027" w:type="dxa"/>
          </w:tcPr>
          <w:p w:rsidR="00756B53" w:rsidRPr="00E83DA2" w:rsidRDefault="00756B53" w:rsidP="008D2E39">
            <w:pPr>
              <w:jc w:val="center"/>
              <w:rPr>
                <w:rFonts w:ascii="Gill Sans MT" w:hAnsi="Gill Sans MT" w:cs="Arial"/>
              </w:rPr>
            </w:pPr>
            <w:r w:rsidRPr="00E83DA2">
              <w:rPr>
                <w:rFonts w:ascii="Gill Sans MT" w:hAnsi="Gill Sans MT" w:cs="Arial"/>
              </w:rPr>
              <w:t>740 thru 743</w:t>
            </w:r>
          </w:p>
        </w:tc>
        <w:tc>
          <w:tcPr>
            <w:tcW w:w="1315" w:type="dxa"/>
          </w:tcPr>
          <w:p w:rsidR="00756B53" w:rsidRPr="00E83DA2" w:rsidRDefault="00756B53" w:rsidP="008D2E39">
            <w:pPr>
              <w:jc w:val="center"/>
              <w:rPr>
                <w:rFonts w:ascii="Gill Sans MT" w:hAnsi="Gill Sans MT" w:cs="Arial"/>
              </w:rPr>
            </w:pPr>
            <w:r w:rsidRPr="00E83DA2">
              <w:rPr>
                <w:rFonts w:ascii="Gill Sans MT" w:hAnsi="Gill Sans MT" w:cs="Arial"/>
              </w:rPr>
              <w:t>8</w:t>
            </w:r>
            <w:r w:rsidRPr="00E83DA2">
              <w:rPr>
                <w:rFonts w:ascii="Gill Sans MT" w:hAnsi="Gill Sans MT" w:cs="Arial"/>
                <w:sz w:val="28"/>
                <w:szCs w:val="28"/>
                <w:vertAlign w:val="superscript"/>
              </w:rPr>
              <w:t>#</w:t>
            </w:r>
          </w:p>
        </w:tc>
        <w:tc>
          <w:tcPr>
            <w:tcW w:w="1317" w:type="dxa"/>
          </w:tcPr>
          <w:p w:rsidR="00756B53" w:rsidRPr="00E83DA2" w:rsidRDefault="00756B53" w:rsidP="008D2E39">
            <w:pPr>
              <w:jc w:val="center"/>
              <w:rPr>
                <w:rFonts w:ascii="Gill Sans MT" w:hAnsi="Gill Sans MT" w:cs="Arial"/>
              </w:rPr>
            </w:pPr>
            <w:r w:rsidRPr="00E83DA2">
              <w:rPr>
                <w:rFonts w:ascii="Gill Sans MT" w:hAnsi="Gill Sans MT" w:cs="Arial"/>
              </w:rPr>
              <w:t>1</w:t>
            </w:r>
          </w:p>
        </w:tc>
        <w:tc>
          <w:tcPr>
            <w:tcW w:w="1274" w:type="dxa"/>
          </w:tcPr>
          <w:p w:rsidR="00756B53" w:rsidRPr="00E83DA2" w:rsidRDefault="00756B53" w:rsidP="008D2E39">
            <w:pPr>
              <w:jc w:val="center"/>
              <w:rPr>
                <w:rFonts w:ascii="Gill Sans MT" w:hAnsi="Gill Sans MT" w:cs="Arial"/>
              </w:rPr>
            </w:pPr>
            <w:r w:rsidRPr="00E83DA2">
              <w:rPr>
                <w:rFonts w:ascii="Gill Sans MT" w:hAnsi="Gill Sans MT" w:cs="Arial"/>
              </w:rPr>
              <w:t>3</w:t>
            </w:r>
          </w:p>
        </w:tc>
        <w:tc>
          <w:tcPr>
            <w:tcW w:w="1199" w:type="dxa"/>
          </w:tcPr>
          <w:p w:rsidR="00756B53" w:rsidRPr="00E83DA2" w:rsidRDefault="00756B53" w:rsidP="008D2E39">
            <w:pPr>
              <w:jc w:val="center"/>
              <w:rPr>
                <w:rFonts w:ascii="Gill Sans MT" w:hAnsi="Gill Sans MT" w:cs="Arial"/>
              </w:rPr>
            </w:pPr>
            <w:r w:rsidRPr="00E83DA2">
              <w:rPr>
                <w:rFonts w:ascii="Gill Sans MT" w:hAnsi="Gill Sans MT" w:cs="Arial"/>
              </w:rPr>
              <w:t>3</w:t>
            </w:r>
          </w:p>
        </w:tc>
      </w:tr>
      <w:tr w:rsidR="00756B53" w:rsidRPr="00E83DA2" w:rsidTr="009F7B89">
        <w:tc>
          <w:tcPr>
            <w:tcW w:w="1868" w:type="dxa"/>
          </w:tcPr>
          <w:p w:rsidR="00756B53" w:rsidRPr="00E83DA2" w:rsidRDefault="00756B53" w:rsidP="008D2E39">
            <w:pPr>
              <w:jc w:val="center"/>
              <w:rPr>
                <w:rFonts w:ascii="Gill Sans MT" w:hAnsi="Gill Sans MT" w:cs="Arial"/>
                <w:i/>
              </w:rPr>
            </w:pPr>
            <w:r w:rsidRPr="00E83DA2">
              <w:rPr>
                <w:rFonts w:ascii="Gill Sans MT" w:hAnsi="Gill Sans MT" w:cs="Arial"/>
                <w:i/>
              </w:rPr>
              <w:t>Evandale</w:t>
            </w:r>
          </w:p>
        </w:tc>
        <w:tc>
          <w:tcPr>
            <w:tcW w:w="1027" w:type="dxa"/>
          </w:tcPr>
          <w:p w:rsidR="00756B53" w:rsidRPr="00E83DA2" w:rsidRDefault="00756B53" w:rsidP="008D2E39">
            <w:pPr>
              <w:jc w:val="center"/>
              <w:rPr>
                <w:rFonts w:ascii="Gill Sans MT" w:hAnsi="Gill Sans MT" w:cs="Arial"/>
              </w:rPr>
            </w:pPr>
            <w:r w:rsidRPr="00E83DA2">
              <w:rPr>
                <w:rFonts w:ascii="Gill Sans MT" w:hAnsi="Gill Sans MT" w:cs="Arial"/>
              </w:rPr>
              <w:t>743,744</w:t>
            </w:r>
          </w:p>
        </w:tc>
        <w:tc>
          <w:tcPr>
            <w:tcW w:w="1315" w:type="dxa"/>
          </w:tcPr>
          <w:p w:rsidR="00756B53" w:rsidRPr="00E83DA2" w:rsidRDefault="00756B53" w:rsidP="008D2E39">
            <w:pPr>
              <w:jc w:val="center"/>
              <w:rPr>
                <w:rFonts w:ascii="Gill Sans MT" w:hAnsi="Gill Sans MT" w:cs="Arial"/>
              </w:rPr>
            </w:pPr>
            <w:r w:rsidRPr="00E83DA2">
              <w:rPr>
                <w:rFonts w:ascii="Gill Sans MT" w:hAnsi="Gill Sans MT" w:cs="Arial"/>
              </w:rPr>
              <w:t>3</w:t>
            </w:r>
          </w:p>
        </w:tc>
        <w:tc>
          <w:tcPr>
            <w:tcW w:w="1317" w:type="dxa"/>
          </w:tcPr>
          <w:p w:rsidR="00756B53" w:rsidRPr="00E83DA2" w:rsidRDefault="00756B53" w:rsidP="008D2E39">
            <w:pPr>
              <w:jc w:val="center"/>
              <w:rPr>
                <w:rFonts w:ascii="Gill Sans MT" w:hAnsi="Gill Sans MT" w:cs="Arial"/>
              </w:rPr>
            </w:pPr>
            <w:r w:rsidRPr="00E83DA2">
              <w:rPr>
                <w:rFonts w:ascii="Gill Sans MT" w:hAnsi="Gill Sans MT" w:cs="Arial"/>
              </w:rPr>
              <w:t>No service</w:t>
            </w:r>
          </w:p>
        </w:tc>
        <w:tc>
          <w:tcPr>
            <w:tcW w:w="1274" w:type="dxa"/>
          </w:tcPr>
          <w:p w:rsidR="00756B53" w:rsidRPr="00E83DA2" w:rsidRDefault="00756B53" w:rsidP="008D2E39">
            <w:pPr>
              <w:jc w:val="center"/>
              <w:rPr>
                <w:rFonts w:ascii="Gill Sans MT" w:hAnsi="Gill Sans MT" w:cs="Arial"/>
              </w:rPr>
            </w:pPr>
            <w:r w:rsidRPr="00E83DA2">
              <w:rPr>
                <w:rFonts w:ascii="Gill Sans MT" w:hAnsi="Gill Sans MT" w:cs="Arial"/>
              </w:rPr>
              <w:t>3</w:t>
            </w:r>
          </w:p>
        </w:tc>
        <w:tc>
          <w:tcPr>
            <w:tcW w:w="1199" w:type="dxa"/>
          </w:tcPr>
          <w:p w:rsidR="00756B53" w:rsidRPr="00E83DA2" w:rsidRDefault="00756B53" w:rsidP="008D2E39">
            <w:pPr>
              <w:jc w:val="center"/>
              <w:rPr>
                <w:rFonts w:ascii="Gill Sans MT" w:hAnsi="Gill Sans MT" w:cs="Arial"/>
              </w:rPr>
            </w:pPr>
            <w:r w:rsidRPr="00E83DA2">
              <w:rPr>
                <w:rFonts w:ascii="Gill Sans MT" w:hAnsi="Gill Sans MT" w:cs="Arial"/>
              </w:rPr>
              <w:t>3</w:t>
            </w:r>
          </w:p>
        </w:tc>
      </w:tr>
      <w:tr w:rsidR="00756B53" w:rsidRPr="00E83DA2" w:rsidTr="009F7B89">
        <w:tc>
          <w:tcPr>
            <w:tcW w:w="1868" w:type="dxa"/>
          </w:tcPr>
          <w:p w:rsidR="00756B53" w:rsidRPr="00E83DA2" w:rsidRDefault="00756B53" w:rsidP="008D2E39">
            <w:pPr>
              <w:jc w:val="center"/>
              <w:rPr>
                <w:rFonts w:ascii="Gill Sans MT" w:hAnsi="Gill Sans MT" w:cs="Arial"/>
                <w:i/>
              </w:rPr>
            </w:pPr>
            <w:r w:rsidRPr="00E83DA2">
              <w:rPr>
                <w:rFonts w:ascii="Gill Sans MT" w:hAnsi="Gill Sans MT" w:cs="Arial"/>
                <w:i/>
              </w:rPr>
              <w:t>Beauty Point</w:t>
            </w:r>
          </w:p>
        </w:tc>
        <w:tc>
          <w:tcPr>
            <w:tcW w:w="1027" w:type="dxa"/>
          </w:tcPr>
          <w:p w:rsidR="00756B53" w:rsidRPr="00E83DA2" w:rsidRDefault="00756B53" w:rsidP="008D2E39">
            <w:pPr>
              <w:jc w:val="center"/>
              <w:rPr>
                <w:rFonts w:ascii="Gill Sans MT" w:hAnsi="Gill Sans MT" w:cs="Arial"/>
              </w:rPr>
            </w:pPr>
            <w:r w:rsidRPr="00E83DA2">
              <w:rPr>
                <w:rFonts w:ascii="Gill Sans MT" w:hAnsi="Gill Sans MT" w:cs="Arial"/>
              </w:rPr>
              <w:t>183</w:t>
            </w:r>
          </w:p>
        </w:tc>
        <w:tc>
          <w:tcPr>
            <w:tcW w:w="1315" w:type="dxa"/>
          </w:tcPr>
          <w:p w:rsidR="00756B53" w:rsidRPr="00E83DA2" w:rsidRDefault="00756B53" w:rsidP="008D2E39">
            <w:pPr>
              <w:jc w:val="center"/>
              <w:rPr>
                <w:rFonts w:ascii="Gill Sans MT" w:hAnsi="Gill Sans MT" w:cs="Arial"/>
              </w:rPr>
            </w:pPr>
            <w:r w:rsidRPr="00E83DA2">
              <w:rPr>
                <w:rFonts w:ascii="Gill Sans MT" w:hAnsi="Gill Sans MT" w:cs="Arial"/>
              </w:rPr>
              <w:t>6</w:t>
            </w:r>
          </w:p>
        </w:tc>
        <w:tc>
          <w:tcPr>
            <w:tcW w:w="1317" w:type="dxa"/>
          </w:tcPr>
          <w:p w:rsidR="00756B53" w:rsidRPr="00E83DA2" w:rsidRDefault="00756B53" w:rsidP="008D2E39">
            <w:pPr>
              <w:jc w:val="center"/>
              <w:rPr>
                <w:rFonts w:ascii="Gill Sans MT" w:hAnsi="Gill Sans MT" w:cs="Arial"/>
              </w:rPr>
            </w:pPr>
            <w:r w:rsidRPr="00E83DA2">
              <w:rPr>
                <w:rFonts w:ascii="Gill Sans MT" w:hAnsi="Gill Sans MT" w:cs="Arial"/>
              </w:rPr>
              <w:t>No service</w:t>
            </w:r>
          </w:p>
        </w:tc>
        <w:tc>
          <w:tcPr>
            <w:tcW w:w="1274" w:type="dxa"/>
          </w:tcPr>
          <w:p w:rsidR="00756B53" w:rsidRPr="00E83DA2" w:rsidRDefault="00756B53" w:rsidP="008D2E39">
            <w:pPr>
              <w:jc w:val="center"/>
              <w:rPr>
                <w:rFonts w:ascii="Gill Sans MT" w:hAnsi="Gill Sans MT" w:cs="Arial"/>
              </w:rPr>
            </w:pPr>
            <w:r w:rsidRPr="00E83DA2">
              <w:rPr>
                <w:rFonts w:ascii="Gill Sans MT" w:hAnsi="Gill Sans MT" w:cs="Arial"/>
              </w:rPr>
              <w:t>3</w:t>
            </w:r>
          </w:p>
        </w:tc>
        <w:tc>
          <w:tcPr>
            <w:tcW w:w="1199" w:type="dxa"/>
          </w:tcPr>
          <w:p w:rsidR="00756B53" w:rsidRPr="00E83DA2" w:rsidRDefault="00756B53" w:rsidP="008D2E39">
            <w:pPr>
              <w:jc w:val="center"/>
              <w:rPr>
                <w:rFonts w:ascii="Gill Sans MT" w:hAnsi="Gill Sans MT" w:cs="Arial"/>
              </w:rPr>
            </w:pPr>
            <w:r w:rsidRPr="00E83DA2">
              <w:rPr>
                <w:rFonts w:ascii="Gill Sans MT" w:hAnsi="Gill Sans MT" w:cs="Arial"/>
              </w:rPr>
              <w:t>No service</w:t>
            </w:r>
          </w:p>
        </w:tc>
      </w:tr>
      <w:tr w:rsidR="00756B53" w:rsidRPr="00E83DA2" w:rsidTr="009F7B89">
        <w:tc>
          <w:tcPr>
            <w:tcW w:w="1868" w:type="dxa"/>
          </w:tcPr>
          <w:p w:rsidR="00756B53" w:rsidRPr="00E83DA2" w:rsidRDefault="00756B53" w:rsidP="008D2E39">
            <w:pPr>
              <w:jc w:val="center"/>
              <w:rPr>
                <w:rFonts w:ascii="Gill Sans MT" w:hAnsi="Gill Sans MT" w:cs="Arial"/>
                <w:i/>
              </w:rPr>
            </w:pPr>
            <w:r w:rsidRPr="00E83DA2">
              <w:rPr>
                <w:rFonts w:ascii="Gill Sans MT" w:hAnsi="Gill Sans MT" w:cs="Arial"/>
                <w:i/>
              </w:rPr>
              <w:t>Beaconsfield</w:t>
            </w:r>
          </w:p>
        </w:tc>
        <w:tc>
          <w:tcPr>
            <w:tcW w:w="1027" w:type="dxa"/>
          </w:tcPr>
          <w:p w:rsidR="00756B53" w:rsidRPr="00E83DA2" w:rsidRDefault="00756B53" w:rsidP="008D2E39">
            <w:pPr>
              <w:jc w:val="center"/>
              <w:rPr>
                <w:rFonts w:ascii="Gill Sans MT" w:hAnsi="Gill Sans MT" w:cs="Arial"/>
              </w:rPr>
            </w:pPr>
            <w:r w:rsidRPr="00E83DA2">
              <w:rPr>
                <w:rFonts w:ascii="Gill Sans MT" w:hAnsi="Gill Sans MT" w:cs="Arial"/>
              </w:rPr>
              <w:t>183</w:t>
            </w:r>
          </w:p>
        </w:tc>
        <w:tc>
          <w:tcPr>
            <w:tcW w:w="1315" w:type="dxa"/>
          </w:tcPr>
          <w:p w:rsidR="00756B53" w:rsidRPr="00E83DA2" w:rsidRDefault="00756B53" w:rsidP="008D2E39">
            <w:pPr>
              <w:jc w:val="center"/>
              <w:rPr>
                <w:rFonts w:ascii="Gill Sans MT" w:hAnsi="Gill Sans MT" w:cs="Arial"/>
              </w:rPr>
            </w:pPr>
            <w:r w:rsidRPr="00E83DA2">
              <w:rPr>
                <w:rFonts w:ascii="Gill Sans MT" w:hAnsi="Gill Sans MT" w:cs="Arial"/>
              </w:rPr>
              <w:t>6.5</w:t>
            </w:r>
          </w:p>
        </w:tc>
        <w:tc>
          <w:tcPr>
            <w:tcW w:w="1317" w:type="dxa"/>
          </w:tcPr>
          <w:p w:rsidR="00756B53" w:rsidRPr="00E83DA2" w:rsidRDefault="00756B53" w:rsidP="008D2E39">
            <w:pPr>
              <w:jc w:val="center"/>
              <w:rPr>
                <w:rFonts w:ascii="Gill Sans MT" w:hAnsi="Gill Sans MT" w:cs="Arial"/>
              </w:rPr>
            </w:pPr>
            <w:r w:rsidRPr="00E83DA2">
              <w:rPr>
                <w:rFonts w:ascii="Gill Sans MT" w:hAnsi="Gill Sans MT" w:cs="Arial"/>
              </w:rPr>
              <w:t>0.5</w:t>
            </w:r>
          </w:p>
        </w:tc>
        <w:tc>
          <w:tcPr>
            <w:tcW w:w="1274" w:type="dxa"/>
          </w:tcPr>
          <w:p w:rsidR="00756B53" w:rsidRPr="00E83DA2" w:rsidRDefault="00756B53" w:rsidP="008D2E39">
            <w:pPr>
              <w:jc w:val="center"/>
              <w:rPr>
                <w:rFonts w:ascii="Gill Sans MT" w:hAnsi="Gill Sans MT" w:cs="Arial"/>
              </w:rPr>
            </w:pPr>
            <w:r w:rsidRPr="00E83DA2">
              <w:rPr>
                <w:rFonts w:ascii="Gill Sans MT" w:hAnsi="Gill Sans MT" w:cs="Arial"/>
              </w:rPr>
              <w:t>3</w:t>
            </w:r>
          </w:p>
        </w:tc>
        <w:tc>
          <w:tcPr>
            <w:tcW w:w="1199" w:type="dxa"/>
          </w:tcPr>
          <w:p w:rsidR="00756B53" w:rsidRPr="00E83DA2" w:rsidRDefault="00756B53" w:rsidP="008D2E39">
            <w:pPr>
              <w:jc w:val="center"/>
              <w:rPr>
                <w:rFonts w:ascii="Gill Sans MT" w:hAnsi="Gill Sans MT" w:cs="Arial"/>
              </w:rPr>
            </w:pPr>
            <w:r w:rsidRPr="00E83DA2">
              <w:rPr>
                <w:rFonts w:ascii="Gill Sans MT" w:hAnsi="Gill Sans MT" w:cs="Arial"/>
              </w:rPr>
              <w:t>No services</w:t>
            </w:r>
          </w:p>
        </w:tc>
      </w:tr>
      <w:tr w:rsidR="00756B53" w:rsidRPr="00E83DA2" w:rsidTr="009F7B89">
        <w:tc>
          <w:tcPr>
            <w:tcW w:w="1868" w:type="dxa"/>
          </w:tcPr>
          <w:p w:rsidR="00756B53" w:rsidRPr="00E83DA2" w:rsidRDefault="00756B53" w:rsidP="008D2E39">
            <w:pPr>
              <w:jc w:val="center"/>
              <w:rPr>
                <w:rFonts w:ascii="Gill Sans MT" w:hAnsi="Gill Sans MT" w:cs="Arial"/>
                <w:i/>
              </w:rPr>
            </w:pPr>
            <w:r w:rsidRPr="00E83DA2">
              <w:rPr>
                <w:rFonts w:ascii="Gill Sans MT" w:hAnsi="Gill Sans MT" w:cs="Arial"/>
                <w:i/>
              </w:rPr>
              <w:t>Grindelwald</w:t>
            </w:r>
          </w:p>
        </w:tc>
        <w:tc>
          <w:tcPr>
            <w:tcW w:w="1027" w:type="dxa"/>
          </w:tcPr>
          <w:p w:rsidR="00756B53" w:rsidRPr="00E83DA2" w:rsidRDefault="00756B53" w:rsidP="008D2E39">
            <w:pPr>
              <w:jc w:val="center"/>
              <w:rPr>
                <w:rFonts w:ascii="Gill Sans MT" w:hAnsi="Gill Sans MT" w:cs="Arial"/>
              </w:rPr>
            </w:pPr>
            <w:r w:rsidRPr="00E83DA2">
              <w:rPr>
                <w:rFonts w:ascii="Gill Sans MT" w:hAnsi="Gill Sans MT" w:cs="Arial"/>
              </w:rPr>
              <w:t>183</w:t>
            </w:r>
          </w:p>
        </w:tc>
        <w:tc>
          <w:tcPr>
            <w:tcW w:w="1315" w:type="dxa"/>
          </w:tcPr>
          <w:p w:rsidR="00756B53" w:rsidRPr="00E83DA2" w:rsidRDefault="00756B53" w:rsidP="008D2E39">
            <w:pPr>
              <w:jc w:val="center"/>
              <w:rPr>
                <w:rFonts w:ascii="Gill Sans MT" w:hAnsi="Gill Sans MT" w:cs="Arial"/>
              </w:rPr>
            </w:pPr>
            <w:r w:rsidRPr="00E83DA2">
              <w:rPr>
                <w:rFonts w:ascii="Gill Sans MT" w:hAnsi="Gill Sans MT" w:cs="Arial"/>
              </w:rPr>
              <w:t>4</w:t>
            </w:r>
          </w:p>
        </w:tc>
        <w:tc>
          <w:tcPr>
            <w:tcW w:w="1317" w:type="dxa"/>
          </w:tcPr>
          <w:p w:rsidR="00756B53" w:rsidRPr="00E83DA2" w:rsidRDefault="00756B53" w:rsidP="008D2E39">
            <w:pPr>
              <w:jc w:val="center"/>
              <w:rPr>
                <w:rFonts w:ascii="Gill Sans MT" w:hAnsi="Gill Sans MT" w:cs="Arial"/>
              </w:rPr>
            </w:pPr>
            <w:r w:rsidRPr="00E83DA2">
              <w:rPr>
                <w:rFonts w:ascii="Gill Sans MT" w:hAnsi="Gill Sans MT" w:cs="Arial"/>
              </w:rPr>
              <w:t>No service</w:t>
            </w:r>
          </w:p>
        </w:tc>
        <w:tc>
          <w:tcPr>
            <w:tcW w:w="1274" w:type="dxa"/>
          </w:tcPr>
          <w:p w:rsidR="00756B53" w:rsidRPr="00E83DA2" w:rsidRDefault="00756B53" w:rsidP="008D2E39">
            <w:pPr>
              <w:jc w:val="center"/>
              <w:rPr>
                <w:rFonts w:ascii="Gill Sans MT" w:hAnsi="Gill Sans MT" w:cs="Arial"/>
              </w:rPr>
            </w:pPr>
            <w:r w:rsidRPr="00E83DA2">
              <w:rPr>
                <w:rFonts w:ascii="Gill Sans MT" w:hAnsi="Gill Sans MT" w:cs="Arial"/>
              </w:rPr>
              <w:t>2.5</w:t>
            </w:r>
          </w:p>
        </w:tc>
        <w:tc>
          <w:tcPr>
            <w:tcW w:w="1199" w:type="dxa"/>
          </w:tcPr>
          <w:p w:rsidR="00756B53" w:rsidRPr="00E83DA2" w:rsidRDefault="00756B53" w:rsidP="008D2E39">
            <w:pPr>
              <w:jc w:val="center"/>
              <w:rPr>
                <w:rFonts w:ascii="Gill Sans MT" w:hAnsi="Gill Sans MT" w:cs="Arial"/>
              </w:rPr>
            </w:pPr>
            <w:r w:rsidRPr="00E83DA2">
              <w:rPr>
                <w:rFonts w:ascii="Gill Sans MT" w:hAnsi="Gill Sans MT" w:cs="Arial"/>
              </w:rPr>
              <w:t>No service</w:t>
            </w:r>
          </w:p>
        </w:tc>
      </w:tr>
      <w:tr w:rsidR="00756B53" w:rsidRPr="00E83DA2" w:rsidTr="009F7B89">
        <w:tc>
          <w:tcPr>
            <w:tcW w:w="1868" w:type="dxa"/>
          </w:tcPr>
          <w:p w:rsidR="00756B53" w:rsidRPr="00E83DA2" w:rsidRDefault="00756B53" w:rsidP="008D2E39">
            <w:pPr>
              <w:jc w:val="center"/>
              <w:rPr>
                <w:rFonts w:ascii="Gill Sans MT" w:hAnsi="Gill Sans MT" w:cs="Arial"/>
                <w:i/>
              </w:rPr>
            </w:pPr>
            <w:r w:rsidRPr="00E83DA2">
              <w:rPr>
                <w:rFonts w:ascii="Gill Sans MT" w:hAnsi="Gill Sans MT" w:cs="Arial"/>
                <w:i/>
              </w:rPr>
              <w:t>George Town</w:t>
            </w:r>
          </w:p>
        </w:tc>
        <w:tc>
          <w:tcPr>
            <w:tcW w:w="1027" w:type="dxa"/>
          </w:tcPr>
          <w:p w:rsidR="00756B53" w:rsidRPr="00E83DA2" w:rsidRDefault="00756B53" w:rsidP="008D2E39">
            <w:pPr>
              <w:jc w:val="center"/>
              <w:rPr>
                <w:rFonts w:ascii="Gill Sans MT" w:hAnsi="Gill Sans MT" w:cs="Arial"/>
              </w:rPr>
            </w:pPr>
          </w:p>
        </w:tc>
        <w:tc>
          <w:tcPr>
            <w:tcW w:w="1315" w:type="dxa"/>
          </w:tcPr>
          <w:p w:rsidR="00756B53" w:rsidRPr="00E83DA2" w:rsidRDefault="00756B53" w:rsidP="008D2E39">
            <w:pPr>
              <w:jc w:val="center"/>
              <w:rPr>
                <w:rFonts w:ascii="Gill Sans MT" w:hAnsi="Gill Sans MT" w:cs="Arial"/>
              </w:rPr>
            </w:pPr>
            <w:r w:rsidRPr="00E83DA2">
              <w:rPr>
                <w:rFonts w:ascii="Gill Sans MT" w:hAnsi="Gill Sans MT" w:cs="Arial"/>
              </w:rPr>
              <w:t>3</w:t>
            </w:r>
            <w:r w:rsidRPr="00E83DA2">
              <w:rPr>
                <w:rFonts w:ascii="Gill Sans MT" w:hAnsi="Gill Sans MT" w:cs="Arial"/>
                <w:sz w:val="28"/>
                <w:szCs w:val="28"/>
                <w:vertAlign w:val="superscript"/>
              </w:rPr>
              <w:t>#</w:t>
            </w:r>
          </w:p>
        </w:tc>
        <w:tc>
          <w:tcPr>
            <w:tcW w:w="1317" w:type="dxa"/>
          </w:tcPr>
          <w:p w:rsidR="00756B53" w:rsidRPr="00E83DA2" w:rsidRDefault="00756B53" w:rsidP="008D2E39">
            <w:pPr>
              <w:jc w:val="center"/>
              <w:rPr>
                <w:rFonts w:ascii="Gill Sans MT" w:hAnsi="Gill Sans MT" w:cs="Arial"/>
              </w:rPr>
            </w:pPr>
            <w:r w:rsidRPr="00E83DA2">
              <w:rPr>
                <w:rFonts w:ascii="Gill Sans MT" w:hAnsi="Gill Sans MT" w:cs="Arial"/>
              </w:rPr>
              <w:t>No service</w:t>
            </w:r>
          </w:p>
        </w:tc>
        <w:tc>
          <w:tcPr>
            <w:tcW w:w="1274" w:type="dxa"/>
          </w:tcPr>
          <w:p w:rsidR="00756B53" w:rsidRPr="00E83DA2" w:rsidRDefault="00756B53" w:rsidP="008D2E39">
            <w:pPr>
              <w:jc w:val="center"/>
              <w:rPr>
                <w:rFonts w:ascii="Gill Sans MT" w:hAnsi="Gill Sans MT" w:cs="Arial"/>
              </w:rPr>
            </w:pPr>
            <w:r w:rsidRPr="00E83DA2">
              <w:rPr>
                <w:rFonts w:ascii="Gill Sans MT" w:hAnsi="Gill Sans MT" w:cs="Arial"/>
              </w:rPr>
              <w:t>2</w:t>
            </w:r>
          </w:p>
        </w:tc>
        <w:tc>
          <w:tcPr>
            <w:tcW w:w="1199" w:type="dxa"/>
          </w:tcPr>
          <w:p w:rsidR="00756B53" w:rsidRPr="00E83DA2" w:rsidRDefault="00756B53" w:rsidP="008D2E39">
            <w:pPr>
              <w:jc w:val="center"/>
              <w:rPr>
                <w:rFonts w:ascii="Gill Sans MT" w:hAnsi="Gill Sans MT" w:cs="Arial"/>
              </w:rPr>
            </w:pPr>
            <w:r w:rsidRPr="00E83DA2">
              <w:rPr>
                <w:rFonts w:ascii="Gill Sans MT" w:hAnsi="Gill Sans MT" w:cs="Arial"/>
              </w:rPr>
              <w:t>No service</w:t>
            </w:r>
          </w:p>
        </w:tc>
      </w:tr>
      <w:tr w:rsidR="009F16CD" w:rsidRPr="00E83DA2" w:rsidTr="009F7B89">
        <w:trPr>
          <w:trHeight w:val="397"/>
        </w:trPr>
        <w:tc>
          <w:tcPr>
            <w:tcW w:w="8000" w:type="dxa"/>
            <w:gridSpan w:val="6"/>
            <w:vAlign w:val="center"/>
          </w:tcPr>
          <w:p w:rsidR="009F16CD" w:rsidRPr="00E83DA2" w:rsidRDefault="009F16CD" w:rsidP="009F16CD">
            <w:pPr>
              <w:rPr>
                <w:rFonts w:ascii="Gill Sans MT" w:hAnsi="Gill Sans MT" w:cs="Arial"/>
                <w:i/>
              </w:rPr>
            </w:pPr>
            <w:r w:rsidRPr="00E83DA2">
              <w:rPr>
                <w:rFonts w:ascii="Gill Sans MT" w:hAnsi="Gill Sans MT" w:cs="Arial"/>
                <w:i/>
              </w:rPr>
              <w:t xml:space="preserve"># </w:t>
            </w:r>
            <w:r w:rsidR="00510979">
              <w:rPr>
                <w:rFonts w:ascii="Gill Sans MT" w:hAnsi="Gill Sans MT" w:cs="Arial"/>
                <w:i/>
              </w:rPr>
              <w:t xml:space="preserve">- </w:t>
            </w:r>
            <w:r w:rsidRPr="00E83DA2">
              <w:rPr>
                <w:rFonts w:ascii="Gill Sans MT" w:hAnsi="Gill Sans MT" w:cs="Arial"/>
                <w:i/>
              </w:rPr>
              <w:t>An additional return service operates primarily for students on School days only.</w:t>
            </w:r>
          </w:p>
        </w:tc>
      </w:tr>
    </w:tbl>
    <w:p w:rsidR="009F16CD" w:rsidRDefault="009F16CD" w:rsidP="00756B53">
      <w:pPr>
        <w:spacing w:after="240" w:line="240" w:lineRule="auto"/>
        <w:jc w:val="both"/>
        <w:rPr>
          <w:rFonts w:ascii="Gill Sans MT" w:hAnsi="Gill Sans MT" w:cs="Arial"/>
          <w:b/>
        </w:rPr>
      </w:pPr>
    </w:p>
    <w:p w:rsidR="00756B53" w:rsidRPr="00E83DA2" w:rsidRDefault="00756B53" w:rsidP="009F7B89">
      <w:pPr>
        <w:spacing w:after="240" w:line="240" w:lineRule="auto"/>
        <w:ind w:left="567"/>
        <w:jc w:val="both"/>
        <w:rPr>
          <w:rStyle w:val="InstructionText"/>
        </w:rPr>
      </w:pPr>
      <w:r w:rsidRPr="00E83DA2">
        <w:rPr>
          <w:rStyle w:val="InstructionText"/>
        </w:rPr>
        <w:t>Intrastate Services</w:t>
      </w:r>
    </w:p>
    <w:p w:rsidR="00756B53" w:rsidRPr="00E83DA2" w:rsidRDefault="00756B53" w:rsidP="009F7B89">
      <w:pPr>
        <w:ind w:left="567"/>
        <w:jc w:val="both"/>
        <w:rPr>
          <w:rFonts w:ascii="Gill Sans MT" w:hAnsi="Gill Sans MT" w:cs="Arial"/>
        </w:rPr>
      </w:pPr>
      <w:r w:rsidRPr="00E83DA2">
        <w:rPr>
          <w:rFonts w:ascii="Gill Sans MT" w:hAnsi="Gill Sans MT" w:cs="Arial"/>
        </w:rPr>
        <w:t xml:space="preserve">Longer distance bus services are supplied from: </w:t>
      </w:r>
    </w:p>
    <w:p w:rsidR="00756B53" w:rsidRPr="00E83DA2" w:rsidRDefault="00756B53" w:rsidP="009F7B89">
      <w:pPr>
        <w:pStyle w:val="ListParagraph"/>
        <w:numPr>
          <w:ilvl w:val="0"/>
          <w:numId w:val="40"/>
        </w:numPr>
        <w:spacing w:after="0" w:line="240" w:lineRule="auto"/>
        <w:ind w:left="993"/>
        <w:contextualSpacing w:val="0"/>
        <w:jc w:val="both"/>
        <w:rPr>
          <w:rFonts w:ascii="Gill Sans MT" w:hAnsi="Gill Sans MT" w:cs="Arial"/>
        </w:rPr>
      </w:pPr>
      <w:r w:rsidRPr="00E83DA2">
        <w:rPr>
          <w:rFonts w:ascii="Gill Sans MT" w:hAnsi="Gill Sans MT" w:cs="Arial"/>
        </w:rPr>
        <w:t xml:space="preserve">Hobart operated by Redline and </w:t>
      </w:r>
      <w:proofErr w:type="spellStart"/>
      <w:r w:rsidRPr="00E83DA2">
        <w:rPr>
          <w:rFonts w:ascii="Gill Sans MT" w:hAnsi="Gill Sans MT" w:cs="Arial"/>
        </w:rPr>
        <w:t>Tassielink</w:t>
      </w:r>
      <w:proofErr w:type="spellEnd"/>
    </w:p>
    <w:p w:rsidR="00756B53" w:rsidRPr="00E83DA2" w:rsidRDefault="00756B53" w:rsidP="009F7B89">
      <w:pPr>
        <w:pStyle w:val="ListParagraph"/>
        <w:numPr>
          <w:ilvl w:val="0"/>
          <w:numId w:val="40"/>
        </w:numPr>
        <w:spacing w:after="0" w:line="240" w:lineRule="auto"/>
        <w:ind w:left="993"/>
        <w:contextualSpacing w:val="0"/>
        <w:jc w:val="both"/>
        <w:rPr>
          <w:rFonts w:ascii="Gill Sans MT" w:hAnsi="Gill Sans MT" w:cs="Arial"/>
        </w:rPr>
      </w:pPr>
      <w:r w:rsidRPr="00E83DA2">
        <w:rPr>
          <w:rFonts w:ascii="Gill Sans MT" w:hAnsi="Gill Sans MT" w:cs="Arial"/>
        </w:rPr>
        <w:t xml:space="preserve">Devonport operated by Redline and </w:t>
      </w:r>
      <w:proofErr w:type="spellStart"/>
      <w:r w:rsidRPr="00E83DA2">
        <w:rPr>
          <w:rFonts w:ascii="Gill Sans MT" w:hAnsi="Gill Sans MT" w:cs="Arial"/>
        </w:rPr>
        <w:t>Tassielink</w:t>
      </w:r>
      <w:proofErr w:type="spellEnd"/>
    </w:p>
    <w:p w:rsidR="00756B53" w:rsidRPr="00E83DA2" w:rsidRDefault="00756B53" w:rsidP="009F7B89">
      <w:pPr>
        <w:pStyle w:val="ListParagraph"/>
        <w:numPr>
          <w:ilvl w:val="0"/>
          <w:numId w:val="40"/>
        </w:numPr>
        <w:spacing w:after="0" w:line="240" w:lineRule="auto"/>
        <w:ind w:left="993"/>
        <w:contextualSpacing w:val="0"/>
        <w:jc w:val="both"/>
        <w:rPr>
          <w:rFonts w:ascii="Gill Sans MT" w:hAnsi="Gill Sans MT" w:cs="Arial"/>
        </w:rPr>
      </w:pPr>
      <w:proofErr w:type="spellStart"/>
      <w:r w:rsidRPr="00E83DA2">
        <w:rPr>
          <w:rFonts w:ascii="Gill Sans MT" w:hAnsi="Gill Sans MT" w:cs="Arial"/>
        </w:rPr>
        <w:t>Smithon</w:t>
      </w:r>
      <w:proofErr w:type="spellEnd"/>
      <w:r w:rsidRPr="00E83DA2">
        <w:rPr>
          <w:rFonts w:ascii="Gill Sans MT" w:hAnsi="Gill Sans MT" w:cs="Arial"/>
        </w:rPr>
        <w:t>/Burnie by Redline</w:t>
      </w:r>
    </w:p>
    <w:p w:rsidR="00756B53" w:rsidRPr="00E83DA2" w:rsidRDefault="00756B53" w:rsidP="009F7B89">
      <w:pPr>
        <w:pStyle w:val="ListParagraph"/>
        <w:numPr>
          <w:ilvl w:val="0"/>
          <w:numId w:val="40"/>
        </w:numPr>
        <w:spacing w:after="0" w:line="240" w:lineRule="auto"/>
        <w:ind w:left="993"/>
        <w:contextualSpacing w:val="0"/>
        <w:jc w:val="both"/>
        <w:rPr>
          <w:rFonts w:ascii="Gill Sans MT" w:hAnsi="Gill Sans MT" w:cs="Arial"/>
        </w:rPr>
      </w:pPr>
      <w:r w:rsidRPr="00E83DA2">
        <w:rPr>
          <w:rFonts w:ascii="Gill Sans MT" w:hAnsi="Gill Sans MT" w:cs="Arial"/>
        </w:rPr>
        <w:t>Mole Creek</w:t>
      </w:r>
      <w:r w:rsidRPr="00E83DA2">
        <w:rPr>
          <w:rFonts w:ascii="Gill Sans MT" w:hAnsi="Gill Sans MT" w:cs="Arial"/>
          <w:color w:val="FF0000"/>
        </w:rPr>
        <w:t xml:space="preserve"> </w:t>
      </w:r>
      <w:r w:rsidRPr="00E83DA2">
        <w:rPr>
          <w:rFonts w:ascii="Gill Sans MT" w:hAnsi="Gill Sans MT" w:cs="Arial"/>
        </w:rPr>
        <w:t>by Redline</w:t>
      </w:r>
    </w:p>
    <w:p w:rsidR="00756B53" w:rsidRPr="00E83DA2" w:rsidRDefault="00756B53" w:rsidP="009F7B89">
      <w:pPr>
        <w:pStyle w:val="ListParagraph"/>
        <w:numPr>
          <w:ilvl w:val="0"/>
          <w:numId w:val="40"/>
        </w:numPr>
        <w:spacing w:after="0" w:line="240" w:lineRule="auto"/>
        <w:ind w:left="993"/>
        <w:contextualSpacing w:val="0"/>
        <w:jc w:val="both"/>
        <w:rPr>
          <w:rFonts w:ascii="Gill Sans MT" w:hAnsi="Gill Sans MT" w:cs="Arial"/>
        </w:rPr>
      </w:pPr>
      <w:r w:rsidRPr="00E83DA2">
        <w:rPr>
          <w:rFonts w:ascii="Gill Sans MT" w:hAnsi="Gill Sans MT" w:cs="Arial"/>
        </w:rPr>
        <w:t xml:space="preserve">St Helens (some services connecting from Bicheno) operated by </w:t>
      </w:r>
      <w:proofErr w:type="spellStart"/>
      <w:r w:rsidRPr="00E83DA2">
        <w:rPr>
          <w:rFonts w:ascii="Gill Sans MT" w:hAnsi="Gill Sans MT" w:cs="Arial"/>
        </w:rPr>
        <w:t>Calow’s</w:t>
      </w:r>
      <w:proofErr w:type="spellEnd"/>
      <w:r w:rsidRPr="00E83DA2">
        <w:rPr>
          <w:rFonts w:ascii="Gill Sans MT" w:hAnsi="Gill Sans MT" w:cs="Arial"/>
        </w:rPr>
        <w:t xml:space="preserve"> coaches</w:t>
      </w:r>
    </w:p>
    <w:p w:rsidR="00756B53" w:rsidRPr="00E83DA2" w:rsidRDefault="00756B53" w:rsidP="009F7B89">
      <w:pPr>
        <w:pStyle w:val="ListParagraph"/>
        <w:numPr>
          <w:ilvl w:val="0"/>
          <w:numId w:val="40"/>
        </w:numPr>
        <w:spacing w:after="0" w:line="240" w:lineRule="auto"/>
        <w:ind w:left="993"/>
        <w:contextualSpacing w:val="0"/>
        <w:jc w:val="both"/>
        <w:rPr>
          <w:rFonts w:ascii="Gill Sans MT" w:hAnsi="Gill Sans MT" w:cs="Arial"/>
        </w:rPr>
      </w:pPr>
      <w:r w:rsidRPr="00E83DA2">
        <w:rPr>
          <w:rFonts w:ascii="Gill Sans MT" w:hAnsi="Gill Sans MT" w:cs="Arial"/>
        </w:rPr>
        <w:t xml:space="preserve">Queenstown/Strahan/Cradle Mountain operated by </w:t>
      </w:r>
      <w:proofErr w:type="spellStart"/>
      <w:r w:rsidRPr="00E83DA2">
        <w:rPr>
          <w:rFonts w:ascii="Gill Sans MT" w:hAnsi="Gill Sans MT" w:cs="Arial"/>
        </w:rPr>
        <w:t>Tassielink</w:t>
      </w:r>
      <w:proofErr w:type="spellEnd"/>
    </w:p>
    <w:p w:rsidR="00756B53" w:rsidRPr="00E83DA2" w:rsidRDefault="00756B53" w:rsidP="009F7B89">
      <w:pPr>
        <w:pStyle w:val="ListParagraph"/>
        <w:numPr>
          <w:ilvl w:val="0"/>
          <w:numId w:val="40"/>
        </w:numPr>
        <w:spacing w:after="0" w:line="240" w:lineRule="auto"/>
        <w:ind w:left="993"/>
        <w:contextualSpacing w:val="0"/>
        <w:jc w:val="both"/>
        <w:rPr>
          <w:rFonts w:ascii="Gill Sans MT" w:hAnsi="Gill Sans MT" w:cs="Arial"/>
        </w:rPr>
      </w:pPr>
      <w:r w:rsidRPr="00E83DA2">
        <w:rPr>
          <w:rFonts w:ascii="Gill Sans MT" w:hAnsi="Gill Sans MT" w:cs="Arial"/>
        </w:rPr>
        <w:t>Scottsdale/Derby/</w:t>
      </w:r>
      <w:proofErr w:type="spellStart"/>
      <w:r w:rsidRPr="00E83DA2">
        <w:rPr>
          <w:rFonts w:ascii="Gill Sans MT" w:hAnsi="Gill Sans MT" w:cs="Arial"/>
        </w:rPr>
        <w:t>Winneleah</w:t>
      </w:r>
      <w:proofErr w:type="spellEnd"/>
      <w:r w:rsidRPr="00E83DA2">
        <w:rPr>
          <w:rFonts w:ascii="Gill Sans MT" w:hAnsi="Gill Sans MT" w:cs="Arial"/>
        </w:rPr>
        <w:t xml:space="preserve"> operated by </w:t>
      </w:r>
      <w:proofErr w:type="spellStart"/>
      <w:r w:rsidRPr="00E83DA2">
        <w:rPr>
          <w:rFonts w:ascii="Gill Sans MT" w:hAnsi="Gill Sans MT" w:cs="Arial"/>
        </w:rPr>
        <w:t>Sainty’s</w:t>
      </w:r>
      <w:proofErr w:type="spellEnd"/>
    </w:p>
    <w:p w:rsidR="00756B53" w:rsidRPr="00E83DA2" w:rsidRDefault="00756B53" w:rsidP="009F7B89">
      <w:pPr>
        <w:ind w:left="567"/>
        <w:jc w:val="both"/>
        <w:rPr>
          <w:rFonts w:ascii="Gill Sans MT" w:hAnsi="Gill Sans MT" w:cs="Arial"/>
        </w:rPr>
      </w:pPr>
    </w:p>
    <w:p w:rsidR="00756B53" w:rsidRPr="00E83DA2" w:rsidRDefault="00756B53" w:rsidP="009F7B89">
      <w:pPr>
        <w:ind w:left="567"/>
        <w:rPr>
          <w:rFonts w:ascii="Gill Sans MT" w:hAnsi="Gill Sans MT" w:cs="Arial"/>
        </w:rPr>
      </w:pPr>
      <w:r w:rsidRPr="00E83DA2">
        <w:rPr>
          <w:rFonts w:ascii="Gill Sans MT" w:hAnsi="Gill Sans MT" w:cs="Arial"/>
        </w:rPr>
        <w:t xml:space="preserve">Of these areas, the greatest level of services is provided from Hobart which has either 3 or 4 return daily services. </w:t>
      </w:r>
    </w:p>
    <w:p w:rsidR="00756B53" w:rsidRPr="00E83DA2" w:rsidRDefault="00326B5C" w:rsidP="009F7B89">
      <w:pPr>
        <w:ind w:left="567"/>
        <w:rPr>
          <w:rFonts w:ascii="Gill Sans MT" w:hAnsi="Gill Sans MT" w:cs="Arial"/>
        </w:rPr>
      </w:pPr>
      <w:r>
        <w:rPr>
          <w:rFonts w:ascii="Gill Sans MT" w:hAnsi="Gill Sans MT" w:cs="Arial"/>
        </w:rPr>
        <w:lastRenderedPageBreak/>
        <w:t xml:space="preserve">There are two return </w:t>
      </w:r>
      <w:r w:rsidR="00756B53" w:rsidRPr="00E83DA2">
        <w:rPr>
          <w:rFonts w:ascii="Gill Sans MT" w:hAnsi="Gill Sans MT" w:cs="Arial"/>
        </w:rPr>
        <w:t xml:space="preserve">services </w:t>
      </w:r>
      <w:r>
        <w:rPr>
          <w:rFonts w:ascii="Gill Sans MT" w:hAnsi="Gill Sans MT" w:cs="Arial"/>
        </w:rPr>
        <w:t xml:space="preserve">per day </w:t>
      </w:r>
      <w:r w:rsidR="00756B53" w:rsidRPr="00E83DA2">
        <w:rPr>
          <w:rFonts w:ascii="Gill Sans MT" w:hAnsi="Gill Sans MT" w:cs="Arial"/>
        </w:rPr>
        <w:t>between Launceston and Devonport</w:t>
      </w:r>
      <w:r>
        <w:rPr>
          <w:rFonts w:ascii="Gill Sans MT" w:hAnsi="Gill Sans MT" w:cs="Arial"/>
        </w:rPr>
        <w:t xml:space="preserve">.  There are </w:t>
      </w:r>
      <w:r w:rsidR="00756B53" w:rsidRPr="00E83DA2">
        <w:rPr>
          <w:rFonts w:ascii="Gill Sans MT" w:hAnsi="Gill Sans MT" w:cs="Arial"/>
        </w:rPr>
        <w:t xml:space="preserve">8 return services a day </w:t>
      </w:r>
      <w:r>
        <w:rPr>
          <w:rFonts w:ascii="Gill Sans MT" w:hAnsi="Gill Sans MT" w:cs="Arial"/>
        </w:rPr>
        <w:t xml:space="preserve">between Devonport and Burnie </w:t>
      </w:r>
      <w:r w:rsidR="00756B53" w:rsidRPr="00E83DA2">
        <w:rPr>
          <w:rFonts w:ascii="Gill Sans MT" w:hAnsi="Gill Sans MT" w:cs="Arial"/>
        </w:rPr>
        <w:t>with temporal spread before and after normal working hours. This sort of service would facilitate not only commuting but business to business trips.</w:t>
      </w:r>
    </w:p>
    <w:p w:rsidR="00756B53" w:rsidRPr="00E83DA2" w:rsidRDefault="00756B53" w:rsidP="009F7B89">
      <w:pPr>
        <w:ind w:left="567"/>
        <w:rPr>
          <w:rFonts w:ascii="Gill Sans MT" w:hAnsi="Gill Sans MT" w:cs="Arial"/>
        </w:rPr>
      </w:pPr>
      <w:r w:rsidRPr="00E83DA2">
        <w:rPr>
          <w:rFonts w:ascii="Gill Sans MT" w:hAnsi="Gill Sans MT" w:cs="Arial"/>
        </w:rPr>
        <w:t xml:space="preserve">For other intrastate services most areas have at least a daily weekday service with some weekend servicing. The service from Queenstown is provided </w:t>
      </w:r>
      <w:r w:rsidR="00DB1C74">
        <w:rPr>
          <w:rFonts w:ascii="Gill Sans MT" w:hAnsi="Gill Sans MT" w:cs="Arial"/>
        </w:rPr>
        <w:t>twice a week</w:t>
      </w:r>
      <w:r w:rsidRPr="00E83DA2">
        <w:rPr>
          <w:rFonts w:ascii="Gill Sans MT" w:hAnsi="Gill Sans MT" w:cs="Arial"/>
        </w:rPr>
        <w:t>.</w:t>
      </w:r>
    </w:p>
    <w:p w:rsidR="00756B53" w:rsidRDefault="00756B53" w:rsidP="009F7B89">
      <w:pPr>
        <w:ind w:left="567"/>
        <w:rPr>
          <w:rFonts w:ascii="Gill Sans MT" w:hAnsi="Gill Sans MT" w:cs="Arial"/>
        </w:rPr>
      </w:pPr>
      <w:r w:rsidRPr="00E83DA2">
        <w:rPr>
          <w:rFonts w:ascii="Gill Sans MT" w:hAnsi="Gill Sans MT"/>
        </w:rPr>
        <w:t xml:space="preserve">Student only services into Launceston extend as far as </w:t>
      </w:r>
      <w:r w:rsidRPr="00E83DA2">
        <w:rPr>
          <w:rFonts w:ascii="Gill Sans MT" w:hAnsi="Gill Sans MT" w:cs="Arial"/>
        </w:rPr>
        <w:t xml:space="preserve">Bridport, Scottsdale, Blessington, Deddington, St Helens, Ross, Cressy, Deloraine, and Beaconsfield, </w:t>
      </w:r>
      <w:r w:rsidRPr="00E83DA2">
        <w:rPr>
          <w:rFonts w:ascii="Gill Sans MT" w:hAnsi="Gill Sans MT"/>
        </w:rPr>
        <w:t>covering populated areas in between</w:t>
      </w:r>
      <w:r w:rsidRPr="00E83DA2">
        <w:rPr>
          <w:rFonts w:ascii="Gill Sans MT" w:hAnsi="Gill Sans MT" w:cs="Arial"/>
        </w:rPr>
        <w:t>.</w:t>
      </w:r>
    </w:p>
    <w:p w:rsidR="002E4BBE" w:rsidRPr="002E4BBE" w:rsidRDefault="002E4BBE" w:rsidP="009F7B89">
      <w:pPr>
        <w:pStyle w:val="Subtitle"/>
        <w:ind w:left="567"/>
        <w:rPr>
          <w:rStyle w:val="InstructionText"/>
          <w:i/>
        </w:rPr>
      </w:pPr>
      <w:r w:rsidRPr="002E4BBE">
        <w:rPr>
          <w:rStyle w:val="InstructionText"/>
          <w:i/>
        </w:rPr>
        <w:t>2007 Review of Launceston Metropolitan Bus Services</w:t>
      </w:r>
    </w:p>
    <w:p w:rsidR="002E4BBE" w:rsidRPr="002E4BBE" w:rsidRDefault="002E4BBE" w:rsidP="009F7B89">
      <w:pPr>
        <w:ind w:left="567"/>
        <w:rPr>
          <w:rFonts w:ascii="Gill Sans MT" w:hAnsi="Gill Sans MT" w:cs="Arial"/>
        </w:rPr>
      </w:pPr>
      <w:r w:rsidRPr="002E4BBE">
        <w:rPr>
          <w:rFonts w:ascii="Gill Sans MT" w:hAnsi="Gill Sans MT" w:cs="Arial"/>
        </w:rPr>
        <w:t xml:space="preserve">A review of Launceston bus services was undertaken in 2007 as Launceston bus services were not in alignment with metropolitan service standards, patronage was falling and there were a number of operational difficulties associated with existing routes. </w:t>
      </w:r>
    </w:p>
    <w:p w:rsidR="002E4BBE" w:rsidRPr="002E4BBE" w:rsidRDefault="002E4BBE" w:rsidP="009F7B89">
      <w:pPr>
        <w:ind w:left="567"/>
        <w:rPr>
          <w:rFonts w:ascii="Gill Sans MT" w:hAnsi="Gill Sans MT"/>
        </w:rPr>
      </w:pPr>
      <w:r w:rsidRPr="002E4BBE">
        <w:rPr>
          <w:rFonts w:ascii="Gill Sans MT" w:hAnsi="Gill Sans MT" w:cs="Arial"/>
        </w:rPr>
        <w:t>Following the review, patronage increased by approximately 10% as services better aligned to market demands. Overall services and routes were simplified, while service frequency improved in some areas. There were significant benefits to the transport disadvantaged and other users following an increase in operating times of bus services to most areas (e.g. Improvements to weekend and night services).</w:t>
      </w:r>
      <w:r w:rsidRPr="002E4BBE" w:rsidDel="00BB52DA">
        <w:rPr>
          <w:rFonts w:ascii="Gill Sans MT" w:hAnsi="Gill Sans MT" w:cs="Arial"/>
          <w:b/>
        </w:rPr>
        <w:t xml:space="preserve"> </w:t>
      </w:r>
    </w:p>
    <w:p w:rsidR="00461888" w:rsidRPr="00461888" w:rsidRDefault="00461888" w:rsidP="009F7B89">
      <w:pPr>
        <w:pStyle w:val="Heading3"/>
        <w:ind w:left="567"/>
        <w:rPr>
          <w:sz w:val="26"/>
          <w:szCs w:val="26"/>
        </w:rPr>
      </w:pPr>
      <w:r w:rsidRPr="00461888">
        <w:rPr>
          <w:sz w:val="26"/>
          <w:szCs w:val="26"/>
        </w:rPr>
        <w:t>Cycling</w:t>
      </w:r>
    </w:p>
    <w:p w:rsidR="00461888" w:rsidRPr="00461888" w:rsidRDefault="00461888" w:rsidP="009F7B89">
      <w:pPr>
        <w:ind w:left="567"/>
        <w:rPr>
          <w:rFonts w:ascii="Gill Sans MT" w:hAnsi="Gill Sans MT"/>
        </w:rPr>
      </w:pPr>
      <w:r w:rsidRPr="00461888">
        <w:rPr>
          <w:rFonts w:ascii="Gill Sans MT" w:hAnsi="Gill Sans MT"/>
        </w:rPr>
        <w:t>Planning for cycling infrastructure in the Greater Launceston region in recent years has been undertaken at local and regional levels. Council bicycle plans have been used as the basis for the development of:</w:t>
      </w:r>
    </w:p>
    <w:p w:rsidR="00461888" w:rsidRPr="00461888" w:rsidRDefault="00461888" w:rsidP="009F7B89">
      <w:pPr>
        <w:pStyle w:val="ListParagraph"/>
        <w:keepLines/>
        <w:numPr>
          <w:ilvl w:val="0"/>
          <w:numId w:val="104"/>
        </w:numPr>
        <w:spacing w:before="100" w:beforeAutospacing="1" w:after="100" w:afterAutospacing="1" w:line="240" w:lineRule="auto"/>
        <w:ind w:left="993"/>
        <w:rPr>
          <w:rFonts w:ascii="Gill Sans MT" w:hAnsi="Gill Sans MT"/>
        </w:rPr>
      </w:pPr>
      <w:r w:rsidRPr="00461888">
        <w:rPr>
          <w:rFonts w:ascii="Gill Sans MT" w:hAnsi="Gill Sans MT"/>
        </w:rPr>
        <w:t>The Greater Launceston Regional Bike Strategy – covering recreational and commuting cycling</w:t>
      </w:r>
      <w:r>
        <w:rPr>
          <w:rFonts w:ascii="Gill Sans MT" w:hAnsi="Gill Sans MT"/>
        </w:rPr>
        <w:t>.</w:t>
      </w:r>
      <w:r w:rsidRPr="00461888">
        <w:rPr>
          <w:rFonts w:ascii="Gill Sans MT" w:hAnsi="Gill Sans MT"/>
        </w:rPr>
        <w:t xml:space="preserve"> </w:t>
      </w:r>
      <w:r>
        <w:rPr>
          <w:rFonts w:ascii="Gill Sans MT" w:hAnsi="Gill Sans MT"/>
        </w:rPr>
        <w:t>T</w:t>
      </w:r>
      <w:r w:rsidRPr="00461888">
        <w:rPr>
          <w:rFonts w:ascii="Gill Sans MT" w:hAnsi="Gill Sans MT"/>
        </w:rPr>
        <w:t xml:space="preserve">he strategy was </w:t>
      </w:r>
      <w:r>
        <w:rPr>
          <w:rFonts w:ascii="Gill Sans MT" w:hAnsi="Gill Sans MT"/>
        </w:rPr>
        <w:t xml:space="preserve">a </w:t>
      </w:r>
      <w:r w:rsidRPr="00461888">
        <w:rPr>
          <w:rFonts w:ascii="Gill Sans MT" w:hAnsi="Gill Sans MT"/>
        </w:rPr>
        <w:t xml:space="preserve">joint approach by </w:t>
      </w:r>
      <w:r>
        <w:rPr>
          <w:rFonts w:ascii="Gill Sans MT" w:hAnsi="Gill Sans MT"/>
        </w:rPr>
        <w:t xml:space="preserve">Sport and Recreation Tasmania and </w:t>
      </w:r>
      <w:r w:rsidRPr="00461888">
        <w:rPr>
          <w:rFonts w:ascii="Gill Sans MT" w:hAnsi="Gill Sans MT"/>
        </w:rPr>
        <w:t xml:space="preserve">five </w:t>
      </w:r>
      <w:r>
        <w:rPr>
          <w:rFonts w:ascii="Gill Sans MT" w:hAnsi="Gill Sans MT"/>
        </w:rPr>
        <w:t xml:space="preserve">northern </w:t>
      </w:r>
      <w:r w:rsidRPr="00461888">
        <w:rPr>
          <w:rFonts w:ascii="Gill Sans MT" w:hAnsi="Gill Sans MT"/>
        </w:rPr>
        <w:t>councils (</w:t>
      </w:r>
      <w:r>
        <w:rPr>
          <w:rFonts w:ascii="Gill Sans MT" w:hAnsi="Gill Sans MT"/>
        </w:rPr>
        <w:t>George Town Council</w:t>
      </w:r>
      <w:r w:rsidRPr="00461888">
        <w:rPr>
          <w:rFonts w:ascii="Gill Sans MT" w:hAnsi="Gill Sans MT"/>
        </w:rPr>
        <w:t>, Launceston City Council, Meander Valley Council</w:t>
      </w:r>
      <w:r>
        <w:rPr>
          <w:rFonts w:ascii="Gill Sans MT" w:hAnsi="Gill Sans MT"/>
        </w:rPr>
        <w:t>, Northern Midlands Council and</w:t>
      </w:r>
      <w:r w:rsidRPr="00461888">
        <w:rPr>
          <w:rFonts w:ascii="Gill Sans MT" w:hAnsi="Gill Sans MT"/>
        </w:rPr>
        <w:t xml:space="preserve"> West Tamar Council); and</w:t>
      </w:r>
    </w:p>
    <w:p w:rsidR="00461888" w:rsidRPr="00461888" w:rsidRDefault="00461888" w:rsidP="009F7B89">
      <w:pPr>
        <w:pStyle w:val="ListParagraph"/>
        <w:keepLines/>
        <w:numPr>
          <w:ilvl w:val="0"/>
          <w:numId w:val="104"/>
        </w:numPr>
        <w:spacing w:before="100" w:beforeAutospacing="1" w:after="100" w:afterAutospacing="1" w:line="240" w:lineRule="auto"/>
        <w:ind w:left="993"/>
        <w:rPr>
          <w:rFonts w:ascii="Gill Sans MT" w:hAnsi="Gill Sans MT"/>
        </w:rPr>
      </w:pPr>
      <w:r w:rsidRPr="00461888">
        <w:rPr>
          <w:rFonts w:ascii="Gill Sans MT" w:hAnsi="Gill Sans MT"/>
        </w:rPr>
        <w:t>The Principal Urban Cycling Network: Launceston – focusing on priority urban connections (see below).</w:t>
      </w:r>
    </w:p>
    <w:p w:rsidR="00461888" w:rsidRPr="00461888" w:rsidRDefault="00461888" w:rsidP="009F7B89">
      <w:pPr>
        <w:pStyle w:val="Heading4"/>
        <w:ind w:left="567"/>
        <w:rPr>
          <w:rStyle w:val="InstructionText"/>
          <w:b w:val="0"/>
          <w:i/>
        </w:rPr>
      </w:pPr>
      <w:r w:rsidRPr="00461888">
        <w:rPr>
          <w:rStyle w:val="InstructionText"/>
          <w:b w:val="0"/>
          <w:i/>
        </w:rPr>
        <w:t>Principal Urban Cycling Network: Launceston</w:t>
      </w:r>
    </w:p>
    <w:p w:rsidR="00461888" w:rsidRPr="00461888" w:rsidRDefault="00461888" w:rsidP="009F7B89">
      <w:pPr>
        <w:ind w:left="567"/>
        <w:rPr>
          <w:rFonts w:ascii="Gill Sans MT" w:hAnsi="Gill Sans MT"/>
        </w:rPr>
      </w:pPr>
      <w:r w:rsidRPr="00461888">
        <w:rPr>
          <w:rFonts w:ascii="Gill Sans MT" w:hAnsi="Gill Sans MT"/>
        </w:rPr>
        <w:t>DIER, together with local government representatives, cycling advocacy groups and other community based organisations have undertaken a process to identify</w:t>
      </w:r>
      <w:r>
        <w:rPr>
          <w:rFonts w:ascii="Gill Sans MT" w:hAnsi="Gill Sans MT"/>
        </w:rPr>
        <w:t xml:space="preserve"> the highest priority transport-</w:t>
      </w:r>
      <w:r w:rsidRPr="00461888">
        <w:rPr>
          <w:rFonts w:ascii="Gill Sans MT" w:hAnsi="Gill Sans MT"/>
        </w:rPr>
        <w:t>oriented cycling routes in Launceston, Hobart and Devonport/Burnie.</w:t>
      </w:r>
    </w:p>
    <w:p w:rsidR="00461888" w:rsidRPr="00461888" w:rsidRDefault="00461888" w:rsidP="009F7B89">
      <w:pPr>
        <w:ind w:left="567"/>
        <w:rPr>
          <w:rFonts w:ascii="Gill Sans MT" w:hAnsi="Gill Sans MT"/>
        </w:rPr>
      </w:pPr>
      <w:r w:rsidRPr="00461888">
        <w:rPr>
          <w:rFonts w:ascii="Gill Sans MT" w:hAnsi="Gill Sans MT"/>
        </w:rPr>
        <w:t xml:space="preserve">The Principal Urban Cycling Networks (PUCN) provide the arterial cycling structure that urban streets and local council cycling infrastructure can feed </w:t>
      </w:r>
      <w:r w:rsidRPr="00461888">
        <w:rPr>
          <w:rFonts w:ascii="Gill Sans MT" w:hAnsi="Gill Sans MT"/>
        </w:rPr>
        <w:lastRenderedPageBreak/>
        <w:t>into, with the aim of facilitating cycling journeys between suburban areas and activity centres. While cycle infrastructure exists on some routes, it is yet to be developed on others. In some cases, the precise route to be followed has not been finalised, and it will not be possible to do this until some initial feasibility, concept, planning and design work has been completed.</w:t>
      </w:r>
    </w:p>
    <w:p w:rsidR="00461888" w:rsidRPr="00461888" w:rsidRDefault="00461888" w:rsidP="009F7B89">
      <w:pPr>
        <w:autoSpaceDE w:val="0"/>
        <w:autoSpaceDN w:val="0"/>
        <w:adjustRightInd w:val="0"/>
        <w:spacing w:after="0" w:line="240" w:lineRule="auto"/>
        <w:ind w:left="567"/>
        <w:rPr>
          <w:rFonts w:ascii="Gill Sans MT" w:hAnsi="Gill Sans MT"/>
          <w:bCs/>
        </w:rPr>
      </w:pPr>
      <w:r w:rsidRPr="00461888">
        <w:rPr>
          <w:rFonts w:ascii="Gill Sans MT" w:hAnsi="Gill Sans MT"/>
        </w:rPr>
        <w:t xml:space="preserve">In the Launceston metropolitan area much of the Principal Network and connecting suburban cycling networks are within the Launceston City Council area. LCC has an arterial bicycle network with both on-road lanes and off-road tracks. The PUCN also includes routes through </w:t>
      </w:r>
      <w:r>
        <w:rPr>
          <w:rFonts w:ascii="Gill Sans MT" w:hAnsi="Gill Sans MT"/>
        </w:rPr>
        <w:t>West Tamar and Meande</w:t>
      </w:r>
      <w:r w:rsidRPr="00461888">
        <w:rPr>
          <w:rFonts w:ascii="Gill Sans MT" w:hAnsi="Gill Sans MT"/>
        </w:rPr>
        <w:t>r Valley Council areas.</w:t>
      </w:r>
    </w:p>
    <w:p w:rsidR="00461888" w:rsidRPr="00461888" w:rsidRDefault="00461888" w:rsidP="009F7B89">
      <w:pPr>
        <w:autoSpaceDE w:val="0"/>
        <w:autoSpaceDN w:val="0"/>
        <w:adjustRightInd w:val="0"/>
        <w:spacing w:after="0" w:line="240" w:lineRule="auto"/>
        <w:ind w:left="567"/>
        <w:rPr>
          <w:rFonts w:ascii="Gill Sans MT" w:hAnsi="Gill Sans MT"/>
        </w:rPr>
      </w:pPr>
      <w:bookmarkStart w:id="32" w:name="Cycle_ways"/>
      <w:bookmarkEnd w:id="32"/>
    </w:p>
    <w:p w:rsidR="00461888" w:rsidRPr="00461888" w:rsidRDefault="00461888" w:rsidP="009F7B89">
      <w:pPr>
        <w:ind w:left="567"/>
        <w:rPr>
          <w:rFonts w:ascii="Gill Sans MT" w:hAnsi="Gill Sans MT"/>
        </w:rPr>
      </w:pPr>
      <w:bookmarkStart w:id="33" w:name="Greater_Launceston_Bicycle_Commuting_Net"/>
      <w:bookmarkEnd w:id="33"/>
      <w:r w:rsidRPr="00461888">
        <w:rPr>
          <w:rStyle w:val="InstructionText"/>
        </w:rPr>
        <w:t>Greater Launceston Bicycle Commuting Network</w:t>
      </w:r>
      <w:r w:rsidRPr="00461888">
        <w:rPr>
          <w:rFonts w:ascii="Gill Sans MT" w:hAnsi="Gill Sans MT"/>
        </w:rPr>
        <w:br/>
        <w:t xml:space="preserve">Prior to </w:t>
      </w:r>
      <w:r>
        <w:rPr>
          <w:rFonts w:ascii="Gill Sans MT" w:hAnsi="Gill Sans MT"/>
        </w:rPr>
        <w:t xml:space="preserve">the development of the </w:t>
      </w:r>
      <w:r w:rsidRPr="00461888">
        <w:rPr>
          <w:rFonts w:ascii="Gill Sans MT" w:hAnsi="Gill Sans MT"/>
        </w:rPr>
        <w:t>Launceston PUCN</w:t>
      </w:r>
      <w:r>
        <w:rPr>
          <w:rFonts w:ascii="Gill Sans MT" w:hAnsi="Gill Sans MT"/>
        </w:rPr>
        <w:t>,</w:t>
      </w:r>
      <w:r w:rsidRPr="00461888">
        <w:rPr>
          <w:rFonts w:ascii="Gill Sans MT" w:hAnsi="Gill Sans MT"/>
        </w:rPr>
        <w:t xml:space="preserve"> West Tamar Council, Launceston City Council, Northern Midlands Council, Meander Valley Council and Sport and Recreation Tasmania </w:t>
      </w:r>
      <w:r>
        <w:rPr>
          <w:rFonts w:ascii="Gill Sans MT" w:hAnsi="Gill Sans MT"/>
        </w:rPr>
        <w:t xml:space="preserve">developed a </w:t>
      </w:r>
      <w:r w:rsidRPr="00461888">
        <w:rPr>
          <w:rFonts w:ascii="Gill Sans MT" w:hAnsi="Gill Sans MT"/>
        </w:rPr>
        <w:t>draft regional strategy detailing possible commuter and recreation cycling routes and how they could be best linked between councils. At the metropolitan level this work provided essential input into the PUCN.</w:t>
      </w:r>
    </w:p>
    <w:p w:rsidR="00461888" w:rsidRDefault="00461888" w:rsidP="009F7B89">
      <w:pPr>
        <w:ind w:left="567"/>
        <w:rPr>
          <w:rFonts w:ascii="Gill Sans MT" w:hAnsi="Gill Sans MT"/>
        </w:rPr>
      </w:pPr>
      <w:r w:rsidRPr="00461888">
        <w:rPr>
          <w:rFonts w:ascii="Gill Sans MT" w:hAnsi="Gill Sans MT"/>
        </w:rPr>
        <w:t>Beyond the metropolitan boundary the draft Strategy provides a regional approach to longer commuter links and recreational cycling.</w:t>
      </w:r>
    </w:p>
    <w:p w:rsidR="009F7B89" w:rsidRDefault="009F7B89" w:rsidP="009F7B89">
      <w:pPr>
        <w:ind w:left="567"/>
        <w:rPr>
          <w:rFonts w:ascii="Gill Sans MT" w:hAnsi="Gill Sans MT"/>
        </w:rPr>
        <w:sectPr w:rsidR="009F7B89" w:rsidSect="00103702">
          <w:pgSz w:w="11906" w:h="16838"/>
          <w:pgMar w:top="1440" w:right="1797" w:bottom="709" w:left="993" w:header="709" w:footer="544" w:gutter="0"/>
          <w:cols w:space="708"/>
          <w:titlePg/>
          <w:docGrid w:linePitch="360"/>
        </w:sectPr>
      </w:pPr>
    </w:p>
    <w:p w:rsidR="00756B53" w:rsidRPr="00E83DA2" w:rsidRDefault="00756B53" w:rsidP="009F7B89">
      <w:pPr>
        <w:pStyle w:val="Heading1"/>
        <w:ind w:left="567"/>
        <w:rPr>
          <w:rFonts w:ascii="Gill Sans MT" w:hAnsi="Gill Sans MT"/>
        </w:rPr>
      </w:pPr>
      <w:bookmarkStart w:id="34" w:name="_Toc332114077"/>
      <w:bookmarkStart w:id="35" w:name="_Toc332115743"/>
      <w:r w:rsidRPr="00E83DA2">
        <w:rPr>
          <w:rFonts w:ascii="Gill Sans MT" w:hAnsi="Gill Sans MT"/>
        </w:rPr>
        <w:lastRenderedPageBreak/>
        <w:t>People - Accessibility</w:t>
      </w:r>
      <w:bookmarkEnd w:id="34"/>
      <w:bookmarkEnd w:id="35"/>
    </w:p>
    <w:p w:rsidR="00756B53" w:rsidRPr="00E83DA2" w:rsidRDefault="00756B53" w:rsidP="009F7B89">
      <w:pPr>
        <w:pStyle w:val="Heading2"/>
        <w:ind w:left="567"/>
      </w:pPr>
      <w:bookmarkStart w:id="36" w:name="_Toc332033582"/>
      <w:bookmarkStart w:id="37" w:name="_Toc332114078"/>
      <w:bookmarkStart w:id="38" w:name="_Toc332115653"/>
      <w:bookmarkStart w:id="39" w:name="_Toc332115744"/>
      <w:r w:rsidRPr="00E83DA2">
        <w:t>Key strategic issues</w:t>
      </w:r>
      <w:bookmarkEnd w:id="36"/>
      <w:bookmarkEnd w:id="37"/>
      <w:bookmarkEnd w:id="38"/>
      <w:bookmarkEnd w:id="39"/>
    </w:p>
    <w:p w:rsidR="00756B53" w:rsidRPr="00E83DA2" w:rsidRDefault="00756B53" w:rsidP="009F7B89">
      <w:pPr>
        <w:pStyle w:val="ListParagraph"/>
        <w:numPr>
          <w:ilvl w:val="0"/>
          <w:numId w:val="28"/>
        </w:numPr>
        <w:ind w:left="993"/>
        <w:rPr>
          <w:rFonts w:ascii="Gill Sans MT" w:hAnsi="Gill Sans MT"/>
        </w:rPr>
      </w:pPr>
      <w:r w:rsidRPr="00E83DA2">
        <w:rPr>
          <w:rFonts w:ascii="Gill Sans MT" w:hAnsi="Gill Sans MT"/>
        </w:rPr>
        <w:t>High dependence on private motor cars</w:t>
      </w:r>
    </w:p>
    <w:p w:rsidR="00756B53" w:rsidRPr="00E83DA2" w:rsidRDefault="00756B53" w:rsidP="009F7B89">
      <w:pPr>
        <w:pStyle w:val="ListParagraph"/>
        <w:numPr>
          <w:ilvl w:val="0"/>
          <w:numId w:val="28"/>
        </w:numPr>
        <w:ind w:left="993"/>
        <w:rPr>
          <w:rFonts w:ascii="Gill Sans MT" w:hAnsi="Gill Sans MT"/>
        </w:rPr>
      </w:pPr>
      <w:r w:rsidRPr="00E83DA2">
        <w:rPr>
          <w:rFonts w:ascii="Gill Sans MT" w:hAnsi="Gill Sans MT"/>
        </w:rPr>
        <w:t>Planning reform – further integration of land use and transport planning</w:t>
      </w:r>
    </w:p>
    <w:p w:rsidR="00756B53" w:rsidRPr="00E83DA2" w:rsidRDefault="00756B53" w:rsidP="009F7B89">
      <w:pPr>
        <w:pStyle w:val="ListParagraph"/>
        <w:numPr>
          <w:ilvl w:val="0"/>
          <w:numId w:val="28"/>
        </w:numPr>
        <w:ind w:left="993"/>
        <w:rPr>
          <w:rFonts w:ascii="Gill Sans MT" w:hAnsi="Gill Sans MT"/>
        </w:rPr>
      </w:pPr>
      <w:r w:rsidRPr="00E83DA2">
        <w:rPr>
          <w:rFonts w:ascii="Gill Sans MT" w:hAnsi="Gill Sans MT"/>
        </w:rPr>
        <w:t>Dispersed and low density populations</w:t>
      </w:r>
    </w:p>
    <w:p w:rsidR="00756B53" w:rsidRPr="00E83DA2" w:rsidRDefault="00756B53" w:rsidP="009F7B89">
      <w:pPr>
        <w:pStyle w:val="ListParagraph"/>
        <w:numPr>
          <w:ilvl w:val="0"/>
          <w:numId w:val="28"/>
        </w:numPr>
        <w:ind w:left="993"/>
        <w:rPr>
          <w:rFonts w:ascii="Gill Sans MT" w:hAnsi="Gill Sans MT"/>
        </w:rPr>
      </w:pPr>
      <w:r w:rsidRPr="00E83DA2">
        <w:rPr>
          <w:rFonts w:ascii="Gill Sans MT" w:hAnsi="Gill Sans MT"/>
        </w:rPr>
        <w:t>Expanded urban areas and urban consolidation</w:t>
      </w:r>
    </w:p>
    <w:p w:rsidR="00756B53" w:rsidRPr="00E83DA2" w:rsidRDefault="00756B53" w:rsidP="009F7B89">
      <w:pPr>
        <w:pStyle w:val="ListParagraph"/>
        <w:numPr>
          <w:ilvl w:val="0"/>
          <w:numId w:val="28"/>
        </w:numPr>
        <w:ind w:left="993"/>
        <w:rPr>
          <w:rFonts w:ascii="Gill Sans MT" w:hAnsi="Gill Sans MT"/>
        </w:rPr>
      </w:pPr>
      <w:r w:rsidRPr="00E83DA2">
        <w:rPr>
          <w:rFonts w:ascii="Gill Sans MT" w:hAnsi="Gill Sans MT"/>
        </w:rPr>
        <w:t>Induced demand from expanded infrastructure networks</w:t>
      </w:r>
    </w:p>
    <w:p w:rsidR="00756B53" w:rsidRPr="00E83DA2" w:rsidRDefault="00756B53" w:rsidP="009F7B89">
      <w:pPr>
        <w:pStyle w:val="ListParagraph"/>
        <w:numPr>
          <w:ilvl w:val="0"/>
          <w:numId w:val="28"/>
        </w:numPr>
        <w:ind w:left="993"/>
        <w:rPr>
          <w:rFonts w:ascii="Gill Sans MT" w:hAnsi="Gill Sans MT"/>
        </w:rPr>
      </w:pPr>
      <w:r w:rsidRPr="00E83DA2">
        <w:rPr>
          <w:rFonts w:ascii="Gill Sans MT" w:hAnsi="Gill Sans MT"/>
        </w:rPr>
        <w:t>Limited demographic using public transport where available</w:t>
      </w:r>
    </w:p>
    <w:p w:rsidR="00756B53" w:rsidRPr="00E83DA2" w:rsidRDefault="00756B53" w:rsidP="009F7B89">
      <w:pPr>
        <w:pStyle w:val="ListParagraph"/>
        <w:numPr>
          <w:ilvl w:val="0"/>
          <w:numId w:val="28"/>
        </w:numPr>
        <w:ind w:left="993"/>
        <w:rPr>
          <w:rFonts w:ascii="Gill Sans MT" w:hAnsi="Gill Sans MT"/>
        </w:rPr>
      </w:pPr>
      <w:r w:rsidRPr="00E83DA2">
        <w:rPr>
          <w:rFonts w:ascii="Gill Sans MT" w:hAnsi="Gill Sans MT"/>
        </w:rPr>
        <w:t>Infrastructure for non-motorised transport</w:t>
      </w:r>
    </w:p>
    <w:p w:rsidR="00756B53" w:rsidRPr="00E83DA2" w:rsidRDefault="00756B53" w:rsidP="009F7B89">
      <w:pPr>
        <w:pStyle w:val="ListParagraph"/>
        <w:numPr>
          <w:ilvl w:val="0"/>
          <w:numId w:val="28"/>
        </w:numPr>
        <w:ind w:left="993"/>
        <w:rPr>
          <w:rFonts w:ascii="Gill Sans MT" w:hAnsi="Gill Sans MT"/>
        </w:rPr>
      </w:pPr>
      <w:r w:rsidRPr="00E83DA2">
        <w:rPr>
          <w:rFonts w:ascii="Gill Sans MT" w:hAnsi="Gill Sans MT"/>
        </w:rPr>
        <w:t>Encouraging the uptake of more sustainable and non-motorised forms of transport – behavioural change</w:t>
      </w:r>
    </w:p>
    <w:p w:rsidR="00756B53" w:rsidRPr="00E83DA2" w:rsidRDefault="00756B53" w:rsidP="009F7B89">
      <w:pPr>
        <w:pStyle w:val="ListParagraph"/>
        <w:numPr>
          <w:ilvl w:val="0"/>
          <w:numId w:val="28"/>
        </w:numPr>
        <w:ind w:left="993"/>
        <w:rPr>
          <w:rFonts w:ascii="Gill Sans MT" w:hAnsi="Gill Sans MT"/>
        </w:rPr>
      </w:pPr>
      <w:r w:rsidRPr="00E83DA2">
        <w:rPr>
          <w:rFonts w:ascii="Gill Sans MT" w:hAnsi="Gill Sans MT"/>
        </w:rPr>
        <w:t>Natural barriers, such as a the Tamar and Esk Rivers, and their implications for transport access</w:t>
      </w:r>
    </w:p>
    <w:p w:rsidR="00756B53" w:rsidRPr="00E83DA2" w:rsidRDefault="00756B53" w:rsidP="009F7B89">
      <w:pPr>
        <w:pStyle w:val="Heading2"/>
        <w:ind w:left="567"/>
      </w:pPr>
      <w:bookmarkStart w:id="40" w:name="_Toc332033583"/>
      <w:bookmarkStart w:id="41" w:name="_Toc332114080"/>
      <w:bookmarkStart w:id="42" w:name="_Toc332115655"/>
      <w:bookmarkStart w:id="43" w:name="_Toc332115746"/>
      <w:r w:rsidRPr="00E83DA2">
        <w:t>Background</w:t>
      </w:r>
      <w:bookmarkEnd w:id="40"/>
      <w:bookmarkEnd w:id="41"/>
      <w:bookmarkEnd w:id="42"/>
      <w:bookmarkEnd w:id="43"/>
    </w:p>
    <w:p w:rsidR="00756B53" w:rsidRPr="00E83DA2" w:rsidRDefault="00756B53" w:rsidP="009F7B89">
      <w:pPr>
        <w:ind w:left="567"/>
        <w:rPr>
          <w:rFonts w:ascii="Gill Sans MT" w:hAnsi="Gill Sans MT"/>
        </w:rPr>
      </w:pPr>
      <w:r w:rsidRPr="00E83DA2">
        <w:rPr>
          <w:rFonts w:ascii="Gill Sans MT" w:hAnsi="Gill Sans MT"/>
        </w:rPr>
        <w:t xml:space="preserve">Accessibility refers to the opportunity to access places, goods, and services within a reasonable amount of time, cost and ease.  Effectively, it refers to how convenient things are.  It can also refer to efforts to improve the mobility of people with disabilities in providing ramps and wheelchair accessible vehicles to that they can use the transport system more easily.  Accessibility is affected by three main influences:  </w:t>
      </w:r>
      <w:proofErr w:type="gramStart"/>
      <w:r w:rsidRPr="00E83DA2">
        <w:rPr>
          <w:rFonts w:ascii="Gill Sans MT" w:hAnsi="Gill Sans MT"/>
        </w:rPr>
        <w:t>land use</w:t>
      </w:r>
      <w:proofErr w:type="gramEnd"/>
      <w:r w:rsidRPr="00E83DA2">
        <w:rPr>
          <w:rFonts w:ascii="Gill Sans MT" w:hAnsi="Gill Sans MT"/>
        </w:rPr>
        <w:t xml:space="preserve"> planning, personal characteristics and the t</w:t>
      </w:r>
      <w:r w:rsidR="00BF56C5" w:rsidRPr="00E83DA2">
        <w:rPr>
          <w:rFonts w:ascii="Gill Sans MT" w:hAnsi="Gill Sans MT"/>
        </w:rPr>
        <w:t>ransport network or services; a</w:t>
      </w:r>
      <w:r w:rsidRPr="00E83DA2">
        <w:rPr>
          <w:rFonts w:ascii="Gill Sans MT" w:hAnsi="Gill Sans MT"/>
        </w:rPr>
        <w:t>ccessibility indicators are sometimes developed by measuring aspects of these</w:t>
      </w:r>
      <w:r w:rsidR="00BF56C5" w:rsidRPr="00E83DA2">
        <w:rPr>
          <w:rFonts w:ascii="Gill Sans MT" w:hAnsi="Gill Sans MT"/>
        </w:rPr>
        <w:t xml:space="preserve"> (Table 1).</w:t>
      </w:r>
    </w:p>
    <w:tbl>
      <w:tblPr>
        <w:tblStyle w:val="TableGrid"/>
        <w:tblW w:w="0" w:type="auto"/>
        <w:tblInd w:w="675" w:type="dxa"/>
        <w:tblLook w:val="04A0"/>
      </w:tblPr>
      <w:tblGrid>
        <w:gridCol w:w="3936"/>
        <w:gridCol w:w="4536"/>
      </w:tblGrid>
      <w:tr w:rsidR="00BF56C5" w:rsidRPr="00E83DA2" w:rsidTr="009F7B89">
        <w:trPr>
          <w:tblHeader/>
        </w:trPr>
        <w:tc>
          <w:tcPr>
            <w:tcW w:w="8472" w:type="dxa"/>
            <w:gridSpan w:val="2"/>
            <w:tcBorders>
              <w:right w:val="single" w:sz="4" w:space="0" w:color="auto"/>
            </w:tcBorders>
            <w:shd w:val="clear" w:color="auto" w:fill="4F81BD" w:themeFill="accent1"/>
          </w:tcPr>
          <w:p w:rsidR="00BF56C5" w:rsidRPr="00E83DA2" w:rsidRDefault="00444FF8" w:rsidP="009F7B89">
            <w:pPr>
              <w:pBdr>
                <w:bottom w:val="single" w:sz="8" w:space="4" w:color="4F81BD" w:themeColor="accent1"/>
              </w:pBdr>
              <w:ind w:left="567"/>
              <w:contextualSpacing/>
              <w:rPr>
                <w:rFonts w:ascii="Gill Sans MT" w:hAnsi="Gill Sans MT"/>
                <w:b/>
                <w:i/>
              </w:rPr>
            </w:pPr>
            <w:r>
              <w:rPr>
                <w:rFonts w:ascii="Gill Sans MT" w:hAnsi="Gill Sans MT"/>
                <w:b/>
                <w:i/>
              </w:rPr>
              <w:t>Figure 14</w:t>
            </w:r>
            <w:r w:rsidR="00BF56C5" w:rsidRPr="00E83DA2">
              <w:rPr>
                <w:rFonts w:ascii="Gill Sans MT" w:hAnsi="Gill Sans MT"/>
                <w:b/>
                <w:i/>
              </w:rPr>
              <w:t xml:space="preserve">. </w:t>
            </w:r>
            <w:r w:rsidR="00BF56C5" w:rsidRPr="00E83DA2">
              <w:rPr>
                <w:rFonts w:ascii="Gill Sans MT" w:hAnsi="Gill Sans MT"/>
                <w:b/>
              </w:rPr>
              <w:t>Examples of accessibility indicators.</w:t>
            </w:r>
          </w:p>
        </w:tc>
      </w:tr>
      <w:tr w:rsidR="00756B53" w:rsidRPr="00E83DA2" w:rsidTr="009F7B89">
        <w:trPr>
          <w:tblHeader/>
        </w:trPr>
        <w:tc>
          <w:tcPr>
            <w:tcW w:w="3936" w:type="dxa"/>
            <w:tcBorders>
              <w:right w:val="single" w:sz="4" w:space="0" w:color="auto"/>
            </w:tcBorders>
            <w:shd w:val="clear" w:color="auto" w:fill="4F81BD" w:themeFill="accent1"/>
          </w:tcPr>
          <w:p w:rsidR="00756B53" w:rsidRPr="00E83DA2" w:rsidRDefault="00756B53" w:rsidP="009F7B89">
            <w:pPr>
              <w:spacing w:after="200" w:line="276" w:lineRule="auto"/>
              <w:ind w:left="567"/>
              <w:rPr>
                <w:rFonts w:ascii="Gill Sans MT" w:hAnsi="Gill Sans MT"/>
                <w:b/>
              </w:rPr>
            </w:pPr>
            <w:r w:rsidRPr="00E83DA2">
              <w:rPr>
                <w:rFonts w:ascii="Gill Sans MT" w:hAnsi="Gill Sans MT"/>
                <w:b/>
              </w:rPr>
              <w:t>Factor</w:t>
            </w:r>
          </w:p>
        </w:tc>
        <w:tc>
          <w:tcPr>
            <w:tcW w:w="4536" w:type="dxa"/>
            <w:tcBorders>
              <w:top w:val="single" w:sz="4" w:space="0" w:color="auto"/>
              <w:left w:val="single" w:sz="4" w:space="0" w:color="auto"/>
              <w:bottom w:val="single" w:sz="4" w:space="0" w:color="auto"/>
              <w:right w:val="single" w:sz="4" w:space="0" w:color="auto"/>
            </w:tcBorders>
            <w:shd w:val="clear" w:color="auto" w:fill="4F81BD" w:themeFill="accent1"/>
          </w:tcPr>
          <w:p w:rsidR="00756B53" w:rsidRPr="00E83DA2" w:rsidRDefault="00756B53" w:rsidP="009F7B89">
            <w:pPr>
              <w:pBdr>
                <w:bottom w:val="single" w:sz="8" w:space="4" w:color="4F81BD" w:themeColor="accent1"/>
              </w:pBdr>
              <w:spacing w:after="200" w:line="276" w:lineRule="auto"/>
              <w:ind w:left="567"/>
              <w:contextualSpacing/>
              <w:rPr>
                <w:rFonts w:ascii="Gill Sans MT" w:hAnsi="Gill Sans MT"/>
                <w:b/>
              </w:rPr>
            </w:pPr>
            <w:r w:rsidRPr="00E83DA2">
              <w:rPr>
                <w:rFonts w:ascii="Gill Sans MT" w:hAnsi="Gill Sans MT"/>
                <w:b/>
              </w:rPr>
              <w:t>Example information</w:t>
            </w:r>
          </w:p>
        </w:tc>
      </w:tr>
      <w:tr w:rsidR="00756B53" w:rsidRPr="00E83DA2" w:rsidTr="009F7B89">
        <w:tc>
          <w:tcPr>
            <w:tcW w:w="3936" w:type="dxa"/>
          </w:tcPr>
          <w:p w:rsidR="00756B53" w:rsidRPr="00E83DA2" w:rsidRDefault="00756B53" w:rsidP="009F7B89">
            <w:pPr>
              <w:ind w:left="567"/>
              <w:rPr>
                <w:rFonts w:ascii="Gill Sans MT" w:hAnsi="Gill Sans MT"/>
              </w:rPr>
            </w:pPr>
            <w:r w:rsidRPr="00E83DA2">
              <w:rPr>
                <w:rFonts w:ascii="Gill Sans MT" w:hAnsi="Gill Sans MT"/>
              </w:rPr>
              <w:t>Land use planning</w:t>
            </w:r>
          </w:p>
        </w:tc>
        <w:tc>
          <w:tcPr>
            <w:tcW w:w="4536" w:type="dxa"/>
            <w:tcBorders>
              <w:top w:val="single" w:sz="4" w:space="0" w:color="auto"/>
            </w:tcBorders>
          </w:tcPr>
          <w:p w:rsidR="00756B53" w:rsidRPr="00E83DA2" w:rsidRDefault="00756B53" w:rsidP="009F7B89">
            <w:pPr>
              <w:ind w:left="567"/>
              <w:rPr>
                <w:rFonts w:ascii="Gill Sans MT" w:hAnsi="Gill Sans MT"/>
              </w:rPr>
            </w:pPr>
            <w:r w:rsidRPr="00E83DA2">
              <w:rPr>
                <w:rFonts w:ascii="Gill Sans MT" w:hAnsi="Gill Sans MT"/>
              </w:rPr>
              <w:t>Distance from shopping centre</w:t>
            </w:r>
          </w:p>
          <w:p w:rsidR="00756B53" w:rsidRPr="00E83DA2" w:rsidRDefault="00756B53" w:rsidP="009F7B89">
            <w:pPr>
              <w:ind w:left="567"/>
              <w:rPr>
                <w:rFonts w:ascii="Gill Sans MT" w:hAnsi="Gill Sans MT"/>
              </w:rPr>
            </w:pPr>
            <w:r w:rsidRPr="00E83DA2">
              <w:rPr>
                <w:rFonts w:ascii="Gill Sans MT" w:hAnsi="Gill Sans MT"/>
              </w:rPr>
              <w:t>Distance from bus stop</w:t>
            </w:r>
          </w:p>
        </w:tc>
      </w:tr>
      <w:tr w:rsidR="00756B53" w:rsidRPr="00E83DA2" w:rsidTr="009F7B89">
        <w:tc>
          <w:tcPr>
            <w:tcW w:w="3936" w:type="dxa"/>
          </w:tcPr>
          <w:p w:rsidR="00756B53" w:rsidRPr="00E83DA2" w:rsidRDefault="00756B53" w:rsidP="009F7B89">
            <w:pPr>
              <w:ind w:left="567"/>
              <w:rPr>
                <w:rFonts w:ascii="Gill Sans MT" w:hAnsi="Gill Sans MT"/>
              </w:rPr>
            </w:pPr>
            <w:r w:rsidRPr="00E83DA2">
              <w:rPr>
                <w:rFonts w:ascii="Gill Sans MT" w:hAnsi="Gill Sans MT"/>
              </w:rPr>
              <w:t>Personal characteristics</w:t>
            </w:r>
          </w:p>
        </w:tc>
        <w:tc>
          <w:tcPr>
            <w:tcW w:w="4536" w:type="dxa"/>
          </w:tcPr>
          <w:p w:rsidR="00756B53" w:rsidRPr="00E83DA2" w:rsidRDefault="00756B53" w:rsidP="009F7B89">
            <w:pPr>
              <w:ind w:left="567"/>
              <w:rPr>
                <w:rFonts w:ascii="Gill Sans MT" w:hAnsi="Gill Sans MT"/>
              </w:rPr>
            </w:pPr>
            <w:r w:rsidRPr="00E83DA2">
              <w:rPr>
                <w:rFonts w:ascii="Gill Sans MT" w:hAnsi="Gill Sans MT"/>
              </w:rPr>
              <w:t>Age (</w:t>
            </w:r>
            <w:proofErr w:type="spellStart"/>
            <w:r w:rsidRPr="00E83DA2">
              <w:rPr>
                <w:rFonts w:ascii="Gill Sans MT" w:hAnsi="Gill Sans MT"/>
              </w:rPr>
              <w:t>ie</w:t>
            </w:r>
            <w:proofErr w:type="spellEnd"/>
            <w:r w:rsidRPr="00E83DA2">
              <w:rPr>
                <w:rFonts w:ascii="Gill Sans MT" w:hAnsi="Gill Sans MT"/>
              </w:rPr>
              <w:t xml:space="preserve"> over 65 etc)</w:t>
            </w:r>
          </w:p>
          <w:p w:rsidR="00756B53" w:rsidRPr="00E83DA2" w:rsidRDefault="00756B53" w:rsidP="009F7B89">
            <w:pPr>
              <w:ind w:left="567"/>
              <w:rPr>
                <w:rFonts w:ascii="Gill Sans MT" w:hAnsi="Gill Sans MT"/>
              </w:rPr>
            </w:pPr>
            <w:r w:rsidRPr="00E83DA2">
              <w:rPr>
                <w:rFonts w:ascii="Gill Sans MT" w:hAnsi="Gill Sans MT"/>
              </w:rPr>
              <w:t>Employment status</w:t>
            </w:r>
          </w:p>
          <w:p w:rsidR="00756B53" w:rsidRPr="00E83DA2" w:rsidRDefault="00756B53" w:rsidP="009F7B89">
            <w:pPr>
              <w:ind w:left="567"/>
              <w:rPr>
                <w:rFonts w:ascii="Gill Sans MT" w:hAnsi="Gill Sans MT"/>
              </w:rPr>
            </w:pPr>
            <w:r w:rsidRPr="00E83DA2">
              <w:rPr>
                <w:rFonts w:ascii="Gill Sans MT" w:hAnsi="Gill Sans MT"/>
              </w:rPr>
              <w:t>Income</w:t>
            </w:r>
          </w:p>
          <w:p w:rsidR="00756B53" w:rsidRPr="00E83DA2" w:rsidRDefault="00756B53" w:rsidP="009F7B89">
            <w:pPr>
              <w:ind w:left="567"/>
              <w:rPr>
                <w:rFonts w:ascii="Gill Sans MT" w:hAnsi="Gill Sans MT"/>
              </w:rPr>
            </w:pPr>
            <w:r w:rsidRPr="00E83DA2">
              <w:rPr>
                <w:rFonts w:ascii="Gill Sans MT" w:hAnsi="Gill Sans MT"/>
              </w:rPr>
              <w:t>Car ownership</w:t>
            </w:r>
          </w:p>
        </w:tc>
      </w:tr>
      <w:tr w:rsidR="00756B53" w:rsidRPr="00E83DA2" w:rsidTr="009F7B89">
        <w:tc>
          <w:tcPr>
            <w:tcW w:w="3936" w:type="dxa"/>
          </w:tcPr>
          <w:p w:rsidR="00756B53" w:rsidRPr="00E83DA2" w:rsidRDefault="00756B53" w:rsidP="009F7B89">
            <w:pPr>
              <w:ind w:left="567"/>
              <w:rPr>
                <w:rFonts w:ascii="Gill Sans MT" w:hAnsi="Gill Sans MT"/>
              </w:rPr>
            </w:pPr>
            <w:r w:rsidRPr="00E83DA2">
              <w:rPr>
                <w:rFonts w:ascii="Gill Sans MT" w:hAnsi="Gill Sans MT"/>
              </w:rPr>
              <w:t>Transport network/services</w:t>
            </w:r>
          </w:p>
        </w:tc>
        <w:tc>
          <w:tcPr>
            <w:tcW w:w="4536" w:type="dxa"/>
          </w:tcPr>
          <w:p w:rsidR="00756B53" w:rsidRPr="00E83DA2" w:rsidRDefault="00756B53" w:rsidP="009F7B89">
            <w:pPr>
              <w:ind w:left="567"/>
              <w:rPr>
                <w:rFonts w:ascii="Gill Sans MT" w:hAnsi="Gill Sans MT"/>
              </w:rPr>
            </w:pPr>
            <w:r w:rsidRPr="00E83DA2">
              <w:rPr>
                <w:rFonts w:ascii="Gill Sans MT" w:hAnsi="Gill Sans MT"/>
              </w:rPr>
              <w:t>Public transport availability/frequency</w:t>
            </w:r>
          </w:p>
        </w:tc>
      </w:tr>
    </w:tbl>
    <w:p w:rsidR="00BF56C5" w:rsidRPr="00E83DA2" w:rsidRDefault="00BF56C5" w:rsidP="009F7B89">
      <w:pPr>
        <w:ind w:left="567"/>
        <w:rPr>
          <w:rFonts w:ascii="Gill Sans MT" w:hAnsi="Gill Sans MT"/>
        </w:rPr>
      </w:pPr>
    </w:p>
    <w:p w:rsidR="00756B53" w:rsidRPr="00E83DA2" w:rsidRDefault="00756B53" w:rsidP="009F7B89">
      <w:pPr>
        <w:ind w:left="567"/>
        <w:rPr>
          <w:rFonts w:ascii="Gill Sans MT" w:hAnsi="Gill Sans MT"/>
        </w:rPr>
      </w:pPr>
      <w:r w:rsidRPr="00E83DA2">
        <w:rPr>
          <w:rFonts w:ascii="Gill Sans MT" w:hAnsi="Gill Sans MT"/>
        </w:rPr>
        <w:t xml:space="preserve">For most Tasmanians, private motor car is their main method of transport.  For those who don’t have access to a car or can’t afford to operate one to the extent required, public transport becomes their main means of accessing places, goods, and services.    </w:t>
      </w:r>
    </w:p>
    <w:p w:rsidR="00756B53" w:rsidRPr="00E83DA2" w:rsidRDefault="00756B53" w:rsidP="009F7B89">
      <w:pPr>
        <w:ind w:left="567"/>
        <w:rPr>
          <w:rFonts w:ascii="Gill Sans MT" w:hAnsi="Gill Sans MT"/>
        </w:rPr>
      </w:pPr>
      <w:r w:rsidRPr="00E83DA2">
        <w:rPr>
          <w:rFonts w:ascii="Gill Sans MT" w:hAnsi="Gill Sans MT"/>
        </w:rPr>
        <w:t xml:space="preserve">Tasmania’s suburbs are generally set up to cater for private car use.  While older suburbs closer to the city may have many opportunities for people to access shops, doctors, chemists, child care centres and other services by walking or using public transport, many newer suburbs are not planned this way. </w:t>
      </w:r>
      <w:proofErr w:type="gramStart"/>
      <w:r w:rsidRPr="00E83DA2">
        <w:rPr>
          <w:rFonts w:ascii="Gill Sans MT" w:hAnsi="Gill Sans MT"/>
        </w:rPr>
        <w:lastRenderedPageBreak/>
        <w:t>Development in new areas outside the urban boundaries of Launceston such as Legana, Hadspen and Prospect have</w:t>
      </w:r>
      <w:proofErr w:type="gramEnd"/>
      <w:r w:rsidRPr="00E83DA2">
        <w:rPr>
          <w:rFonts w:ascii="Gill Sans MT" w:hAnsi="Gill Sans MT"/>
        </w:rPr>
        <w:t xml:space="preserve"> largely been planned around car use, rather than public transport, walking and cycling.  It is extremely difficult for public transport to meet the needs of people living in suburbs which are located away from major centres and have a low population.  </w:t>
      </w:r>
    </w:p>
    <w:p w:rsidR="00756B53" w:rsidRPr="00E83DA2" w:rsidRDefault="00756B53" w:rsidP="009F7B89">
      <w:pPr>
        <w:ind w:left="567"/>
        <w:rPr>
          <w:rFonts w:ascii="Gill Sans MT" w:hAnsi="Gill Sans MT"/>
        </w:rPr>
      </w:pPr>
      <w:r w:rsidRPr="00E83DA2">
        <w:rPr>
          <w:rFonts w:ascii="Gill Sans MT" w:hAnsi="Gill Sans MT"/>
        </w:rPr>
        <w:t xml:space="preserve">There are a number of ways to measure accessibility, one of which involves using mapping techniques to look at the proximity of housing to essential services such as schools, child care centres, health centres, and shops.  Public transport and routes can also be included in these maps and a kind of index created to demonstrate how close people live to essential services, and how easy it is for them to access those services.  “Milk maps” have been used to demonstrate the relationship between places where it is possible to buy basic food items like a carton of milk and where people live.  These studies have generally shown that people living in new outer suburbs have much less opportunity to buy basic goods within walking distance from their homes, whereas older suburbs tend to have small shops within close proximity.  This also shows why some cities and suburbs are dominated by private car use, as people need to use a car to access every basic daily need. </w:t>
      </w:r>
    </w:p>
    <w:p w:rsidR="00756B53" w:rsidRPr="00E83DA2" w:rsidRDefault="00756B53" w:rsidP="009F7B89">
      <w:pPr>
        <w:pStyle w:val="Heading2"/>
        <w:ind w:left="567"/>
      </w:pPr>
      <w:bookmarkStart w:id="44" w:name="_Toc332033584"/>
      <w:bookmarkStart w:id="45" w:name="_Toc332114081"/>
      <w:bookmarkStart w:id="46" w:name="_Toc332115656"/>
      <w:bookmarkStart w:id="47" w:name="_Toc332115747"/>
      <w:r w:rsidRPr="00E83DA2">
        <w:t>Development patterns</w:t>
      </w:r>
      <w:bookmarkEnd w:id="44"/>
      <w:bookmarkEnd w:id="45"/>
      <w:bookmarkEnd w:id="46"/>
      <w:bookmarkEnd w:id="47"/>
    </w:p>
    <w:p w:rsidR="0086391A" w:rsidRPr="00E83DA2" w:rsidRDefault="0086391A" w:rsidP="009F7B89">
      <w:pPr>
        <w:spacing w:line="240" w:lineRule="auto"/>
        <w:ind w:left="567"/>
        <w:rPr>
          <w:rStyle w:val="InstructionText"/>
        </w:rPr>
      </w:pPr>
      <w:r w:rsidRPr="00E83DA2">
        <w:rPr>
          <w:rStyle w:val="InstructionText"/>
        </w:rPr>
        <w:t>Population change by Local Government Area</w:t>
      </w:r>
    </w:p>
    <w:p w:rsidR="0086391A" w:rsidRDefault="0086391A" w:rsidP="009F7B89">
      <w:pPr>
        <w:ind w:left="567"/>
        <w:rPr>
          <w:rFonts w:ascii="Gill Sans MT" w:hAnsi="Gill Sans MT"/>
        </w:rPr>
      </w:pPr>
      <w:r w:rsidRPr="00E83DA2">
        <w:rPr>
          <w:rFonts w:ascii="Gill Sans MT" w:hAnsi="Gill Sans MT"/>
        </w:rPr>
        <w:t xml:space="preserve">The greatest population changes in the past 10 years have been the decline in population on Flinders and the increase in Meander Valley (Table 2). West Tamar and Northern Midlands have also shown moderate growth during the period, while Launceston has shown moderate growth but from a high base.  Many factors contribute to regional population change, including declining or increasing employment opportunities, location of affordable housing, age/life stage, and lifestyle factors (including a willingness to travel further to work). While population numbers have remained relatively constant in Dorset and Break O’Day over the last ten years, closer inspection shows less subtle changes in the regions’ age profiles with a 9% increase in people aged over 50, with a similar decrease for those </w:t>
      </w:r>
      <w:proofErr w:type="gramStart"/>
      <w:r w:rsidRPr="00E83DA2">
        <w:rPr>
          <w:rFonts w:ascii="Gill Sans MT" w:hAnsi="Gill Sans MT"/>
        </w:rPr>
        <w:t>under</w:t>
      </w:r>
      <w:proofErr w:type="gramEnd"/>
      <w:r w:rsidRPr="00E83DA2">
        <w:rPr>
          <w:rFonts w:ascii="Gill Sans MT" w:hAnsi="Gill Sans MT"/>
        </w:rPr>
        <w:t xml:space="preserve"> 50 years. These changes may be attributed to lifestyle preferences, a decline in employment opportunities within these municipalities, despite growth in towns such as Bridport. Closer to Launceston, towns such as Perth and Hadspen have become commuter suburbs for Launceston, while significant residential development opportunities have opened up in Prospect (Meander Valley). The figures demonstrate that what people view as the outer limits of Launceston have extended well beyond the boundaries of the Local Government Area of Launceston City Council.</w:t>
      </w:r>
    </w:p>
    <w:p w:rsidR="00626F74" w:rsidRDefault="00626F74" w:rsidP="0086391A">
      <w:pPr>
        <w:rPr>
          <w:rFonts w:ascii="Gill Sans MT" w:hAnsi="Gill Sans MT"/>
        </w:rPr>
      </w:pPr>
    </w:p>
    <w:p w:rsidR="00ED0EFF" w:rsidRPr="00E83DA2" w:rsidRDefault="00ED0EFF" w:rsidP="0086391A">
      <w:pPr>
        <w:rPr>
          <w:rFonts w:ascii="Gill Sans MT" w:hAnsi="Gill Sans MT"/>
        </w:rPr>
      </w:pPr>
    </w:p>
    <w:tbl>
      <w:tblPr>
        <w:tblStyle w:val="TableGrid"/>
        <w:tblW w:w="7757" w:type="dxa"/>
        <w:tblInd w:w="1101" w:type="dxa"/>
        <w:tblLayout w:type="fixed"/>
        <w:tblLook w:val="04A0"/>
      </w:tblPr>
      <w:tblGrid>
        <w:gridCol w:w="3335"/>
        <w:gridCol w:w="1474"/>
        <w:gridCol w:w="1474"/>
        <w:gridCol w:w="1474"/>
      </w:tblGrid>
      <w:tr w:rsidR="00BF56C5" w:rsidRPr="00E83DA2" w:rsidTr="009F7B89">
        <w:trPr>
          <w:trHeight w:val="752"/>
          <w:tblHeader/>
        </w:trPr>
        <w:tc>
          <w:tcPr>
            <w:tcW w:w="7757" w:type="dxa"/>
            <w:gridSpan w:val="4"/>
            <w:shd w:val="clear" w:color="auto" w:fill="4F81BD" w:themeFill="accent1"/>
            <w:noWrap/>
            <w:vAlign w:val="center"/>
            <w:hideMark/>
          </w:tcPr>
          <w:p w:rsidR="00BF56C5" w:rsidRPr="00E83DA2" w:rsidRDefault="00444FF8" w:rsidP="00B413C1">
            <w:pPr>
              <w:rPr>
                <w:rFonts w:ascii="Gill Sans MT" w:eastAsia="Times New Roman" w:hAnsi="Gill Sans MT" w:cs="Times New Roman"/>
                <w:b/>
                <w:bCs/>
                <w:color w:val="000000"/>
                <w:lang w:eastAsia="en-AU"/>
              </w:rPr>
            </w:pPr>
            <w:r>
              <w:rPr>
                <w:rFonts w:ascii="Gill Sans MT" w:eastAsia="Times New Roman" w:hAnsi="Gill Sans MT" w:cs="Times New Roman"/>
                <w:b/>
                <w:bCs/>
                <w:i/>
                <w:color w:val="000000"/>
                <w:lang w:eastAsia="en-AU"/>
              </w:rPr>
              <w:lastRenderedPageBreak/>
              <w:t>Figure 15</w:t>
            </w:r>
            <w:r w:rsidR="00BF56C5" w:rsidRPr="00E83DA2">
              <w:rPr>
                <w:rFonts w:ascii="Gill Sans MT" w:eastAsia="Times New Roman" w:hAnsi="Gill Sans MT" w:cs="Times New Roman"/>
                <w:b/>
                <w:bCs/>
                <w:i/>
                <w:color w:val="000000"/>
                <w:lang w:eastAsia="en-AU"/>
              </w:rPr>
              <w:t xml:space="preserve">. </w:t>
            </w:r>
            <w:r w:rsidR="00BF56C5" w:rsidRPr="00E83DA2">
              <w:rPr>
                <w:rFonts w:ascii="Gill Sans MT" w:eastAsia="Times New Roman" w:hAnsi="Gill Sans MT" w:cs="Times New Roman"/>
                <w:b/>
                <w:bCs/>
                <w:color w:val="000000"/>
                <w:lang w:eastAsia="en-AU"/>
              </w:rPr>
              <w:t>Population change by Local Government Areas, the Northern Region and Tasmania.</w:t>
            </w:r>
          </w:p>
        </w:tc>
      </w:tr>
      <w:tr w:rsidR="00BF56C5" w:rsidRPr="00E83DA2" w:rsidTr="009F7B89">
        <w:trPr>
          <w:trHeight w:val="300"/>
          <w:tblHeader/>
        </w:trPr>
        <w:tc>
          <w:tcPr>
            <w:tcW w:w="3335" w:type="dxa"/>
            <w:shd w:val="clear" w:color="auto" w:fill="4F81BD" w:themeFill="accent1"/>
            <w:noWrap/>
            <w:hideMark/>
          </w:tcPr>
          <w:p w:rsidR="00BF56C5" w:rsidRPr="00E83DA2" w:rsidRDefault="00BF56C5" w:rsidP="008D2E39">
            <w:pPr>
              <w:rPr>
                <w:rFonts w:ascii="Gill Sans MT" w:eastAsia="Times New Roman" w:hAnsi="Gill Sans MT" w:cs="Times New Roman"/>
                <w:b/>
                <w:bCs/>
                <w:color w:val="000000"/>
                <w:lang w:eastAsia="en-AU"/>
              </w:rPr>
            </w:pPr>
            <w:r w:rsidRPr="00E83DA2">
              <w:rPr>
                <w:rFonts w:ascii="Gill Sans MT" w:eastAsia="Times New Roman" w:hAnsi="Gill Sans MT" w:cs="Times New Roman"/>
                <w:b/>
                <w:bCs/>
                <w:color w:val="000000"/>
                <w:lang w:eastAsia="en-AU"/>
              </w:rPr>
              <w:t>Name</w:t>
            </w:r>
          </w:p>
        </w:tc>
        <w:tc>
          <w:tcPr>
            <w:tcW w:w="1474" w:type="dxa"/>
            <w:shd w:val="clear" w:color="auto" w:fill="4F81BD" w:themeFill="accent1"/>
            <w:noWrap/>
            <w:hideMark/>
          </w:tcPr>
          <w:p w:rsidR="00BF56C5" w:rsidRPr="00E83DA2" w:rsidRDefault="00BF56C5" w:rsidP="008D2E39">
            <w:pPr>
              <w:jc w:val="right"/>
              <w:rPr>
                <w:rFonts w:ascii="Gill Sans MT" w:eastAsia="Times New Roman" w:hAnsi="Gill Sans MT" w:cs="Times New Roman"/>
                <w:b/>
                <w:bCs/>
                <w:color w:val="000000"/>
                <w:lang w:eastAsia="en-AU"/>
              </w:rPr>
            </w:pPr>
            <w:r w:rsidRPr="00E83DA2">
              <w:rPr>
                <w:rFonts w:ascii="Gill Sans MT" w:eastAsia="Times New Roman" w:hAnsi="Gill Sans MT" w:cs="Times New Roman"/>
                <w:b/>
                <w:bCs/>
                <w:color w:val="000000"/>
                <w:lang w:eastAsia="en-AU"/>
              </w:rPr>
              <w:t>2001</w:t>
            </w:r>
          </w:p>
        </w:tc>
        <w:tc>
          <w:tcPr>
            <w:tcW w:w="1474" w:type="dxa"/>
            <w:shd w:val="clear" w:color="auto" w:fill="4F81BD" w:themeFill="accent1"/>
            <w:noWrap/>
            <w:hideMark/>
          </w:tcPr>
          <w:p w:rsidR="00BF56C5" w:rsidRPr="00E83DA2" w:rsidRDefault="00BF56C5" w:rsidP="008D2E39">
            <w:pPr>
              <w:jc w:val="right"/>
              <w:rPr>
                <w:rFonts w:ascii="Gill Sans MT" w:eastAsia="Times New Roman" w:hAnsi="Gill Sans MT" w:cs="Times New Roman"/>
                <w:b/>
                <w:bCs/>
                <w:color w:val="000000"/>
                <w:lang w:eastAsia="en-AU"/>
              </w:rPr>
            </w:pPr>
            <w:r w:rsidRPr="00E83DA2">
              <w:rPr>
                <w:rFonts w:ascii="Gill Sans MT" w:eastAsia="Times New Roman" w:hAnsi="Gill Sans MT" w:cs="Times New Roman"/>
                <w:b/>
                <w:bCs/>
                <w:color w:val="000000"/>
                <w:lang w:eastAsia="en-AU"/>
              </w:rPr>
              <w:t>2011</w:t>
            </w:r>
          </w:p>
        </w:tc>
        <w:tc>
          <w:tcPr>
            <w:tcW w:w="1474" w:type="dxa"/>
            <w:shd w:val="clear" w:color="auto" w:fill="4F81BD" w:themeFill="accent1"/>
            <w:noWrap/>
            <w:hideMark/>
          </w:tcPr>
          <w:p w:rsidR="00BF56C5" w:rsidRPr="00E83DA2" w:rsidRDefault="00BF56C5" w:rsidP="008D2E39">
            <w:pPr>
              <w:jc w:val="right"/>
              <w:rPr>
                <w:rFonts w:ascii="Gill Sans MT" w:eastAsia="Times New Roman" w:hAnsi="Gill Sans MT" w:cs="Times New Roman"/>
                <w:b/>
                <w:bCs/>
                <w:color w:val="000000"/>
                <w:lang w:eastAsia="en-AU"/>
              </w:rPr>
            </w:pPr>
            <w:r w:rsidRPr="00E83DA2">
              <w:rPr>
                <w:rFonts w:ascii="Gill Sans MT" w:eastAsia="Times New Roman" w:hAnsi="Gill Sans MT" w:cs="Times New Roman"/>
                <w:b/>
                <w:bCs/>
                <w:color w:val="000000"/>
                <w:lang w:eastAsia="en-AU"/>
              </w:rPr>
              <w:t>% Change</w:t>
            </w:r>
          </w:p>
        </w:tc>
      </w:tr>
      <w:tr w:rsidR="00BF56C5" w:rsidRPr="00E83DA2" w:rsidTr="009F7B89">
        <w:trPr>
          <w:trHeight w:val="300"/>
        </w:trPr>
        <w:tc>
          <w:tcPr>
            <w:tcW w:w="3335"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Break O'Day (M)</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5,695</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5,634</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w:t>
            </w:r>
          </w:p>
        </w:tc>
      </w:tr>
      <w:tr w:rsidR="00BF56C5" w:rsidRPr="00E83DA2" w:rsidTr="009F7B89">
        <w:trPr>
          <w:trHeight w:val="300"/>
        </w:trPr>
        <w:tc>
          <w:tcPr>
            <w:tcW w:w="3335"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Dorset (M)</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7,339</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7,351</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w:t>
            </w:r>
          </w:p>
        </w:tc>
      </w:tr>
      <w:tr w:rsidR="00BF56C5" w:rsidRPr="00E83DA2" w:rsidTr="009F7B89">
        <w:trPr>
          <w:trHeight w:val="300"/>
        </w:trPr>
        <w:tc>
          <w:tcPr>
            <w:tcW w:w="3335"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Flinders (M)</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857</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776</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-9%</w:t>
            </w:r>
          </w:p>
        </w:tc>
      </w:tr>
      <w:tr w:rsidR="00BF56C5" w:rsidRPr="00E83DA2" w:rsidTr="009F7B89">
        <w:trPr>
          <w:trHeight w:val="300"/>
        </w:trPr>
        <w:tc>
          <w:tcPr>
            <w:tcW w:w="3335"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George Town (M)</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6,271</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6,636</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w:t>
            </w:r>
          </w:p>
        </w:tc>
      </w:tr>
      <w:tr w:rsidR="00BF56C5" w:rsidRPr="00E83DA2" w:rsidTr="009F7B89">
        <w:trPr>
          <w:trHeight w:val="300"/>
        </w:trPr>
        <w:tc>
          <w:tcPr>
            <w:tcW w:w="3335"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Launceston (C)</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60,833</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64,193</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w:t>
            </w:r>
          </w:p>
        </w:tc>
      </w:tr>
      <w:tr w:rsidR="00BF56C5" w:rsidRPr="00E83DA2" w:rsidTr="009F7B89">
        <w:trPr>
          <w:trHeight w:val="300"/>
        </w:trPr>
        <w:tc>
          <w:tcPr>
            <w:tcW w:w="3335"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Meander Valley (M)</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17,375</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18,888</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9%</w:t>
            </w:r>
          </w:p>
        </w:tc>
      </w:tr>
      <w:tr w:rsidR="00BF56C5" w:rsidRPr="00E83DA2" w:rsidTr="009F7B89">
        <w:trPr>
          <w:trHeight w:val="300"/>
        </w:trPr>
        <w:tc>
          <w:tcPr>
            <w:tcW w:w="3335"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Northern Midlands (M)</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11,427</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12,228</w:t>
            </w:r>
          </w:p>
        </w:tc>
        <w:tc>
          <w:tcPr>
            <w:tcW w:w="1474" w:type="dxa"/>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7%</w:t>
            </w:r>
          </w:p>
        </w:tc>
      </w:tr>
      <w:tr w:rsidR="00BF56C5" w:rsidRPr="00E83DA2" w:rsidTr="009F7B89">
        <w:trPr>
          <w:trHeight w:val="300"/>
        </w:trPr>
        <w:tc>
          <w:tcPr>
            <w:tcW w:w="3335" w:type="dxa"/>
            <w:tcBorders>
              <w:bottom w:val="double" w:sz="4" w:space="0" w:color="auto"/>
            </w:tcBorders>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West Tamar (M)</w:t>
            </w:r>
          </w:p>
        </w:tc>
        <w:tc>
          <w:tcPr>
            <w:tcW w:w="1474" w:type="dxa"/>
            <w:tcBorders>
              <w:bottom w:val="double" w:sz="4" w:space="0" w:color="auto"/>
            </w:tcBorders>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19,346</w:t>
            </w:r>
          </w:p>
        </w:tc>
        <w:tc>
          <w:tcPr>
            <w:tcW w:w="1474" w:type="dxa"/>
            <w:tcBorders>
              <w:bottom w:val="double" w:sz="4" w:space="0" w:color="auto"/>
            </w:tcBorders>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21,817</w:t>
            </w:r>
          </w:p>
        </w:tc>
        <w:tc>
          <w:tcPr>
            <w:tcW w:w="1474" w:type="dxa"/>
            <w:tcBorders>
              <w:bottom w:val="double" w:sz="4" w:space="0" w:color="auto"/>
            </w:tcBorders>
            <w:noWrap/>
            <w:vAlign w:val="center"/>
            <w:hideMark/>
          </w:tcPr>
          <w:p w:rsidR="00BF56C5" w:rsidRPr="00E83DA2" w:rsidRDefault="00BF56C5" w:rsidP="00BF56C5">
            <w:pPr>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7%</w:t>
            </w:r>
          </w:p>
        </w:tc>
      </w:tr>
      <w:tr w:rsidR="00BF56C5" w:rsidRPr="00E83DA2" w:rsidTr="009F7B89">
        <w:trPr>
          <w:trHeight w:val="300"/>
        </w:trPr>
        <w:tc>
          <w:tcPr>
            <w:tcW w:w="3335" w:type="dxa"/>
            <w:tcBorders>
              <w:top w:val="double" w:sz="4" w:space="0" w:color="auto"/>
              <w:bottom w:val="thickThinMediumGap" w:sz="24" w:space="0" w:color="auto"/>
            </w:tcBorders>
            <w:noWrap/>
            <w:vAlign w:val="center"/>
            <w:hideMark/>
          </w:tcPr>
          <w:p w:rsidR="00BF56C5" w:rsidRPr="00E83DA2" w:rsidRDefault="00BF56C5" w:rsidP="00BF56C5">
            <w:pPr>
              <w:rPr>
                <w:rFonts w:ascii="Gill Sans MT" w:eastAsia="Times New Roman" w:hAnsi="Gill Sans MT" w:cs="Times New Roman"/>
                <w:i/>
                <w:color w:val="000000"/>
                <w:lang w:eastAsia="en-AU"/>
              </w:rPr>
            </w:pPr>
            <w:r w:rsidRPr="00E83DA2">
              <w:rPr>
                <w:rFonts w:ascii="Gill Sans MT" w:eastAsia="Times New Roman" w:hAnsi="Gill Sans MT" w:cs="Times New Roman"/>
                <w:i/>
                <w:color w:val="000000"/>
                <w:lang w:eastAsia="en-AU"/>
              </w:rPr>
              <w:t>Northern Region</w:t>
            </w:r>
          </w:p>
        </w:tc>
        <w:tc>
          <w:tcPr>
            <w:tcW w:w="1474" w:type="dxa"/>
            <w:tcBorders>
              <w:top w:val="double" w:sz="4" w:space="0" w:color="auto"/>
              <w:bottom w:val="thickThinMediumGap" w:sz="24" w:space="0" w:color="auto"/>
            </w:tcBorders>
            <w:noWrap/>
            <w:vAlign w:val="center"/>
            <w:hideMark/>
          </w:tcPr>
          <w:p w:rsidR="00BF56C5" w:rsidRPr="00E83DA2" w:rsidRDefault="00BF56C5" w:rsidP="00BF56C5">
            <w:pPr>
              <w:rPr>
                <w:rFonts w:ascii="Gill Sans MT" w:eastAsia="Times New Roman" w:hAnsi="Gill Sans MT" w:cs="Times New Roman"/>
                <w:i/>
                <w:color w:val="000000"/>
                <w:lang w:eastAsia="en-AU"/>
              </w:rPr>
            </w:pPr>
            <w:r w:rsidRPr="00E83DA2">
              <w:rPr>
                <w:rFonts w:ascii="Gill Sans MT" w:eastAsia="Times New Roman" w:hAnsi="Gill Sans MT" w:cs="Times New Roman"/>
                <w:i/>
                <w:color w:val="000000"/>
                <w:lang w:eastAsia="en-AU"/>
              </w:rPr>
              <w:t>129,143</w:t>
            </w:r>
          </w:p>
        </w:tc>
        <w:tc>
          <w:tcPr>
            <w:tcW w:w="1474" w:type="dxa"/>
            <w:tcBorders>
              <w:top w:val="double" w:sz="4" w:space="0" w:color="auto"/>
              <w:bottom w:val="thickThinMediumGap" w:sz="24" w:space="0" w:color="auto"/>
            </w:tcBorders>
            <w:noWrap/>
            <w:vAlign w:val="center"/>
            <w:hideMark/>
          </w:tcPr>
          <w:p w:rsidR="00BF56C5" w:rsidRPr="00E83DA2" w:rsidRDefault="00BF56C5" w:rsidP="00BF56C5">
            <w:pPr>
              <w:rPr>
                <w:rFonts w:ascii="Gill Sans MT" w:eastAsia="Times New Roman" w:hAnsi="Gill Sans MT" w:cs="Times New Roman"/>
                <w:i/>
                <w:color w:val="000000"/>
                <w:lang w:eastAsia="en-AU"/>
              </w:rPr>
            </w:pPr>
            <w:r w:rsidRPr="00E83DA2">
              <w:rPr>
                <w:rFonts w:ascii="Gill Sans MT" w:eastAsia="Times New Roman" w:hAnsi="Gill Sans MT" w:cs="Times New Roman"/>
                <w:i/>
                <w:color w:val="000000"/>
                <w:lang w:eastAsia="en-AU"/>
              </w:rPr>
              <w:t>137,523</w:t>
            </w:r>
          </w:p>
        </w:tc>
        <w:tc>
          <w:tcPr>
            <w:tcW w:w="1474" w:type="dxa"/>
            <w:tcBorders>
              <w:top w:val="double" w:sz="4" w:space="0" w:color="auto"/>
              <w:bottom w:val="thickThinMediumGap" w:sz="24" w:space="0" w:color="auto"/>
            </w:tcBorders>
            <w:noWrap/>
            <w:vAlign w:val="center"/>
            <w:hideMark/>
          </w:tcPr>
          <w:p w:rsidR="00BF56C5" w:rsidRPr="00E83DA2" w:rsidRDefault="00BF56C5" w:rsidP="00BF56C5">
            <w:pPr>
              <w:rPr>
                <w:rFonts w:ascii="Gill Sans MT" w:eastAsia="Times New Roman" w:hAnsi="Gill Sans MT" w:cs="Times New Roman"/>
                <w:i/>
                <w:color w:val="000000"/>
                <w:lang w:eastAsia="en-AU"/>
              </w:rPr>
            </w:pPr>
            <w:r w:rsidRPr="00E83DA2">
              <w:rPr>
                <w:rFonts w:ascii="Gill Sans MT" w:eastAsia="Times New Roman" w:hAnsi="Gill Sans MT" w:cs="Times New Roman"/>
                <w:i/>
                <w:color w:val="000000"/>
                <w:lang w:eastAsia="en-AU"/>
              </w:rPr>
              <w:t>3%</w:t>
            </w:r>
          </w:p>
        </w:tc>
      </w:tr>
      <w:tr w:rsidR="00BF56C5" w:rsidRPr="00E83DA2" w:rsidTr="009F7B89">
        <w:trPr>
          <w:trHeight w:val="300"/>
        </w:trPr>
        <w:tc>
          <w:tcPr>
            <w:tcW w:w="3335" w:type="dxa"/>
            <w:tcBorders>
              <w:top w:val="thickThinMediumGap" w:sz="24" w:space="0" w:color="auto"/>
              <w:bottom w:val="single" w:sz="24" w:space="0" w:color="auto"/>
            </w:tcBorders>
            <w:noWrap/>
            <w:vAlign w:val="center"/>
            <w:hideMark/>
          </w:tcPr>
          <w:p w:rsidR="00BF56C5" w:rsidRPr="00E83DA2" w:rsidRDefault="00BF56C5" w:rsidP="00BF56C5">
            <w:pPr>
              <w:rPr>
                <w:rFonts w:ascii="Gill Sans MT" w:eastAsia="Times New Roman" w:hAnsi="Gill Sans MT" w:cs="Times New Roman"/>
                <w:b/>
                <w:color w:val="000000"/>
                <w:lang w:eastAsia="en-AU"/>
              </w:rPr>
            </w:pPr>
            <w:r w:rsidRPr="00E83DA2">
              <w:rPr>
                <w:rFonts w:ascii="Gill Sans MT" w:eastAsia="Times New Roman" w:hAnsi="Gill Sans MT" w:cs="Times New Roman"/>
                <w:b/>
                <w:color w:val="000000"/>
                <w:lang w:eastAsia="en-AU"/>
              </w:rPr>
              <w:t>TOTAL TASMANIA</w:t>
            </w:r>
          </w:p>
        </w:tc>
        <w:tc>
          <w:tcPr>
            <w:tcW w:w="1474" w:type="dxa"/>
            <w:tcBorders>
              <w:top w:val="thickThinMediumGap" w:sz="24" w:space="0" w:color="auto"/>
              <w:bottom w:val="single" w:sz="24" w:space="0" w:color="auto"/>
            </w:tcBorders>
            <w:noWrap/>
            <w:vAlign w:val="center"/>
            <w:hideMark/>
          </w:tcPr>
          <w:p w:rsidR="00BF56C5" w:rsidRPr="00E83DA2" w:rsidRDefault="00BF56C5" w:rsidP="00BF56C5">
            <w:pPr>
              <w:rPr>
                <w:rFonts w:ascii="Gill Sans MT" w:eastAsia="Times New Roman" w:hAnsi="Gill Sans MT" w:cs="Times New Roman"/>
                <w:b/>
                <w:color w:val="000000"/>
                <w:lang w:eastAsia="en-AU"/>
              </w:rPr>
            </w:pPr>
            <w:r w:rsidRPr="00E83DA2">
              <w:rPr>
                <w:rFonts w:ascii="Gill Sans MT" w:eastAsia="Times New Roman" w:hAnsi="Gill Sans MT" w:cs="Times New Roman"/>
                <w:b/>
                <w:color w:val="000000"/>
                <w:lang w:eastAsia="en-AU"/>
              </w:rPr>
              <w:t>460,672</w:t>
            </w:r>
          </w:p>
        </w:tc>
        <w:tc>
          <w:tcPr>
            <w:tcW w:w="1474" w:type="dxa"/>
            <w:tcBorders>
              <w:top w:val="thickThinMediumGap" w:sz="24" w:space="0" w:color="auto"/>
              <w:bottom w:val="single" w:sz="24" w:space="0" w:color="auto"/>
            </w:tcBorders>
            <w:noWrap/>
            <w:vAlign w:val="center"/>
            <w:hideMark/>
          </w:tcPr>
          <w:p w:rsidR="00BF56C5" w:rsidRPr="00E83DA2" w:rsidRDefault="00BF56C5" w:rsidP="00BF56C5">
            <w:pPr>
              <w:rPr>
                <w:rFonts w:ascii="Gill Sans MT" w:eastAsia="Times New Roman" w:hAnsi="Gill Sans MT" w:cs="Times New Roman"/>
                <w:b/>
                <w:color w:val="000000"/>
                <w:lang w:eastAsia="en-AU"/>
              </w:rPr>
            </w:pPr>
            <w:r w:rsidRPr="00E83DA2">
              <w:rPr>
                <w:rFonts w:ascii="Gill Sans MT" w:eastAsia="Times New Roman" w:hAnsi="Gill Sans MT" w:cs="Times New Roman"/>
                <w:b/>
                <w:color w:val="000000"/>
                <w:lang w:eastAsia="en-AU"/>
              </w:rPr>
              <w:t>495,354</w:t>
            </w:r>
          </w:p>
        </w:tc>
        <w:tc>
          <w:tcPr>
            <w:tcW w:w="1474" w:type="dxa"/>
            <w:tcBorders>
              <w:top w:val="thickThinMediumGap" w:sz="24" w:space="0" w:color="auto"/>
              <w:bottom w:val="single" w:sz="24" w:space="0" w:color="auto"/>
            </w:tcBorders>
            <w:noWrap/>
            <w:vAlign w:val="center"/>
            <w:hideMark/>
          </w:tcPr>
          <w:p w:rsidR="00BF56C5" w:rsidRPr="00E83DA2" w:rsidRDefault="00BF56C5" w:rsidP="00BF56C5">
            <w:pPr>
              <w:rPr>
                <w:rFonts w:ascii="Gill Sans MT" w:eastAsia="Times New Roman" w:hAnsi="Gill Sans MT" w:cs="Times New Roman"/>
                <w:b/>
                <w:color w:val="000000"/>
                <w:lang w:eastAsia="en-AU"/>
              </w:rPr>
            </w:pPr>
            <w:r w:rsidRPr="00E83DA2">
              <w:rPr>
                <w:rFonts w:ascii="Gill Sans MT" w:eastAsia="Times New Roman" w:hAnsi="Gill Sans MT" w:cs="Times New Roman"/>
                <w:b/>
                <w:color w:val="000000"/>
                <w:lang w:eastAsia="en-AU"/>
              </w:rPr>
              <w:t>8%</w:t>
            </w:r>
          </w:p>
        </w:tc>
      </w:tr>
    </w:tbl>
    <w:p w:rsidR="00756B53" w:rsidRPr="00E83DA2" w:rsidRDefault="00756B53" w:rsidP="00756B53">
      <w:pPr>
        <w:rPr>
          <w:rFonts w:ascii="Gill Sans MT" w:hAnsi="Gill Sans MT"/>
        </w:rPr>
      </w:pPr>
      <w:r w:rsidRPr="00E83DA2">
        <w:rPr>
          <w:rFonts w:ascii="Gill Sans MT" w:hAnsi="Gill Sans MT"/>
        </w:rPr>
        <w:t xml:space="preserve">  </w:t>
      </w:r>
    </w:p>
    <w:p w:rsidR="00756B53" w:rsidRPr="00E83DA2" w:rsidRDefault="00756B53" w:rsidP="009F7B89">
      <w:pPr>
        <w:ind w:left="567"/>
        <w:rPr>
          <w:rFonts w:ascii="Gill Sans MT" w:hAnsi="Gill Sans MT"/>
        </w:rPr>
      </w:pPr>
      <w:r w:rsidRPr="00E83DA2">
        <w:rPr>
          <w:rFonts w:ascii="Gill Sans MT" w:hAnsi="Gill Sans MT"/>
        </w:rPr>
        <w:t xml:space="preserve">Urban expansion in the Northern Region and improvements to transport infrastructure mean that areas well beyond the urban fringe are now considered accessible to major employment centres.  However, growth in areas like Legana and Hadspen is not necessarily matched by public transport services.  </w:t>
      </w:r>
    </w:p>
    <w:p w:rsidR="00756B53" w:rsidRPr="00E83DA2" w:rsidRDefault="00756B53" w:rsidP="009F7B89">
      <w:pPr>
        <w:ind w:left="567"/>
        <w:rPr>
          <w:rFonts w:ascii="Gill Sans MT" w:hAnsi="Gill Sans MT"/>
        </w:rPr>
      </w:pPr>
      <w:r w:rsidRPr="00E83DA2">
        <w:rPr>
          <w:rFonts w:ascii="Gill Sans MT" w:hAnsi="Gill Sans MT"/>
        </w:rPr>
        <w:t>Traditional inner suburbs generally provide access to a range of services through co-location of a number of different facilities in one area, with public transport, walking and cycling all used to get around.  Outer suburbs generally have fewer local services and are often linked to other service areas by highways and major roads, making walking and cycling less desirable for getting around.  Public transport services are less regular to outer suburbs, since population and patronage are generally lower than for busier inner-city routes.</w:t>
      </w:r>
    </w:p>
    <w:p w:rsidR="00756B53" w:rsidRPr="00E83DA2" w:rsidRDefault="00756B53" w:rsidP="009F7B89">
      <w:pPr>
        <w:ind w:left="567"/>
        <w:rPr>
          <w:rFonts w:ascii="Gill Sans MT" w:hAnsi="Gill Sans MT"/>
        </w:rPr>
      </w:pPr>
      <w:r w:rsidRPr="00E83DA2">
        <w:rPr>
          <w:rFonts w:ascii="Gill Sans MT" w:hAnsi="Gill Sans MT"/>
        </w:rPr>
        <w:t>The trend for living in low-density rural-residential areas has reinforced the importance of the car as the main mode of transport for most people in the Northern Region.  People are now more accustomed to travelling further to work by car, and are willing to do this to access what is often seen as a better lifestyle where land and housing are also more affordable.</w:t>
      </w:r>
    </w:p>
    <w:p w:rsidR="00756B53" w:rsidRPr="00E83DA2" w:rsidRDefault="00756B53" w:rsidP="009F7B89">
      <w:pPr>
        <w:ind w:left="567"/>
        <w:rPr>
          <w:rFonts w:ascii="Gill Sans MT" w:hAnsi="Gill Sans MT"/>
        </w:rPr>
      </w:pPr>
      <w:r w:rsidRPr="00E83DA2">
        <w:rPr>
          <w:rFonts w:ascii="Gill Sans MT" w:hAnsi="Gill Sans MT"/>
        </w:rPr>
        <w:t xml:space="preserve">There are a number of ways of measuring travel behaviour, including using </w:t>
      </w:r>
      <w:r w:rsidR="00B413C1" w:rsidRPr="00E83DA2">
        <w:rPr>
          <w:rFonts w:ascii="Gill Sans MT" w:hAnsi="Gill Sans MT"/>
        </w:rPr>
        <w:t xml:space="preserve">Method of </w:t>
      </w:r>
      <w:r w:rsidRPr="00E83DA2">
        <w:rPr>
          <w:rFonts w:ascii="Gill Sans MT" w:hAnsi="Gill Sans MT"/>
        </w:rPr>
        <w:t>Journey to Work</w:t>
      </w:r>
      <w:r w:rsidR="00B413C1" w:rsidRPr="00E83DA2">
        <w:rPr>
          <w:rFonts w:ascii="Gill Sans MT" w:hAnsi="Gill Sans MT"/>
        </w:rPr>
        <w:t xml:space="preserve"> (MJTW)</w:t>
      </w:r>
      <w:r w:rsidRPr="00E83DA2">
        <w:rPr>
          <w:rFonts w:ascii="Gill Sans MT" w:hAnsi="Gill Sans MT"/>
        </w:rPr>
        <w:t xml:space="preserve"> data from the Census, information from bus and taxi service providers.</w:t>
      </w:r>
    </w:p>
    <w:p w:rsidR="00756B53" w:rsidRPr="00E83DA2" w:rsidRDefault="008F0359" w:rsidP="009F7B89">
      <w:pPr>
        <w:ind w:left="284"/>
        <w:rPr>
          <w:rFonts w:ascii="Gill Sans MT" w:hAnsi="Gill Sans MT"/>
        </w:rPr>
      </w:pPr>
      <w:r w:rsidRPr="008F0359">
        <w:rPr>
          <w:rFonts w:ascii="Gill Sans MT" w:hAnsi="Gill Sans MT"/>
          <w:noProof/>
          <w:lang w:val="en-US" w:eastAsia="zh-TW"/>
        </w:rPr>
        <w:lastRenderedPageBreak/>
        <w:pict>
          <v:shape id="_x0000_s1198" type="#_x0000_t202" style="position:absolute;left:0;text-align:left;margin-left:14.8pt;margin-top:129.3pt;width:453.6pt;height:23.35pt;z-index:251671040;mso-width-relative:margin;mso-height-relative:margin" filled="f" stroked="f">
            <v:textbox style="mso-next-textbox:#_x0000_s1198">
              <w:txbxContent>
                <w:p w:rsidR="00A50F40" w:rsidRDefault="00A50F40">
                  <w:pPr>
                    <w:rPr>
                      <w:i/>
                      <w:sz w:val="20"/>
                      <w:szCs w:val="20"/>
                    </w:rPr>
                  </w:pPr>
                  <w:proofErr w:type="gramStart"/>
                  <w:r w:rsidRPr="00665D03">
                    <w:rPr>
                      <w:i/>
                      <w:sz w:val="18"/>
                      <w:szCs w:val="18"/>
                    </w:rPr>
                    <w:t>ABS Census of Population and Housing 2011</w:t>
                  </w:r>
                  <w:r>
                    <w:rPr>
                      <w:i/>
                      <w:sz w:val="20"/>
                      <w:szCs w:val="20"/>
                    </w:rPr>
                    <w:t>.</w:t>
                  </w:r>
                  <w:proofErr w:type="gramEnd"/>
                  <w:r>
                    <w:rPr>
                      <w:i/>
                      <w:sz w:val="20"/>
                      <w:szCs w:val="20"/>
                    </w:rPr>
                    <w:t xml:space="preserve"> ‘Other’ also includes journeys made involving more than one mode.</w:t>
                  </w:r>
                </w:p>
                <w:p w:rsidR="00A50F40" w:rsidRDefault="00A50F40">
                  <w:pPr>
                    <w:rPr>
                      <w:i/>
                      <w:sz w:val="20"/>
                      <w:szCs w:val="20"/>
                    </w:rPr>
                  </w:pPr>
                </w:p>
                <w:p w:rsidR="00A50F40" w:rsidRPr="00665D03" w:rsidRDefault="00A50F40">
                  <w:pPr>
                    <w:rPr>
                      <w:i/>
                      <w:sz w:val="20"/>
                      <w:szCs w:val="20"/>
                    </w:rPr>
                  </w:pPr>
                  <w:r>
                    <w:rPr>
                      <w:i/>
                      <w:sz w:val="20"/>
                      <w:szCs w:val="20"/>
                    </w:rPr>
                    <w:t>‘</w:t>
                  </w:r>
                </w:p>
              </w:txbxContent>
            </v:textbox>
          </v:shape>
        </w:pict>
      </w:r>
      <w:r w:rsidR="00666BF3">
        <w:rPr>
          <w:rFonts w:ascii="Gill Sans MT" w:hAnsi="Gill Sans MT"/>
          <w:noProof/>
          <w:lang w:eastAsia="en-AU"/>
        </w:rPr>
        <w:drawing>
          <wp:inline distT="0" distB="0" distL="0" distR="0">
            <wp:extent cx="5782310" cy="1841500"/>
            <wp:effectExtent l="19050" t="0" r="889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82310" cy="1841500"/>
                    </a:xfrm>
                    <a:prstGeom prst="rect">
                      <a:avLst/>
                    </a:prstGeom>
                    <a:noFill/>
                    <a:ln w="9525">
                      <a:noFill/>
                      <a:miter lim="800000"/>
                      <a:headEnd/>
                      <a:tailEnd/>
                    </a:ln>
                  </pic:spPr>
                </pic:pic>
              </a:graphicData>
            </a:graphic>
          </wp:inline>
        </w:drawing>
      </w:r>
    </w:p>
    <w:p w:rsidR="00756B53" w:rsidRPr="00E83DA2" w:rsidRDefault="00756B53" w:rsidP="009F7B89">
      <w:pPr>
        <w:ind w:left="567"/>
        <w:rPr>
          <w:rFonts w:ascii="Gill Sans MT" w:hAnsi="Gill Sans MT"/>
        </w:rPr>
      </w:pPr>
      <w:r w:rsidRPr="00E83DA2">
        <w:rPr>
          <w:rFonts w:ascii="Gill Sans MT" w:hAnsi="Gill Sans MT"/>
        </w:rPr>
        <w:t xml:space="preserve">While the aim is to provide a transport system which is flexible and provides choices for people, in order to deliver this, an understanding of people’s travel needs and habits is essential.  The main information that is available on passenger travel habits is Journey to Work data from the Census, but little is known about other trips and the complexity of trips taken.  Understanding not just where people are travelling, but why and how this can assist in building up a much better picture of transport needs as a whole.  Journey to work is significant, since it is often the main journey of the day for the working population and may be linked with other trips such as dropping off children at school/childcare, or shopping. Research suggests that personal trips are becoming more complex, but journey to work data still provides part of the picture in terms of where people are regularly travelling to and from. </w:t>
      </w:r>
    </w:p>
    <w:p w:rsidR="00756B53" w:rsidRPr="00E83DA2" w:rsidRDefault="00756B53" w:rsidP="009F7B89">
      <w:pPr>
        <w:ind w:left="567"/>
        <w:rPr>
          <w:rFonts w:ascii="Gill Sans MT" w:hAnsi="Gill Sans MT"/>
        </w:rPr>
      </w:pPr>
      <w:r w:rsidRPr="00E83DA2">
        <w:rPr>
          <w:rFonts w:ascii="Gill Sans MT" w:hAnsi="Gill Sans MT"/>
        </w:rPr>
        <w:t>The continuing increase in aged population will also represent specific travel needs not captured by journey to work data. This demographic group will have specific needs of both services and travel modes. Ongoing analysis into this is required to gauge a better understanding of how transport needs will continue to evolve.</w:t>
      </w:r>
    </w:p>
    <w:p w:rsidR="00756B53" w:rsidRPr="00626F74" w:rsidRDefault="00756B53" w:rsidP="009F7B89">
      <w:pPr>
        <w:pStyle w:val="Heading2"/>
        <w:ind w:left="567"/>
        <w:rPr>
          <w:rStyle w:val="InstructionText"/>
          <w:b w:val="0"/>
        </w:rPr>
      </w:pPr>
      <w:bookmarkStart w:id="48" w:name="_Toc332033585"/>
      <w:bookmarkStart w:id="49" w:name="_Toc332114082"/>
      <w:bookmarkStart w:id="50" w:name="_Toc332115657"/>
      <w:bookmarkStart w:id="51" w:name="_Toc332115748"/>
      <w:r w:rsidRPr="00626F74">
        <w:rPr>
          <w:rStyle w:val="InstructionText"/>
          <w:b w:val="0"/>
        </w:rPr>
        <w:t>Car use</w:t>
      </w:r>
      <w:bookmarkEnd w:id="48"/>
      <w:bookmarkEnd w:id="49"/>
      <w:bookmarkEnd w:id="50"/>
      <w:bookmarkEnd w:id="51"/>
    </w:p>
    <w:p w:rsidR="00756B53" w:rsidRPr="00E83DA2" w:rsidRDefault="00756B53" w:rsidP="009F7B89">
      <w:pPr>
        <w:ind w:left="567"/>
        <w:rPr>
          <w:rFonts w:ascii="Gill Sans MT" w:hAnsi="Gill Sans MT"/>
        </w:rPr>
      </w:pPr>
      <w:r w:rsidRPr="00E83DA2">
        <w:rPr>
          <w:rFonts w:ascii="Gill Sans MT" w:hAnsi="Gill Sans MT"/>
        </w:rPr>
        <w:t>Tasmanians are highly dependent on cars for personal transport and the Northern Region follows this trend.  For many, the shift towards car-based travel has improved accessibility since they have flexibility in their travel and can more easily meet daily transport needs.</w:t>
      </w:r>
    </w:p>
    <w:p w:rsidR="00756B53" w:rsidRPr="00E83DA2" w:rsidRDefault="00756B53" w:rsidP="009F7B89">
      <w:pPr>
        <w:ind w:left="567"/>
        <w:rPr>
          <w:rFonts w:ascii="Gill Sans MT" w:hAnsi="Gill Sans MT"/>
        </w:rPr>
      </w:pPr>
      <w:r w:rsidRPr="00E83DA2">
        <w:rPr>
          <w:rFonts w:ascii="Gill Sans MT" w:hAnsi="Gill Sans MT"/>
        </w:rPr>
        <w:t>Increasing levels of car use can be attributed to:</w:t>
      </w:r>
    </w:p>
    <w:p w:rsidR="00756B53" w:rsidRPr="00E83DA2" w:rsidRDefault="00756B53" w:rsidP="009F7B89">
      <w:pPr>
        <w:pStyle w:val="ListParagraph"/>
        <w:numPr>
          <w:ilvl w:val="0"/>
          <w:numId w:val="33"/>
        </w:numPr>
        <w:ind w:left="993"/>
        <w:rPr>
          <w:rFonts w:ascii="Gill Sans MT" w:hAnsi="Gill Sans MT"/>
        </w:rPr>
      </w:pPr>
      <w:r w:rsidRPr="00E83DA2">
        <w:rPr>
          <w:rFonts w:ascii="Gill Sans MT" w:hAnsi="Gill Sans MT"/>
        </w:rPr>
        <w:t>Population increases</w:t>
      </w:r>
    </w:p>
    <w:p w:rsidR="00756B53" w:rsidRPr="00E83DA2" w:rsidRDefault="00756B53" w:rsidP="009F7B89">
      <w:pPr>
        <w:pStyle w:val="ListParagraph"/>
        <w:numPr>
          <w:ilvl w:val="0"/>
          <w:numId w:val="33"/>
        </w:numPr>
        <w:ind w:left="993"/>
        <w:rPr>
          <w:rFonts w:ascii="Gill Sans MT" w:hAnsi="Gill Sans MT"/>
        </w:rPr>
      </w:pPr>
      <w:r w:rsidRPr="00E83DA2">
        <w:rPr>
          <w:rFonts w:ascii="Gill Sans MT" w:hAnsi="Gill Sans MT"/>
        </w:rPr>
        <w:t>Decreasing urban density through population change – increasing levels of development outside the city</w:t>
      </w:r>
    </w:p>
    <w:p w:rsidR="00756B53" w:rsidRPr="00E83DA2" w:rsidRDefault="00756B53" w:rsidP="009F7B89">
      <w:pPr>
        <w:pStyle w:val="ListParagraph"/>
        <w:numPr>
          <w:ilvl w:val="0"/>
          <w:numId w:val="33"/>
        </w:numPr>
        <w:ind w:left="993"/>
        <w:rPr>
          <w:rFonts w:ascii="Gill Sans MT" w:hAnsi="Gill Sans MT"/>
        </w:rPr>
      </w:pPr>
      <w:r w:rsidRPr="00E83DA2">
        <w:rPr>
          <w:rFonts w:ascii="Gill Sans MT" w:hAnsi="Gill Sans MT"/>
        </w:rPr>
        <w:t>Development of services, employment centres and recreational facilities in areas which are most easily accessible by car</w:t>
      </w:r>
    </w:p>
    <w:p w:rsidR="00756B53" w:rsidRPr="00E83DA2" w:rsidRDefault="00756B53" w:rsidP="009F7B89">
      <w:pPr>
        <w:pStyle w:val="ListParagraph"/>
        <w:numPr>
          <w:ilvl w:val="0"/>
          <w:numId w:val="33"/>
        </w:numPr>
        <w:ind w:left="993"/>
        <w:rPr>
          <w:rFonts w:ascii="Gill Sans MT" w:hAnsi="Gill Sans MT"/>
        </w:rPr>
      </w:pPr>
      <w:r w:rsidRPr="00E83DA2">
        <w:rPr>
          <w:rFonts w:ascii="Gill Sans MT" w:hAnsi="Gill Sans MT"/>
        </w:rPr>
        <w:t>Increasing levels of car ownership</w:t>
      </w:r>
    </w:p>
    <w:p w:rsidR="00756B53" w:rsidRPr="00E83DA2" w:rsidRDefault="00756B53" w:rsidP="009F7B89">
      <w:pPr>
        <w:pStyle w:val="ListParagraph"/>
        <w:numPr>
          <w:ilvl w:val="0"/>
          <w:numId w:val="33"/>
        </w:numPr>
        <w:ind w:left="993"/>
        <w:rPr>
          <w:rFonts w:ascii="Gill Sans MT" w:hAnsi="Gill Sans MT"/>
        </w:rPr>
      </w:pPr>
      <w:r w:rsidRPr="00E83DA2">
        <w:rPr>
          <w:rFonts w:ascii="Gill Sans MT" w:hAnsi="Gill Sans MT"/>
        </w:rPr>
        <w:t>Flexibility of car-based travel</w:t>
      </w:r>
    </w:p>
    <w:p w:rsidR="00756B53" w:rsidRPr="00E83DA2" w:rsidRDefault="00756B53" w:rsidP="009F7B89">
      <w:pPr>
        <w:pStyle w:val="ListParagraph"/>
        <w:numPr>
          <w:ilvl w:val="0"/>
          <w:numId w:val="33"/>
        </w:numPr>
        <w:ind w:left="993"/>
        <w:rPr>
          <w:rFonts w:ascii="Gill Sans MT" w:hAnsi="Gill Sans MT"/>
        </w:rPr>
      </w:pPr>
      <w:r w:rsidRPr="00E83DA2">
        <w:rPr>
          <w:rFonts w:ascii="Gill Sans MT" w:hAnsi="Gill Sans MT"/>
        </w:rPr>
        <w:lastRenderedPageBreak/>
        <w:t>More complex travel patterns for a number of reasons including: changes to working hours (</w:t>
      </w:r>
      <w:proofErr w:type="spellStart"/>
      <w:r w:rsidRPr="00E83DA2">
        <w:rPr>
          <w:rFonts w:ascii="Gill Sans MT" w:hAnsi="Gill Sans MT"/>
        </w:rPr>
        <w:t>ie</w:t>
      </w:r>
      <w:proofErr w:type="spellEnd"/>
      <w:r w:rsidRPr="00E83DA2">
        <w:rPr>
          <w:rFonts w:ascii="Gill Sans MT" w:hAnsi="Gill Sans MT"/>
        </w:rPr>
        <w:t xml:space="preserve"> shopping, services open longer), greater demands on time, lifestyle changes etc</w:t>
      </w:r>
    </w:p>
    <w:p w:rsidR="00756B53" w:rsidRPr="00E83DA2" w:rsidRDefault="00756B53" w:rsidP="009F7B89">
      <w:pPr>
        <w:ind w:left="567"/>
        <w:rPr>
          <w:rFonts w:ascii="Gill Sans MT" w:hAnsi="Gill Sans MT"/>
        </w:rPr>
      </w:pPr>
      <w:r w:rsidRPr="00E83DA2">
        <w:rPr>
          <w:rFonts w:ascii="Gill Sans MT" w:hAnsi="Gill Sans MT"/>
        </w:rPr>
        <w:t xml:space="preserve">Population growth has corresponded with an increase in car ownership. This may also be due to an increase in people living in outlying areas, rather than in urban areas where public transport is more readily available. Many people also prefer to use their car so that they can travel directly from one place to another in a relatively short time and in greater comfort compared to using public transport. In larger cities where congestion is a major problem and particularly where passenger rail is available, travelling by car can often be less convenient than using public transport. In Tasmania, travelling by car, even during peak periods, is still relatively easy. Journey times are fairly predictable and parking in inner city areas is still relatively cheap and readily available compared </w:t>
      </w:r>
      <w:proofErr w:type="gramStart"/>
      <w:r w:rsidRPr="00E83DA2">
        <w:rPr>
          <w:rFonts w:ascii="Gill Sans MT" w:hAnsi="Gill Sans MT"/>
        </w:rPr>
        <w:t>to</w:t>
      </w:r>
      <w:proofErr w:type="gramEnd"/>
      <w:r w:rsidRPr="00E83DA2">
        <w:rPr>
          <w:rFonts w:ascii="Gill Sans MT" w:hAnsi="Gill Sans MT"/>
        </w:rPr>
        <w:t xml:space="preserve"> many other parts of Australia.   </w:t>
      </w:r>
    </w:p>
    <w:p w:rsidR="00756B53" w:rsidRPr="00E83DA2" w:rsidRDefault="008F0359" w:rsidP="009F7B89">
      <w:pPr>
        <w:ind w:left="709"/>
        <w:rPr>
          <w:rFonts w:ascii="Gill Sans MT" w:hAnsi="Gill Sans MT"/>
        </w:rPr>
      </w:pPr>
      <w:r w:rsidRPr="008F0359">
        <w:rPr>
          <w:rFonts w:ascii="Gill Sans MT" w:hAnsi="Gill Sans MT"/>
          <w:noProof/>
          <w:lang w:val="en-US" w:eastAsia="zh-TW"/>
        </w:rPr>
        <w:pict>
          <v:shape id="_x0000_s1199" type="#_x0000_t202" style="position:absolute;left:0;text-align:left;margin-left:55.2pt;margin-top:298.3pt;width:394.6pt;height:37pt;z-index:-251644416;mso-width-relative:margin;mso-height-relative:margin" wrapcoords="0 0" filled="f" stroked="f">
            <v:textbox style="mso-next-textbox:#_x0000_s1199">
              <w:txbxContent>
                <w:p w:rsidR="00A50F40" w:rsidRPr="00665D03" w:rsidRDefault="00A50F40">
                  <w:pPr>
                    <w:rPr>
                      <w:b/>
                      <w:i/>
                    </w:rPr>
                  </w:pPr>
                  <w:proofErr w:type="gramStart"/>
                  <w:r w:rsidRPr="00665D03">
                    <w:rPr>
                      <w:b/>
                      <w:i/>
                    </w:rPr>
                    <w:t>Figure 1</w:t>
                  </w:r>
                  <w:r>
                    <w:rPr>
                      <w:b/>
                      <w:i/>
                    </w:rPr>
                    <w:t>7</w:t>
                  </w:r>
                  <w:r w:rsidRPr="00665D03">
                    <w:rPr>
                      <w:b/>
                      <w:i/>
                    </w:rPr>
                    <w:t>.</w:t>
                  </w:r>
                  <w:proofErr w:type="gramEnd"/>
                  <w:r w:rsidRPr="00665D03">
                    <w:rPr>
                      <w:b/>
                    </w:rPr>
                    <w:t xml:space="preserve"> Map of Northern Region showing </w:t>
                  </w:r>
                  <w:proofErr w:type="gramStart"/>
                  <w:r w:rsidRPr="00665D03">
                    <w:rPr>
                      <w:b/>
                    </w:rPr>
                    <w:t>key</w:t>
                  </w:r>
                  <w:proofErr w:type="gramEnd"/>
                  <w:r w:rsidRPr="00665D03">
                    <w:rPr>
                      <w:b/>
                    </w:rPr>
                    <w:t xml:space="preserve"> flows of people into Launceston, 2006. </w:t>
                  </w:r>
                  <w:proofErr w:type="gramStart"/>
                  <w:r w:rsidRPr="00665D03">
                    <w:rPr>
                      <w:b/>
                      <w:i/>
                    </w:rPr>
                    <w:t>ABS Census of Population and Housing 2006.</w:t>
                  </w:r>
                  <w:proofErr w:type="gramEnd"/>
                </w:p>
              </w:txbxContent>
            </v:textbox>
            <w10:wrap type="tight"/>
          </v:shape>
        </w:pict>
      </w:r>
      <w:r w:rsidR="00756B53" w:rsidRPr="00E83DA2">
        <w:rPr>
          <w:rFonts w:ascii="Gill Sans MT" w:hAnsi="Gill Sans MT"/>
          <w:noProof/>
          <w:lang w:eastAsia="en-AU"/>
        </w:rPr>
        <w:drawing>
          <wp:inline distT="0" distB="0" distL="0" distR="0">
            <wp:extent cx="5277345" cy="3705101"/>
            <wp:effectExtent l="19050" t="0" r="0" b="0"/>
            <wp:docPr id="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t="6306"/>
                    <a:stretch>
                      <a:fillRect/>
                    </a:stretch>
                  </pic:blipFill>
                  <pic:spPr bwMode="auto">
                    <a:xfrm>
                      <a:off x="0" y="0"/>
                      <a:ext cx="5277345" cy="3705101"/>
                    </a:xfrm>
                    <a:prstGeom prst="rect">
                      <a:avLst/>
                    </a:prstGeom>
                    <a:noFill/>
                    <a:ln w="9525">
                      <a:noFill/>
                      <a:miter lim="800000"/>
                      <a:headEnd/>
                      <a:tailEnd/>
                    </a:ln>
                  </pic:spPr>
                </pic:pic>
              </a:graphicData>
            </a:graphic>
          </wp:inline>
        </w:drawing>
      </w:r>
    </w:p>
    <w:p w:rsidR="00665D03" w:rsidRPr="00E83DA2" w:rsidRDefault="00665D03" w:rsidP="00756B53">
      <w:pPr>
        <w:rPr>
          <w:rFonts w:ascii="Gill Sans MT" w:hAnsi="Gill Sans MT"/>
        </w:rPr>
      </w:pPr>
    </w:p>
    <w:p w:rsidR="00665D03" w:rsidRPr="00E83DA2" w:rsidRDefault="00665D03" w:rsidP="00756B53">
      <w:pPr>
        <w:rPr>
          <w:rFonts w:ascii="Gill Sans MT" w:hAnsi="Gill Sans MT"/>
        </w:rPr>
      </w:pPr>
    </w:p>
    <w:p w:rsidR="00756B53" w:rsidRPr="00E83DA2" w:rsidRDefault="00756B53" w:rsidP="009F7B89">
      <w:pPr>
        <w:ind w:left="567"/>
        <w:rPr>
          <w:rFonts w:ascii="Gill Sans MT" w:hAnsi="Gill Sans MT"/>
        </w:rPr>
      </w:pPr>
      <w:r w:rsidRPr="00E83DA2">
        <w:rPr>
          <w:rFonts w:ascii="Gill Sans MT" w:hAnsi="Gill Sans MT"/>
        </w:rPr>
        <w:t>As the map demonstrates, there are a large number of work trips into Launceston, mostly from within Launceston LGA, West Tamar and Meander Valley.   Launceston is a major employment centre and the largest Journey to Work destination for the Northern Region.</w:t>
      </w:r>
    </w:p>
    <w:p w:rsidR="00756B53" w:rsidRPr="00E83DA2" w:rsidRDefault="00756B53" w:rsidP="009F7B89">
      <w:pPr>
        <w:pStyle w:val="Default"/>
        <w:ind w:left="567"/>
        <w:rPr>
          <w:rFonts w:ascii="Gill Sans MT" w:hAnsi="Gill Sans MT"/>
          <w:b/>
          <w:bCs/>
          <w:sz w:val="22"/>
          <w:szCs w:val="22"/>
        </w:rPr>
      </w:pPr>
    </w:p>
    <w:p w:rsidR="00756B53" w:rsidRPr="00E83DA2" w:rsidRDefault="00756B53" w:rsidP="009F7B89">
      <w:pPr>
        <w:pStyle w:val="Default"/>
        <w:ind w:left="567"/>
        <w:rPr>
          <w:rFonts w:ascii="Gill Sans MT" w:hAnsi="Gill Sans MT"/>
          <w:b/>
          <w:bCs/>
          <w:sz w:val="18"/>
          <w:szCs w:val="18"/>
        </w:rPr>
      </w:pPr>
    </w:p>
    <w:p w:rsidR="00756B53" w:rsidRPr="00626F74" w:rsidRDefault="00756B53" w:rsidP="009F7B89">
      <w:pPr>
        <w:pStyle w:val="Heading4"/>
        <w:ind w:left="567"/>
        <w:rPr>
          <w:rStyle w:val="InstructionText"/>
          <w:b w:val="0"/>
          <w:i/>
        </w:rPr>
      </w:pPr>
      <w:r w:rsidRPr="00626F74">
        <w:rPr>
          <w:rStyle w:val="InstructionText"/>
          <w:b w:val="0"/>
          <w:i/>
        </w:rPr>
        <w:lastRenderedPageBreak/>
        <w:t>Walking</w:t>
      </w:r>
    </w:p>
    <w:p w:rsidR="00756B53" w:rsidRPr="00E83DA2" w:rsidRDefault="00756B53" w:rsidP="009F7B89">
      <w:pPr>
        <w:ind w:left="567"/>
        <w:rPr>
          <w:rFonts w:ascii="Gill Sans MT" w:hAnsi="Gill Sans MT"/>
        </w:rPr>
      </w:pPr>
      <w:r w:rsidRPr="00E83DA2">
        <w:rPr>
          <w:rFonts w:ascii="Gill Sans MT" w:hAnsi="Gill Sans MT"/>
        </w:rPr>
        <w:t>Most trips start and finish with a walking section, making pedestrians the largest road user group.  Walking is the most popular non-motorised form of transport for travelling to work in the Northern Region, and has environmental and health benefits.  Walking is obviously partly dependent on distance from work, school, shopping etc, so people living closer to commercial centres such as Launceston city are more likely to walk than those living further away.</w:t>
      </w:r>
    </w:p>
    <w:p w:rsidR="00756B53" w:rsidRPr="00E83DA2" w:rsidRDefault="00756B53" w:rsidP="009F7B89">
      <w:pPr>
        <w:ind w:left="567"/>
        <w:rPr>
          <w:rFonts w:ascii="Gill Sans MT" w:hAnsi="Gill Sans MT"/>
        </w:rPr>
      </w:pPr>
      <w:r w:rsidRPr="00E83DA2">
        <w:rPr>
          <w:rFonts w:ascii="Gill Sans MT" w:hAnsi="Gill Sans MT"/>
        </w:rPr>
        <w:t>Pedestrians need to feel safe in their environment.  While pedestrian facilities are mostly planned and provided for by local government, the State government also has a responsibility for pedestrian infrastructure along the arterial road network.   Urban design that encourages walking through a safe and at</w:t>
      </w:r>
      <w:r w:rsidR="0005671F">
        <w:rPr>
          <w:rFonts w:ascii="Gill Sans MT" w:hAnsi="Gill Sans MT"/>
        </w:rPr>
        <w:t>tractive pedestrian environment</w:t>
      </w:r>
      <w:r w:rsidRPr="00E83DA2">
        <w:rPr>
          <w:rFonts w:ascii="Gill Sans MT" w:hAnsi="Gill Sans MT"/>
        </w:rPr>
        <w:t xml:space="preserve"> helps to create a sense of community and facilitate social cohesion.</w:t>
      </w:r>
    </w:p>
    <w:p w:rsidR="00756B53" w:rsidRPr="00E83DA2" w:rsidRDefault="00756B53" w:rsidP="009F7B89">
      <w:pPr>
        <w:ind w:left="567"/>
        <w:rPr>
          <w:rFonts w:ascii="Gill Sans MT" w:hAnsi="Gill Sans MT"/>
        </w:rPr>
      </w:pPr>
      <w:r w:rsidRPr="00E83DA2">
        <w:rPr>
          <w:rFonts w:ascii="Gill Sans MT" w:hAnsi="Gill Sans MT"/>
        </w:rPr>
        <w:t>Initiatives to encourage and provide for pedestrians include:</w:t>
      </w:r>
    </w:p>
    <w:p w:rsidR="00756B53" w:rsidRPr="00E83DA2" w:rsidRDefault="00756B53" w:rsidP="009F7B89">
      <w:pPr>
        <w:pStyle w:val="ListParagraph"/>
        <w:numPr>
          <w:ilvl w:val="0"/>
          <w:numId w:val="31"/>
        </w:numPr>
        <w:ind w:left="993"/>
        <w:rPr>
          <w:rFonts w:ascii="Gill Sans MT" w:hAnsi="Gill Sans MT"/>
        </w:rPr>
      </w:pPr>
      <w:r w:rsidRPr="00E83DA2">
        <w:rPr>
          <w:rFonts w:ascii="Gill Sans MT" w:hAnsi="Gill Sans MT"/>
        </w:rPr>
        <w:t>Provision of traffic calming, speed restrictions, crossings and refuges and greater priority for pedestrians near busy environments such as schools and shopping areas</w:t>
      </w:r>
    </w:p>
    <w:p w:rsidR="00756B53" w:rsidRPr="00E83DA2" w:rsidRDefault="00756B53" w:rsidP="009F7B89">
      <w:pPr>
        <w:pStyle w:val="ListParagraph"/>
        <w:numPr>
          <w:ilvl w:val="0"/>
          <w:numId w:val="31"/>
        </w:numPr>
        <w:ind w:left="993"/>
        <w:rPr>
          <w:rFonts w:ascii="Gill Sans MT" w:hAnsi="Gill Sans MT"/>
        </w:rPr>
      </w:pPr>
      <w:r w:rsidRPr="00E83DA2">
        <w:rPr>
          <w:rFonts w:ascii="Gill Sans MT" w:hAnsi="Gill Sans MT"/>
        </w:rPr>
        <w:t>Provision of safe, attractive and convenient pedestrian networks to activity centres, schools and public transport</w:t>
      </w:r>
    </w:p>
    <w:p w:rsidR="00756B53" w:rsidRPr="00E83DA2" w:rsidRDefault="00756B53" w:rsidP="009F7B89">
      <w:pPr>
        <w:pStyle w:val="ListParagraph"/>
        <w:numPr>
          <w:ilvl w:val="0"/>
          <w:numId w:val="31"/>
        </w:numPr>
        <w:ind w:left="993"/>
        <w:rPr>
          <w:rFonts w:ascii="Gill Sans MT" w:hAnsi="Gill Sans MT"/>
        </w:rPr>
      </w:pPr>
      <w:r w:rsidRPr="00E83DA2">
        <w:rPr>
          <w:rFonts w:ascii="Gill Sans MT" w:hAnsi="Gill Sans MT"/>
        </w:rPr>
        <w:t>Development which is designed and caters for the safe movement of pedestrians, disabled people and people with prams</w:t>
      </w:r>
    </w:p>
    <w:p w:rsidR="00756B53" w:rsidRPr="00E83DA2" w:rsidRDefault="00756B53" w:rsidP="009F7B89">
      <w:pPr>
        <w:pStyle w:val="ListParagraph"/>
        <w:numPr>
          <w:ilvl w:val="0"/>
          <w:numId w:val="31"/>
        </w:numPr>
        <w:ind w:left="993"/>
        <w:rPr>
          <w:rFonts w:ascii="Gill Sans MT" w:hAnsi="Gill Sans MT"/>
        </w:rPr>
      </w:pPr>
      <w:r w:rsidRPr="00E83DA2">
        <w:rPr>
          <w:rFonts w:ascii="Gill Sans MT" w:hAnsi="Gill Sans MT"/>
        </w:rPr>
        <w:t>Walking promotion programs in schools and workplaces eg. walking school bus</w:t>
      </w:r>
    </w:p>
    <w:p w:rsidR="00756B53" w:rsidRPr="00E83DA2" w:rsidRDefault="00756B53" w:rsidP="009F7B89">
      <w:pPr>
        <w:pStyle w:val="ListParagraph"/>
        <w:numPr>
          <w:ilvl w:val="0"/>
          <w:numId w:val="31"/>
        </w:numPr>
        <w:ind w:left="993"/>
        <w:rPr>
          <w:rFonts w:ascii="Gill Sans MT" w:hAnsi="Gill Sans MT"/>
        </w:rPr>
      </w:pPr>
      <w:r w:rsidRPr="00E83DA2">
        <w:rPr>
          <w:rFonts w:ascii="Gill Sans MT" w:hAnsi="Gill Sans MT"/>
        </w:rPr>
        <w:t>Urban development which is grid-based or provides interconnected street patterns to help people move more easily through neighbourhoods</w:t>
      </w:r>
    </w:p>
    <w:p w:rsidR="00756B53" w:rsidRPr="00E83DA2" w:rsidRDefault="00756B53" w:rsidP="009F7B89">
      <w:pPr>
        <w:ind w:left="567"/>
        <w:rPr>
          <w:rFonts w:ascii="Gill Sans MT" w:hAnsi="Gill Sans MT"/>
        </w:rPr>
      </w:pPr>
    </w:p>
    <w:p w:rsidR="00756B53" w:rsidRPr="00626F74" w:rsidRDefault="00756B53" w:rsidP="009F7B89">
      <w:pPr>
        <w:pStyle w:val="Heading4"/>
        <w:ind w:left="567"/>
        <w:rPr>
          <w:rStyle w:val="InstructionText"/>
          <w:b w:val="0"/>
          <w:i/>
        </w:rPr>
      </w:pPr>
      <w:r w:rsidRPr="00626F74">
        <w:rPr>
          <w:rStyle w:val="InstructionText"/>
          <w:b w:val="0"/>
          <w:i/>
        </w:rPr>
        <w:t>Personal characteristics affecting accessibility</w:t>
      </w:r>
    </w:p>
    <w:p w:rsidR="00756B53" w:rsidRPr="00E83DA2" w:rsidRDefault="00756B53" w:rsidP="009F7B89">
      <w:pPr>
        <w:ind w:left="567"/>
        <w:rPr>
          <w:rFonts w:ascii="Gill Sans MT" w:hAnsi="Gill Sans MT"/>
        </w:rPr>
      </w:pPr>
      <w:r w:rsidRPr="00E83DA2">
        <w:rPr>
          <w:rFonts w:ascii="Gill Sans MT" w:hAnsi="Gill Sans MT"/>
        </w:rPr>
        <w:t>There are a number of personal characteristics which affect how people can use the transport system to access their basic daily needs.  These include age, employment status, car ownership and access, income, and mobility.  People who are living on a low income</w:t>
      </w:r>
      <w:r w:rsidR="00626F74">
        <w:rPr>
          <w:rFonts w:ascii="Gill Sans MT" w:hAnsi="Gill Sans MT"/>
        </w:rPr>
        <w:t xml:space="preserve"> </w:t>
      </w:r>
      <w:r w:rsidR="002E4BBE">
        <w:rPr>
          <w:rFonts w:ascii="Gill Sans MT" w:hAnsi="Gill Sans MT"/>
        </w:rPr>
        <w:t>or</w:t>
      </w:r>
      <w:r w:rsidRPr="00E83DA2">
        <w:rPr>
          <w:rFonts w:ascii="Gill Sans MT" w:hAnsi="Gill Sans MT"/>
        </w:rPr>
        <w:t xml:space="preserve"> do not have access to a car may be seen as transport disadvantaged.  This is further exacerbated by living in an area which is not regularly serviced by public transport, as is the case for many rural areas in Northern Tasmania.     </w:t>
      </w:r>
    </w:p>
    <w:p w:rsidR="00756B53" w:rsidRPr="00E83DA2" w:rsidRDefault="00756B53" w:rsidP="009F7B89">
      <w:pPr>
        <w:spacing w:after="240"/>
        <w:ind w:left="567"/>
        <w:jc w:val="both"/>
        <w:rPr>
          <w:rFonts w:ascii="Gill Sans MT" w:hAnsi="Gill Sans MT"/>
        </w:rPr>
      </w:pPr>
    </w:p>
    <w:p w:rsidR="00756B53" w:rsidRPr="00E83DA2" w:rsidRDefault="00756B53" w:rsidP="009F7B89">
      <w:pPr>
        <w:pStyle w:val="Heading2"/>
        <w:ind w:left="567"/>
      </w:pPr>
      <w:r w:rsidRPr="00E83DA2">
        <w:br w:type="page"/>
      </w:r>
      <w:bookmarkStart w:id="52" w:name="_Toc332033587"/>
      <w:bookmarkStart w:id="53" w:name="_Toc332114084"/>
      <w:bookmarkStart w:id="54" w:name="_Toc332115659"/>
      <w:bookmarkStart w:id="55" w:name="_Toc332115750"/>
      <w:r w:rsidRPr="00E83DA2">
        <w:lastRenderedPageBreak/>
        <w:t>Accessibility Case study: Location of Child and Family Centres</w:t>
      </w:r>
      <w:bookmarkEnd w:id="52"/>
      <w:bookmarkEnd w:id="53"/>
      <w:bookmarkEnd w:id="54"/>
      <w:bookmarkEnd w:id="55"/>
    </w:p>
    <w:p w:rsidR="00756B53" w:rsidRPr="00E83DA2" w:rsidRDefault="00756B53" w:rsidP="009F7B89">
      <w:pPr>
        <w:ind w:left="567"/>
        <w:rPr>
          <w:rFonts w:ascii="Gill Sans MT" w:hAnsi="Gill Sans MT"/>
        </w:rPr>
      </w:pPr>
      <w:r w:rsidRPr="00E83DA2">
        <w:rPr>
          <w:rFonts w:ascii="Gill Sans MT" w:hAnsi="Gill Sans MT"/>
        </w:rPr>
        <w:t>DIER has been involved with the Department of Premier and Cabinet to assist with determining the best location for Child and Family Centres.  Mowbray was investigated as a location for a Child and Family Centre and accessibility mapping and analysis was used to provide input into whether this area would be an appropriate location for a centre.</w:t>
      </w:r>
    </w:p>
    <w:p w:rsidR="00756B53" w:rsidRPr="00E83DA2" w:rsidRDefault="00756B53" w:rsidP="009F7B89">
      <w:pPr>
        <w:ind w:left="567"/>
        <w:rPr>
          <w:rFonts w:ascii="Gill Sans MT" w:hAnsi="Gill Sans MT"/>
        </w:rPr>
      </w:pPr>
      <w:r w:rsidRPr="00E83DA2">
        <w:rPr>
          <w:rFonts w:ascii="Gill Sans MT" w:hAnsi="Gill Sans MT"/>
        </w:rPr>
        <w:t>The information which was used to inform the study included demographic information from the ABS Census of Population and Housing 2006 such as age, employment status, and access to a motor vehicle.  The SEIFA index was also used, which is a measure of advantage/disadvantage.  Information on the location of schools and other centres was used, as well as public transport linkages, and topographic information on the gradient of roads – indicating how walkable they are.</w:t>
      </w:r>
    </w:p>
    <w:p w:rsidR="00756B53" w:rsidRPr="00E83DA2" w:rsidRDefault="00756B53" w:rsidP="009F7B89">
      <w:pPr>
        <w:ind w:left="567"/>
        <w:rPr>
          <w:rFonts w:ascii="Gill Sans MT" w:hAnsi="Gill Sans MT"/>
        </w:rPr>
      </w:pPr>
      <w:r w:rsidRPr="00E83DA2">
        <w:rPr>
          <w:rFonts w:ascii="Gill Sans MT" w:hAnsi="Gill Sans MT"/>
        </w:rPr>
        <w:t xml:space="preserve">The detailed analysis used in the study helps to demonstrate the importance of land use planning and accessibility in determining the site for essential public services – particularly in areas of socio-economic disadvantage.     </w:t>
      </w:r>
    </w:p>
    <w:p w:rsidR="00756B53" w:rsidRPr="00E83DA2" w:rsidRDefault="00756B53" w:rsidP="007F3948">
      <w:pPr>
        <w:pStyle w:val="CHAPTERHEADING1"/>
        <w:numPr>
          <w:ilvl w:val="0"/>
          <w:numId w:val="0"/>
        </w:numPr>
        <w:shd w:val="clear" w:color="auto" w:fill="3573AB"/>
        <w:spacing w:before="0" w:after="240" w:line="276" w:lineRule="auto"/>
        <w:ind w:left="567"/>
        <w:rPr>
          <w:rFonts w:ascii="Gill Sans MT" w:hAnsi="Gill Sans MT"/>
          <w:b/>
          <w:color w:val="FFFFFF"/>
          <w:sz w:val="36"/>
          <w:szCs w:val="36"/>
        </w:rPr>
      </w:pPr>
      <w:bookmarkStart w:id="56" w:name="_Toc332033588"/>
      <w:bookmarkStart w:id="57" w:name="_Toc332114085"/>
      <w:bookmarkStart w:id="58" w:name="_Toc332115660"/>
      <w:bookmarkStart w:id="59" w:name="_Toc332115751"/>
      <w:r w:rsidRPr="00E83DA2">
        <w:rPr>
          <w:rFonts w:ascii="Gill Sans MT" w:hAnsi="Gill Sans MT"/>
          <w:b/>
          <w:color w:val="FFFFFF"/>
          <w:sz w:val="36"/>
          <w:szCs w:val="36"/>
        </w:rPr>
        <w:lastRenderedPageBreak/>
        <w:t>Mowbray</w:t>
      </w:r>
      <w:bookmarkEnd w:id="56"/>
      <w:bookmarkEnd w:id="57"/>
      <w:bookmarkEnd w:id="58"/>
      <w:bookmarkEnd w:id="59"/>
    </w:p>
    <w:p w:rsidR="00756B53" w:rsidRPr="00E83DA2" w:rsidRDefault="00756B53" w:rsidP="007F3948">
      <w:pPr>
        <w:pStyle w:val="Heading2"/>
        <w:ind w:left="567"/>
      </w:pPr>
      <w:r w:rsidRPr="00E83DA2">
        <w:t>General Description</w:t>
      </w:r>
    </w:p>
    <w:p w:rsidR="00756B53" w:rsidRPr="00E83DA2" w:rsidRDefault="00756B53" w:rsidP="007F3948">
      <w:pPr>
        <w:pStyle w:val="Standard"/>
        <w:spacing w:after="240" w:line="276" w:lineRule="auto"/>
        <w:ind w:left="567" w:right="-46"/>
        <w:rPr>
          <w:rFonts w:ascii="Gill Sans MT" w:hAnsi="Gill Sans MT"/>
          <w:sz w:val="22"/>
          <w:szCs w:val="22"/>
        </w:rPr>
      </w:pPr>
      <w:r w:rsidRPr="00E83DA2">
        <w:rPr>
          <w:rFonts w:ascii="Gill Sans MT" w:hAnsi="Gill Sans MT"/>
          <w:sz w:val="22"/>
          <w:szCs w:val="22"/>
        </w:rPr>
        <w:t xml:space="preserve">Mowbray is around 3-4 kilometres north of the Launceston city centre and lies on the eastern side of the Tamar River. Surrounding suburbs are Invermay and Inveresk to the south, Newnham, Mayfield, </w:t>
      </w:r>
      <w:proofErr w:type="spellStart"/>
      <w:r w:rsidRPr="00E83DA2">
        <w:rPr>
          <w:rFonts w:ascii="Gill Sans MT" w:hAnsi="Gill Sans MT"/>
          <w:sz w:val="22"/>
          <w:szCs w:val="22"/>
        </w:rPr>
        <w:t>Alanvale</w:t>
      </w:r>
      <w:proofErr w:type="spellEnd"/>
      <w:r w:rsidRPr="00E83DA2">
        <w:rPr>
          <w:rFonts w:ascii="Gill Sans MT" w:hAnsi="Gill Sans MT"/>
          <w:sz w:val="22"/>
          <w:szCs w:val="22"/>
        </w:rPr>
        <w:t xml:space="preserve"> and Rocherlea to the north and Ravenswood to the east. The main access through Mowbray is Invermay Road, with limited access to the East Tamar Highway which runs along the western boundary.</w:t>
      </w:r>
    </w:p>
    <w:p w:rsidR="00756B53" w:rsidRPr="00E83DA2" w:rsidRDefault="00756B53" w:rsidP="007F3948">
      <w:pPr>
        <w:pStyle w:val="Standard"/>
        <w:spacing w:after="240" w:line="276" w:lineRule="auto"/>
        <w:ind w:left="567" w:right="-46"/>
        <w:rPr>
          <w:rFonts w:ascii="Gill Sans MT" w:hAnsi="Gill Sans MT"/>
          <w:sz w:val="22"/>
          <w:szCs w:val="22"/>
        </w:rPr>
      </w:pPr>
      <w:r w:rsidRPr="00E83DA2">
        <w:rPr>
          <w:rFonts w:ascii="Gill Sans MT" w:hAnsi="Gill Sans MT"/>
          <w:sz w:val="22"/>
          <w:szCs w:val="22"/>
        </w:rPr>
        <w:t>Land use in Mowbray is mixed, with residential, commercial and educational uses predominating. Commercial and retail space is generally concentrated along Invermay Road with residential areas behind. As a relatively small suburb, educational use dominates parts of the landscape, with Launceston Church Grammar School and Mowbray Primary School within the analysis area and the University of Tasmania and the Australian Maritime College on the northern boundary in Newnham.</w:t>
      </w:r>
    </w:p>
    <w:p w:rsidR="00756B53" w:rsidRPr="00626F74" w:rsidRDefault="00756B53" w:rsidP="007F3948">
      <w:pPr>
        <w:pStyle w:val="Standard"/>
        <w:spacing w:after="240" w:line="276" w:lineRule="auto"/>
        <w:ind w:left="567" w:right="-46"/>
        <w:rPr>
          <w:rFonts w:ascii="Gill Sans MT" w:hAnsi="Gill Sans MT"/>
          <w:sz w:val="22"/>
          <w:szCs w:val="22"/>
        </w:rPr>
      </w:pPr>
      <w:r w:rsidRPr="00626F74">
        <w:rPr>
          <w:rFonts w:ascii="Gill Sans MT" w:hAnsi="Gill Sans MT"/>
          <w:sz w:val="22"/>
          <w:szCs w:val="22"/>
        </w:rPr>
        <w:t>Mowbray offers the widest range of commercial and retail opportunities in the area, potentially attracting patronage from suburbs to the north and south. Services include a shopping centre and supermarkets, newsagents, food outlets, medical services and banking facilities.</w:t>
      </w:r>
    </w:p>
    <w:p w:rsidR="00626F74" w:rsidRPr="00626F74" w:rsidRDefault="00626F74" w:rsidP="007F3948">
      <w:pPr>
        <w:pStyle w:val="Standard"/>
        <w:spacing w:after="240" w:line="276" w:lineRule="auto"/>
        <w:ind w:left="567" w:right="-46"/>
        <w:jc w:val="both"/>
        <w:rPr>
          <w:rFonts w:ascii="Gill Sans MT" w:hAnsi="Gill Sans MT"/>
          <w:sz w:val="22"/>
          <w:szCs w:val="22"/>
        </w:rPr>
      </w:pPr>
      <w:r w:rsidRPr="00626F74">
        <w:rPr>
          <w:rFonts w:ascii="Gill Sans MT" w:hAnsi="Gill Sans MT"/>
          <w:sz w:val="22"/>
          <w:szCs w:val="22"/>
        </w:rPr>
        <w:t>The median age of residents of Mowbray was 30 at the last census, with 16.5% of the population aged 0-14 and 22.7% of the population aged over 55 years of age. More than half of the residents were in the labour force in 2006 with around 60% in full time employment. Relative advantage and disadvantage, as measured by the Socio-Economic Index for Areas (SEIFA), placed the Mowbray in the more disadvantaged group  for Tasmania (based on 2006 Census figures)..</w:t>
      </w:r>
    </w:p>
    <w:p w:rsidR="00626F74" w:rsidRPr="00626F74" w:rsidRDefault="00626F74" w:rsidP="007F3948">
      <w:pPr>
        <w:pStyle w:val="Standard"/>
        <w:spacing w:after="240" w:line="276" w:lineRule="auto"/>
        <w:ind w:left="567" w:right="-46"/>
        <w:jc w:val="both"/>
        <w:rPr>
          <w:rFonts w:ascii="Gill Sans MT" w:hAnsi="Gill Sans MT"/>
          <w:sz w:val="22"/>
          <w:szCs w:val="22"/>
        </w:rPr>
      </w:pPr>
      <w:r w:rsidRPr="00626F74">
        <w:rPr>
          <w:rFonts w:ascii="Gill Sans MT" w:hAnsi="Gill Sans MT"/>
          <w:sz w:val="22"/>
          <w:szCs w:val="22"/>
        </w:rPr>
        <w:t>Public housing comprises nearly 10% of the analysis area and around 17% of households do not have a motor vehicle.</w:t>
      </w:r>
    </w:p>
    <w:p w:rsidR="00626F74" w:rsidRDefault="00626F74" w:rsidP="0037488C">
      <w:pPr>
        <w:pStyle w:val="Heading2"/>
      </w:pPr>
    </w:p>
    <w:p w:rsidR="00626F74" w:rsidRDefault="00626F74" w:rsidP="00626F74"/>
    <w:p w:rsidR="00626F74" w:rsidRDefault="00626F74" w:rsidP="00626F74"/>
    <w:p w:rsidR="00626F74" w:rsidRDefault="00626F74" w:rsidP="00626F74"/>
    <w:p w:rsidR="00626F74" w:rsidRDefault="00626F74" w:rsidP="00626F74"/>
    <w:p w:rsidR="00ED0EFF" w:rsidRDefault="00ED0EFF" w:rsidP="00626F74"/>
    <w:p w:rsidR="00ED0EFF" w:rsidRDefault="00ED0EFF" w:rsidP="00626F74"/>
    <w:p w:rsidR="00ED0EFF" w:rsidRPr="00626F74" w:rsidRDefault="00ED0EFF" w:rsidP="00626F74"/>
    <w:p w:rsidR="00626F74" w:rsidRDefault="00626F74" w:rsidP="0037488C">
      <w:pPr>
        <w:pStyle w:val="Heading2"/>
      </w:pPr>
    </w:p>
    <w:p w:rsidR="00756B53" w:rsidRPr="00E83DA2" w:rsidRDefault="00756B53" w:rsidP="007F3948">
      <w:pPr>
        <w:pStyle w:val="Heading2"/>
        <w:ind w:left="567"/>
      </w:pPr>
      <w:r w:rsidRPr="00E83DA2">
        <w:t xml:space="preserve">Local Area Analysis </w:t>
      </w:r>
    </w:p>
    <w:p w:rsidR="00DA620C" w:rsidRPr="00E83DA2" w:rsidRDefault="00DA620C" w:rsidP="007F3948">
      <w:pPr>
        <w:pStyle w:val="CommentText"/>
        <w:widowControl w:val="0"/>
        <w:spacing w:after="120" w:line="276" w:lineRule="auto"/>
        <w:ind w:left="567"/>
        <w:jc w:val="both"/>
        <w:rPr>
          <w:rStyle w:val="InstructionText"/>
        </w:rPr>
      </w:pPr>
    </w:p>
    <w:p w:rsidR="00756B53" w:rsidRPr="00E83DA2" w:rsidRDefault="00756B53" w:rsidP="007F3948">
      <w:pPr>
        <w:pStyle w:val="CommentText"/>
        <w:widowControl w:val="0"/>
        <w:spacing w:after="120" w:line="276" w:lineRule="auto"/>
        <w:ind w:left="567"/>
        <w:jc w:val="both"/>
        <w:rPr>
          <w:rStyle w:val="InstructionText"/>
        </w:rPr>
      </w:pPr>
      <w:r w:rsidRPr="00E83DA2">
        <w:rPr>
          <w:rStyle w:val="InstructionText"/>
        </w:rPr>
        <w:t>Child-related services</w:t>
      </w:r>
    </w:p>
    <w:p w:rsidR="00756B53" w:rsidRPr="00E83DA2" w:rsidDel="00675754" w:rsidRDefault="00756B53" w:rsidP="007F3948">
      <w:pPr>
        <w:pStyle w:val="CommentText"/>
        <w:widowControl w:val="0"/>
        <w:spacing w:after="120" w:line="276" w:lineRule="auto"/>
        <w:ind w:left="567"/>
        <w:rPr>
          <w:rFonts w:ascii="Gill Sans MT" w:hAnsi="Gill Sans MT"/>
          <w:sz w:val="22"/>
          <w:szCs w:val="22"/>
        </w:rPr>
      </w:pPr>
      <w:r w:rsidRPr="00E83DA2">
        <w:rPr>
          <w:rFonts w:ascii="Gill Sans MT" w:hAnsi="Gill Sans MT"/>
          <w:sz w:val="22"/>
          <w:szCs w:val="22"/>
        </w:rPr>
        <w:t>Schools, child care centres and child health services in the area were mapped.</w:t>
      </w:r>
    </w:p>
    <w:p w:rsidR="00756B53" w:rsidRDefault="00626F74" w:rsidP="00ED0EFF">
      <w:pPr>
        <w:pStyle w:val="CommentText"/>
        <w:widowControl w:val="0"/>
        <w:spacing w:line="276" w:lineRule="auto"/>
        <w:rPr>
          <w:rFonts w:ascii="Gill Sans MT" w:hAnsi="Gill Sans MT"/>
        </w:rPr>
      </w:pPr>
      <w:r w:rsidRPr="00E83DA2">
        <w:rPr>
          <w:rFonts w:ascii="Gill Sans MT" w:hAnsi="Gill Sans MT"/>
          <w:b/>
          <w:noProof/>
          <w:lang w:eastAsia="en-AU"/>
        </w:rPr>
        <w:drawing>
          <wp:inline distT="0" distB="0" distL="0" distR="0">
            <wp:extent cx="6262997" cy="5402260"/>
            <wp:effectExtent l="19050" t="0" r="4453" b="0"/>
            <wp:docPr id="3" name="Picture 1" descr="InvermayMowbray_Location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vermayMowbray_LocationMap"/>
                    <pic:cNvPicPr>
                      <a:picLocks noChangeAspect="1" noChangeArrowheads="1"/>
                    </pic:cNvPicPr>
                  </pic:nvPicPr>
                  <pic:blipFill>
                    <a:blip r:embed="rId18" cstate="print"/>
                    <a:srcRect/>
                    <a:stretch>
                      <a:fillRect/>
                    </a:stretch>
                  </pic:blipFill>
                  <pic:spPr bwMode="auto">
                    <a:xfrm>
                      <a:off x="0" y="0"/>
                      <a:ext cx="6262408" cy="5401752"/>
                    </a:xfrm>
                    <a:prstGeom prst="rect">
                      <a:avLst/>
                    </a:prstGeom>
                    <a:noFill/>
                    <a:ln w="9525">
                      <a:noFill/>
                      <a:miter lim="800000"/>
                      <a:headEnd/>
                      <a:tailEnd/>
                    </a:ln>
                  </pic:spPr>
                </pic:pic>
              </a:graphicData>
            </a:graphic>
          </wp:inline>
        </w:drawing>
      </w:r>
    </w:p>
    <w:p w:rsidR="00626F74" w:rsidRPr="006E4391" w:rsidRDefault="00626F74" w:rsidP="00756B53">
      <w:pPr>
        <w:pStyle w:val="CommentText"/>
        <w:widowControl w:val="0"/>
        <w:spacing w:line="276" w:lineRule="auto"/>
        <w:rPr>
          <w:rFonts w:ascii="Gill Sans MT" w:hAnsi="Gill Sans MT"/>
          <w:b/>
          <w:sz w:val="22"/>
          <w:szCs w:val="22"/>
        </w:rPr>
      </w:pPr>
      <w:r>
        <w:rPr>
          <w:rFonts w:ascii="Gill Sans MT" w:hAnsi="Gill Sans MT"/>
        </w:rPr>
        <w:tab/>
      </w:r>
      <w:proofErr w:type="gramStart"/>
      <w:r w:rsidR="006E4391" w:rsidRPr="006E4391">
        <w:rPr>
          <w:rFonts w:ascii="Gill Sans MT" w:hAnsi="Gill Sans MT"/>
          <w:b/>
          <w:i/>
          <w:sz w:val="22"/>
          <w:szCs w:val="22"/>
        </w:rPr>
        <w:t>Figure 1</w:t>
      </w:r>
      <w:r w:rsidR="00666BF3">
        <w:rPr>
          <w:rFonts w:ascii="Gill Sans MT" w:hAnsi="Gill Sans MT"/>
          <w:b/>
          <w:i/>
          <w:sz w:val="22"/>
          <w:szCs w:val="22"/>
        </w:rPr>
        <w:t>7</w:t>
      </w:r>
      <w:r w:rsidR="006E4391" w:rsidRPr="006E4391">
        <w:rPr>
          <w:rFonts w:ascii="Gill Sans MT" w:hAnsi="Gill Sans MT"/>
          <w:b/>
          <w:sz w:val="22"/>
          <w:szCs w:val="22"/>
        </w:rPr>
        <w:t>.</w:t>
      </w:r>
      <w:proofErr w:type="gramEnd"/>
      <w:r w:rsidR="006E4391" w:rsidRPr="006E4391">
        <w:rPr>
          <w:rFonts w:ascii="Gill Sans MT" w:hAnsi="Gill Sans MT"/>
          <w:b/>
          <w:sz w:val="22"/>
          <w:szCs w:val="22"/>
        </w:rPr>
        <w:t xml:space="preserve"> </w:t>
      </w:r>
      <w:proofErr w:type="gramStart"/>
      <w:r w:rsidR="006E4391" w:rsidRPr="006E4391">
        <w:rPr>
          <w:rFonts w:ascii="Gill Sans MT" w:hAnsi="Gill Sans MT"/>
          <w:b/>
          <w:sz w:val="22"/>
          <w:szCs w:val="22"/>
        </w:rPr>
        <w:t>Location study area.</w:t>
      </w:r>
      <w:proofErr w:type="gramEnd"/>
    </w:p>
    <w:p w:rsidR="00756B53" w:rsidRPr="00E83DA2" w:rsidRDefault="008F0359" w:rsidP="00ED0EFF">
      <w:pPr>
        <w:spacing w:after="240"/>
        <w:ind w:right="-619"/>
        <w:jc w:val="center"/>
        <w:rPr>
          <w:rFonts w:ascii="Gill Sans MT" w:hAnsi="Gill Sans MT"/>
          <w:b/>
          <w:sz w:val="20"/>
          <w:szCs w:val="20"/>
        </w:rPr>
      </w:pPr>
      <w:r>
        <w:rPr>
          <w:rFonts w:ascii="Gill Sans MT" w:hAnsi="Gill Sans MT"/>
          <w:b/>
          <w:noProof/>
          <w:sz w:val="20"/>
          <w:szCs w:val="20"/>
          <w:lang w:eastAsia="en-AU"/>
        </w:rPr>
        <w:lastRenderedPageBreak/>
        <w:pict>
          <v:shape id="_x0000_s1201" type="#_x0000_t202" style="position:absolute;left:0;text-align:left;margin-left:56.5pt;margin-top:515.2pt;width:419.1pt;height:26.15pt;z-index:251674112;mso-width-relative:margin;mso-height-relative:margin" filled="f" stroked="f">
            <v:textbox style="mso-next-textbox:#_x0000_s1201">
              <w:txbxContent>
                <w:p w:rsidR="00A50F40" w:rsidRPr="006E4391" w:rsidRDefault="00A50F40" w:rsidP="00D25BC0">
                  <w:pPr>
                    <w:rPr>
                      <w:rFonts w:ascii="Gill Sans MT" w:hAnsi="Gill Sans MT"/>
                      <w:b/>
                    </w:rPr>
                  </w:pPr>
                  <w:proofErr w:type="gramStart"/>
                  <w:r>
                    <w:rPr>
                      <w:rFonts w:ascii="Gill Sans MT" w:hAnsi="Gill Sans MT"/>
                      <w:b/>
                      <w:i/>
                    </w:rPr>
                    <w:t>Figure 18</w:t>
                  </w:r>
                  <w:r w:rsidRPr="006E4391">
                    <w:rPr>
                      <w:rFonts w:ascii="Gill Sans MT" w:hAnsi="Gill Sans MT"/>
                      <w:b/>
                      <w:i/>
                    </w:rPr>
                    <w:t>.</w:t>
                  </w:r>
                  <w:proofErr w:type="gramEnd"/>
                  <w:r w:rsidRPr="006E4391">
                    <w:rPr>
                      <w:rFonts w:ascii="Gill Sans MT" w:hAnsi="Gill Sans MT"/>
                      <w:b/>
                    </w:rPr>
                    <w:t xml:space="preserve"> Map of Mowbray displaying child care facilities.</w:t>
                  </w:r>
                </w:p>
              </w:txbxContent>
            </v:textbox>
          </v:shape>
        </w:pict>
      </w:r>
      <w:r w:rsidR="00756B53" w:rsidRPr="00E83DA2">
        <w:rPr>
          <w:rFonts w:ascii="Gill Sans MT" w:hAnsi="Gill Sans MT"/>
          <w:b/>
          <w:noProof/>
          <w:sz w:val="20"/>
          <w:szCs w:val="20"/>
          <w:lang w:eastAsia="en-AU"/>
        </w:rPr>
        <w:drawing>
          <wp:inline distT="0" distB="0" distL="0" distR="0">
            <wp:extent cx="5621729" cy="6506160"/>
            <wp:effectExtent l="19050" t="0" r="0" b="0"/>
            <wp:docPr id="78" name="Picture 2" descr="ChildRelated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ldRelatedService"/>
                    <pic:cNvPicPr>
                      <a:picLocks noChangeAspect="1" noChangeArrowheads="1"/>
                    </pic:cNvPicPr>
                  </pic:nvPicPr>
                  <pic:blipFill>
                    <a:blip r:embed="rId19" cstate="print"/>
                    <a:srcRect/>
                    <a:stretch>
                      <a:fillRect/>
                    </a:stretch>
                  </pic:blipFill>
                  <pic:spPr bwMode="auto">
                    <a:xfrm>
                      <a:off x="0" y="0"/>
                      <a:ext cx="5625381" cy="6510387"/>
                    </a:xfrm>
                    <a:prstGeom prst="rect">
                      <a:avLst/>
                    </a:prstGeom>
                    <a:noFill/>
                    <a:ln w="9525">
                      <a:noFill/>
                      <a:miter lim="800000"/>
                      <a:headEnd/>
                      <a:tailEnd/>
                    </a:ln>
                  </pic:spPr>
                </pic:pic>
              </a:graphicData>
            </a:graphic>
          </wp:inline>
        </w:drawing>
      </w:r>
    </w:p>
    <w:p w:rsidR="00756B53" w:rsidRPr="00E83DA2" w:rsidRDefault="00756B53" w:rsidP="00756B53">
      <w:pPr>
        <w:spacing w:after="240"/>
        <w:ind w:left="-567" w:right="-619"/>
        <w:jc w:val="center"/>
        <w:rPr>
          <w:rFonts w:ascii="Gill Sans MT" w:hAnsi="Gill Sans MT"/>
          <w:b/>
          <w:sz w:val="20"/>
          <w:szCs w:val="20"/>
        </w:rPr>
      </w:pPr>
    </w:p>
    <w:p w:rsidR="00756B53" w:rsidRPr="00E83DA2" w:rsidRDefault="00756B53" w:rsidP="007F3948">
      <w:pPr>
        <w:spacing w:after="240"/>
        <w:ind w:left="567" w:right="-46"/>
        <w:jc w:val="both"/>
        <w:rPr>
          <w:rStyle w:val="InstructionText"/>
        </w:rPr>
      </w:pPr>
      <w:r w:rsidRPr="00E83DA2">
        <w:rPr>
          <w:rStyle w:val="InstructionText"/>
        </w:rPr>
        <w:t xml:space="preserve">Demography </w:t>
      </w:r>
    </w:p>
    <w:p w:rsidR="00756B53" w:rsidRPr="00E83DA2" w:rsidRDefault="00756B53" w:rsidP="007F3948">
      <w:pPr>
        <w:pStyle w:val="Standard"/>
        <w:spacing w:after="240" w:line="276" w:lineRule="auto"/>
        <w:ind w:left="567" w:right="-46"/>
        <w:jc w:val="both"/>
        <w:rPr>
          <w:rFonts w:ascii="Gill Sans MT" w:hAnsi="Gill Sans MT"/>
          <w:sz w:val="22"/>
          <w:szCs w:val="22"/>
        </w:rPr>
      </w:pPr>
      <w:r w:rsidRPr="00E83DA2">
        <w:rPr>
          <w:rFonts w:ascii="Gill Sans MT" w:hAnsi="Gill Sans MT"/>
          <w:sz w:val="22"/>
          <w:szCs w:val="22"/>
        </w:rPr>
        <w:t>The analysis used the Census Collector District (CCD) geographies to look in more detail at the areas around the study area.</w:t>
      </w:r>
    </w:p>
    <w:p w:rsidR="00756B53" w:rsidRPr="00E83DA2" w:rsidRDefault="008F0359" w:rsidP="00ED0EFF">
      <w:pPr>
        <w:spacing w:after="240"/>
        <w:ind w:right="-46"/>
        <w:rPr>
          <w:rFonts w:ascii="Gill Sans MT" w:hAnsi="Gill Sans MT"/>
          <w:b/>
          <w:sz w:val="20"/>
          <w:szCs w:val="20"/>
        </w:rPr>
      </w:pPr>
      <w:r>
        <w:rPr>
          <w:rFonts w:ascii="Gill Sans MT" w:hAnsi="Gill Sans MT"/>
          <w:b/>
          <w:noProof/>
          <w:sz w:val="20"/>
          <w:szCs w:val="20"/>
          <w:lang w:eastAsia="en-AU"/>
        </w:rPr>
        <w:lastRenderedPageBreak/>
        <w:pict>
          <v:shape id="_x0000_s1202" type="#_x0000_t202" style="position:absolute;margin-left:41.5pt;margin-top:519.9pt;width:439.7pt;height:48.1pt;z-index:251675136;mso-height-percent:200;mso-height-percent:200;mso-width-relative:margin;mso-height-relative:margin" filled="f" stroked="f">
            <v:textbox style="mso-next-textbox:#_x0000_s1202;mso-fit-shape-to-text:t">
              <w:txbxContent>
                <w:p w:rsidR="00A50F40" w:rsidRPr="006E4391" w:rsidRDefault="00A50F40" w:rsidP="00D25BC0">
                  <w:pPr>
                    <w:rPr>
                      <w:rFonts w:ascii="Gill Sans MT" w:hAnsi="Gill Sans MT"/>
                      <w:b/>
                    </w:rPr>
                  </w:pPr>
                  <w:r>
                    <w:rPr>
                      <w:rFonts w:ascii="Gill Sans MT" w:hAnsi="Gill Sans MT"/>
                      <w:b/>
                      <w:i/>
                    </w:rPr>
                    <w:t>Figure19</w:t>
                  </w:r>
                  <w:r w:rsidRPr="006E4391">
                    <w:rPr>
                      <w:rFonts w:ascii="Gill Sans MT" w:hAnsi="Gill Sans MT"/>
                      <w:b/>
                      <w:i/>
                    </w:rPr>
                    <w:t xml:space="preserve">. </w:t>
                  </w:r>
                  <w:proofErr w:type="gramStart"/>
                  <w:r w:rsidRPr="006E4391">
                    <w:rPr>
                      <w:rFonts w:ascii="Gill Sans MT" w:hAnsi="Gill Sans MT"/>
                      <w:b/>
                    </w:rPr>
                    <w:t>CCD level map of Mowbray with key Demographic Data.</w:t>
                  </w:r>
                  <w:proofErr w:type="gramEnd"/>
                </w:p>
              </w:txbxContent>
            </v:textbox>
          </v:shape>
        </w:pict>
      </w:r>
      <w:r w:rsidR="00756B53" w:rsidRPr="00E83DA2">
        <w:rPr>
          <w:rFonts w:ascii="Gill Sans MT" w:hAnsi="Gill Sans MT"/>
          <w:b/>
          <w:noProof/>
          <w:sz w:val="20"/>
          <w:szCs w:val="20"/>
          <w:lang w:eastAsia="en-AU"/>
        </w:rPr>
        <w:drawing>
          <wp:inline distT="0" distB="0" distL="0" distR="0">
            <wp:extent cx="6257925" cy="6543675"/>
            <wp:effectExtent l="19050" t="0" r="9525" b="0"/>
            <wp:docPr id="79" name="Picture 3" descr="Mowbray_ABS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wbray_ABS2006"/>
                    <pic:cNvPicPr>
                      <a:picLocks noChangeAspect="1" noChangeArrowheads="1"/>
                    </pic:cNvPicPr>
                  </pic:nvPicPr>
                  <pic:blipFill>
                    <a:blip r:embed="rId20" cstate="print"/>
                    <a:srcRect/>
                    <a:stretch>
                      <a:fillRect/>
                    </a:stretch>
                  </pic:blipFill>
                  <pic:spPr bwMode="auto">
                    <a:xfrm>
                      <a:off x="0" y="0"/>
                      <a:ext cx="6257925" cy="6543675"/>
                    </a:xfrm>
                    <a:prstGeom prst="rect">
                      <a:avLst/>
                    </a:prstGeom>
                    <a:noFill/>
                    <a:ln w="9525">
                      <a:noFill/>
                      <a:miter lim="800000"/>
                      <a:headEnd/>
                      <a:tailEnd/>
                    </a:ln>
                  </pic:spPr>
                </pic:pic>
              </a:graphicData>
            </a:graphic>
          </wp:inline>
        </w:drawing>
      </w:r>
    </w:p>
    <w:p w:rsidR="006E4391" w:rsidRDefault="006E4391" w:rsidP="00756B53">
      <w:pPr>
        <w:spacing w:after="240"/>
        <w:ind w:right="-46"/>
        <w:jc w:val="both"/>
        <w:rPr>
          <w:rStyle w:val="InstructionText"/>
        </w:rPr>
      </w:pPr>
    </w:p>
    <w:p w:rsidR="00756B53" w:rsidRPr="00E83DA2" w:rsidRDefault="00756B53" w:rsidP="007F3948">
      <w:pPr>
        <w:spacing w:after="240"/>
        <w:ind w:left="567" w:right="-46"/>
        <w:jc w:val="both"/>
        <w:rPr>
          <w:rStyle w:val="InstructionText"/>
        </w:rPr>
      </w:pPr>
      <w:r w:rsidRPr="00E83DA2">
        <w:rPr>
          <w:rStyle w:val="InstructionText"/>
        </w:rPr>
        <w:t>Surrounding Areas</w:t>
      </w:r>
    </w:p>
    <w:p w:rsidR="00756B53" w:rsidRPr="00E83DA2" w:rsidRDefault="00756B53" w:rsidP="007F3948">
      <w:pPr>
        <w:spacing w:after="240"/>
        <w:ind w:left="567" w:right="-46"/>
        <w:jc w:val="both"/>
        <w:rPr>
          <w:rFonts w:ascii="Gill Sans MT" w:hAnsi="Gill Sans MT"/>
        </w:rPr>
      </w:pPr>
      <w:r w:rsidRPr="00E83DA2">
        <w:rPr>
          <w:rFonts w:ascii="Gill Sans MT" w:hAnsi="Gill Sans MT"/>
        </w:rPr>
        <w:t xml:space="preserve">Some of the suburbs that surround Mowbray have similar demographic profiles to the study area, indicating target groups that may also benefit from a Child and Family Centre. As Mowbray provides a range of services, it is an attractor for the surrounding suburbs. </w:t>
      </w:r>
    </w:p>
    <w:p w:rsidR="00756B53" w:rsidRPr="00E83DA2" w:rsidRDefault="00756B53" w:rsidP="00756B53">
      <w:pPr>
        <w:spacing w:after="240"/>
        <w:ind w:right="-46"/>
        <w:jc w:val="both"/>
        <w:rPr>
          <w:rFonts w:ascii="Gill Sans MT" w:hAnsi="Gill Sans MT"/>
        </w:rPr>
      </w:pPr>
    </w:p>
    <w:p w:rsidR="00756B53" w:rsidRPr="00E83DA2" w:rsidRDefault="008F0359" w:rsidP="005A4966">
      <w:pPr>
        <w:spacing w:after="240"/>
        <w:ind w:left="142" w:right="-46"/>
        <w:jc w:val="both"/>
        <w:rPr>
          <w:rFonts w:ascii="Gill Sans MT" w:hAnsi="Gill Sans MT"/>
          <w:b/>
          <w:sz w:val="20"/>
          <w:szCs w:val="20"/>
        </w:rPr>
      </w:pPr>
      <w:r>
        <w:rPr>
          <w:rFonts w:ascii="Gill Sans MT" w:hAnsi="Gill Sans MT"/>
          <w:b/>
          <w:noProof/>
          <w:sz w:val="20"/>
          <w:szCs w:val="20"/>
          <w:lang w:eastAsia="en-AU"/>
        </w:rPr>
        <w:lastRenderedPageBreak/>
        <w:pict>
          <v:shape id="_x0000_s1203" type="#_x0000_t202" style="position:absolute;left:0;text-align:left;margin-left:17.45pt;margin-top:579.2pt;width:411.65pt;height:23.4pt;z-index:251676160;mso-width-relative:margin;mso-height-relative:margin" filled="f" stroked="f">
            <v:textbox style="mso-next-textbox:#_x0000_s1203">
              <w:txbxContent>
                <w:p w:rsidR="00A50F40" w:rsidRPr="006E4391" w:rsidRDefault="00A50F40" w:rsidP="00502970">
                  <w:pPr>
                    <w:rPr>
                      <w:rFonts w:ascii="Gill Sans MT" w:hAnsi="Gill Sans MT"/>
                      <w:b/>
                    </w:rPr>
                  </w:pPr>
                  <w:proofErr w:type="gramStart"/>
                  <w:r>
                    <w:rPr>
                      <w:rFonts w:ascii="Gill Sans MT" w:hAnsi="Gill Sans MT"/>
                      <w:b/>
                      <w:i/>
                    </w:rPr>
                    <w:t>Figure 20</w:t>
                  </w:r>
                  <w:r w:rsidRPr="006E4391">
                    <w:rPr>
                      <w:rFonts w:ascii="Gill Sans MT" w:hAnsi="Gill Sans MT"/>
                      <w:b/>
                      <w:i/>
                    </w:rPr>
                    <w:t>.</w:t>
                  </w:r>
                  <w:proofErr w:type="gramEnd"/>
                  <w:r w:rsidRPr="006E4391">
                    <w:rPr>
                      <w:rFonts w:ascii="Gill Sans MT" w:hAnsi="Gill Sans MT"/>
                      <w:b/>
                      <w:i/>
                    </w:rPr>
                    <w:t xml:space="preserve"> </w:t>
                  </w:r>
                  <w:r w:rsidRPr="006E4391">
                    <w:rPr>
                      <w:rFonts w:ascii="Gill Sans MT" w:hAnsi="Gill Sans MT"/>
                      <w:b/>
                    </w:rPr>
                    <w:t>Map of Mowbray – suburb level – with key demographic data.</w:t>
                  </w:r>
                </w:p>
              </w:txbxContent>
            </v:textbox>
          </v:shape>
        </w:pict>
      </w:r>
      <w:r w:rsidR="00756B53" w:rsidRPr="00E83DA2">
        <w:rPr>
          <w:rFonts w:ascii="Gill Sans MT" w:hAnsi="Gill Sans MT"/>
          <w:noProof/>
          <w:lang w:eastAsia="en-AU"/>
        </w:rPr>
        <w:drawing>
          <wp:inline distT="0" distB="0" distL="0" distR="0">
            <wp:extent cx="5962650" cy="7467600"/>
            <wp:effectExtent l="19050" t="0" r="0" b="0"/>
            <wp:docPr id="80" name="Picture 4" descr="Mowbray_ABS2006_Subu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wbray_ABS2006_Suburb"/>
                    <pic:cNvPicPr>
                      <a:picLocks noChangeAspect="1" noChangeArrowheads="1"/>
                    </pic:cNvPicPr>
                  </pic:nvPicPr>
                  <pic:blipFill>
                    <a:blip r:embed="rId21" cstate="print"/>
                    <a:srcRect/>
                    <a:stretch>
                      <a:fillRect/>
                    </a:stretch>
                  </pic:blipFill>
                  <pic:spPr bwMode="auto">
                    <a:xfrm>
                      <a:off x="0" y="0"/>
                      <a:ext cx="5962650" cy="7467600"/>
                    </a:xfrm>
                    <a:prstGeom prst="rect">
                      <a:avLst/>
                    </a:prstGeom>
                    <a:noFill/>
                    <a:ln w="9525">
                      <a:noFill/>
                      <a:miter lim="800000"/>
                      <a:headEnd/>
                      <a:tailEnd/>
                    </a:ln>
                  </pic:spPr>
                </pic:pic>
              </a:graphicData>
            </a:graphic>
          </wp:inline>
        </w:drawing>
      </w:r>
      <w:r w:rsidR="00756B53" w:rsidRPr="00E83DA2">
        <w:rPr>
          <w:rFonts w:ascii="Gill Sans MT" w:hAnsi="Gill Sans MT"/>
          <w:b/>
          <w:sz w:val="20"/>
          <w:szCs w:val="20"/>
        </w:rPr>
        <w:t xml:space="preserve"> </w:t>
      </w:r>
    </w:p>
    <w:p w:rsidR="00756B53" w:rsidRPr="00E83DA2" w:rsidRDefault="00756B53" w:rsidP="00756B53">
      <w:pPr>
        <w:spacing w:after="240"/>
        <w:ind w:right="-46"/>
        <w:jc w:val="both"/>
        <w:rPr>
          <w:rFonts w:ascii="Gill Sans MT" w:hAnsi="Gill Sans MT"/>
        </w:rPr>
        <w:sectPr w:rsidR="00756B53" w:rsidRPr="00E83DA2" w:rsidSect="00103702">
          <w:pgSz w:w="11906" w:h="16838"/>
          <w:pgMar w:top="1440" w:right="1797" w:bottom="709" w:left="993" w:header="709" w:footer="544" w:gutter="0"/>
          <w:cols w:space="708"/>
          <w:titlePg/>
          <w:docGrid w:linePitch="360"/>
        </w:sectPr>
      </w:pPr>
    </w:p>
    <w:p w:rsidR="00756B53" w:rsidRPr="00E83DA2" w:rsidRDefault="00756B53" w:rsidP="007F3948">
      <w:pPr>
        <w:spacing w:before="120" w:after="240"/>
        <w:ind w:left="-284" w:right="-45"/>
        <w:jc w:val="both"/>
        <w:rPr>
          <w:rStyle w:val="InstructionText"/>
        </w:rPr>
      </w:pPr>
      <w:r w:rsidRPr="00E83DA2">
        <w:rPr>
          <w:rStyle w:val="InstructionText"/>
        </w:rPr>
        <w:lastRenderedPageBreak/>
        <w:t>Local transport options</w:t>
      </w:r>
    </w:p>
    <w:p w:rsidR="00756B53" w:rsidRPr="00E83DA2" w:rsidRDefault="00756B53" w:rsidP="007F3948">
      <w:pPr>
        <w:spacing w:after="240"/>
        <w:ind w:left="-284" w:right="-46"/>
        <w:jc w:val="both"/>
        <w:rPr>
          <w:rFonts w:ascii="Gill Sans MT" w:hAnsi="Gill Sans MT"/>
        </w:rPr>
      </w:pPr>
      <w:r w:rsidRPr="00E83DA2">
        <w:rPr>
          <w:rFonts w:ascii="Gill Sans MT" w:hAnsi="Gill Sans MT"/>
        </w:rPr>
        <w:t xml:space="preserve">The East Tamar Highway bypasses most of the urban area, using the lower flat land along the Tamar River. Invermay Road and Georgetown Road combine to make the main connecting transport corridor through the urban areas, providing </w:t>
      </w:r>
      <w:r w:rsidRPr="00E83DA2">
        <w:rPr>
          <w:rFonts w:ascii="Gill Sans MT" w:hAnsi="Gill Sans MT"/>
        </w:rPr>
        <w:lastRenderedPageBreak/>
        <w:t>the access spine for Mowbray and connecting the area to adjacent suburbs and the Launceston CBD.</w:t>
      </w:r>
    </w:p>
    <w:p w:rsidR="00756B53" w:rsidRPr="00E83DA2" w:rsidRDefault="00756B53" w:rsidP="007F3948">
      <w:pPr>
        <w:spacing w:after="240"/>
        <w:ind w:left="-284" w:right="-46"/>
        <w:jc w:val="both"/>
        <w:rPr>
          <w:rStyle w:val="InstructionText"/>
        </w:rPr>
      </w:pPr>
      <w:r w:rsidRPr="00E83DA2">
        <w:rPr>
          <w:rStyle w:val="InstructionText"/>
        </w:rPr>
        <w:t>Public transport services</w:t>
      </w:r>
    </w:p>
    <w:p w:rsidR="00756B53" w:rsidRPr="00E83DA2" w:rsidRDefault="00756B53" w:rsidP="007F3948">
      <w:pPr>
        <w:spacing w:after="240"/>
        <w:ind w:left="-284" w:right="-46"/>
        <w:jc w:val="both"/>
        <w:rPr>
          <w:rFonts w:ascii="Gill Sans MT" w:hAnsi="Gill Sans MT"/>
          <w:i/>
        </w:rPr>
      </w:pPr>
      <w:r w:rsidRPr="00E83DA2">
        <w:rPr>
          <w:rFonts w:ascii="Gill Sans MT" w:hAnsi="Gill Sans MT"/>
        </w:rPr>
        <w:t xml:space="preserve">Metro Tasmania provides regular bus services along Invermay Road, connecting the Launceston CBD through to Rocherlea. </w:t>
      </w:r>
      <w:r w:rsidRPr="00E83DA2">
        <w:rPr>
          <w:rFonts w:ascii="Gill Sans MT" w:hAnsi="Gill Sans MT"/>
          <w:i/>
        </w:rPr>
        <w:t>Walking and cycling</w:t>
      </w:r>
    </w:p>
    <w:p w:rsidR="00756B53" w:rsidRPr="00E83DA2" w:rsidRDefault="00756B53" w:rsidP="007F3948">
      <w:pPr>
        <w:spacing w:after="240"/>
        <w:ind w:left="-284" w:right="-46"/>
        <w:jc w:val="both"/>
        <w:rPr>
          <w:rFonts w:ascii="Gill Sans MT" w:hAnsi="Gill Sans MT"/>
        </w:rPr>
      </w:pPr>
      <w:r w:rsidRPr="00E83DA2">
        <w:rPr>
          <w:rFonts w:ascii="Gill Sans MT" w:hAnsi="Gill Sans MT"/>
        </w:rPr>
        <w:t>Most of the Mowbray area is located on flat terrain. A grid system of streets offers good access between residential areas, the commercial retail strip and the primary school. Traffic flows on Invermay Road may present a barrier. However as a single lane carriage way with several signalised crossing points, access should not be significantly impeded.</w:t>
      </w:r>
    </w:p>
    <w:p w:rsidR="00756B53" w:rsidRPr="00E83DA2" w:rsidRDefault="00756B53" w:rsidP="007F3948">
      <w:pPr>
        <w:pStyle w:val="Heading2"/>
        <w:ind w:left="-284"/>
      </w:pPr>
      <w:r w:rsidRPr="00E83DA2">
        <w:t xml:space="preserve">Site Specific Analysis </w:t>
      </w:r>
    </w:p>
    <w:p w:rsidR="00756B53" w:rsidRPr="00E83DA2" w:rsidRDefault="00756B53" w:rsidP="007F3948">
      <w:pPr>
        <w:spacing w:after="240"/>
        <w:ind w:left="-284"/>
        <w:rPr>
          <w:rFonts w:ascii="Gill Sans MT" w:hAnsi="Gill Sans MT"/>
        </w:rPr>
      </w:pPr>
      <w:r w:rsidRPr="00E83DA2">
        <w:rPr>
          <w:rFonts w:ascii="Gill Sans MT" w:hAnsi="Gill Sans MT"/>
        </w:rPr>
        <w:t>The Mowbray Heights Primary School site was considered as it is centrally located.</w:t>
      </w:r>
      <w:r w:rsidR="006E4391">
        <w:rPr>
          <w:rFonts w:ascii="Gill Sans MT" w:hAnsi="Gill Sans MT"/>
        </w:rPr>
        <w:t xml:space="preserve"> </w:t>
      </w:r>
      <w:r w:rsidRPr="00E83DA2">
        <w:rPr>
          <w:rFonts w:ascii="Gill Sans MT" w:hAnsi="Gill Sans MT"/>
        </w:rPr>
        <w:t>The School is on approximately 2.4 ha of land co-located with a Child Health Centre and an Oral Health Centre. There appears to be some space available for expansion and a rationalisation and amalgamating of services may provide opportunities that would not impinge on the current open space.</w:t>
      </w:r>
    </w:p>
    <w:p w:rsidR="00756B53" w:rsidRPr="00E83DA2" w:rsidRDefault="008F0359" w:rsidP="007F3948">
      <w:pPr>
        <w:spacing w:after="240"/>
        <w:ind w:left="-284" w:right="-46"/>
        <w:jc w:val="both"/>
        <w:rPr>
          <w:rFonts w:ascii="Gill Sans MT" w:hAnsi="Gill Sans MT"/>
        </w:rPr>
      </w:pPr>
      <w:r w:rsidRPr="008F0359">
        <w:rPr>
          <w:rFonts w:ascii="Gill Sans MT" w:hAnsi="Gill Sans MT"/>
          <w:b/>
          <w:noProof/>
          <w:lang w:eastAsia="en-AU"/>
        </w:rPr>
        <w:pict>
          <v:shape id="_x0000_s1173" type="#_x0000_t202" style="position:absolute;left:0;text-align:left;margin-left:70.65pt;margin-top:235.2pt;width:261pt;height:113.25pt;z-index:251648512">
            <v:textbox style="mso-next-textbox:#_x0000_s1173">
              <w:txbxContent>
                <w:p w:rsidR="00A50F40" w:rsidRPr="001E2251" w:rsidRDefault="00A50F40" w:rsidP="00756B53">
                  <w:pPr>
                    <w:ind w:right="-45"/>
                    <w:rPr>
                      <w:rFonts w:ascii="Calibri" w:hAnsi="Calibri"/>
                      <w:b/>
                      <w:sz w:val="20"/>
                      <w:szCs w:val="20"/>
                    </w:rPr>
                  </w:pPr>
                  <w:r>
                    <w:rPr>
                      <w:rFonts w:ascii="Calibri" w:hAnsi="Calibri"/>
                      <w:b/>
                      <w:sz w:val="20"/>
                      <w:szCs w:val="20"/>
                    </w:rPr>
                    <w:t>All d</w:t>
                  </w:r>
                  <w:r w:rsidRPr="001E2251">
                    <w:rPr>
                      <w:rFonts w:ascii="Calibri" w:hAnsi="Calibri"/>
                      <w:b/>
                      <w:sz w:val="20"/>
                      <w:szCs w:val="20"/>
                    </w:rPr>
                    <w:t xml:space="preserve">wellings within </w:t>
                  </w:r>
                  <w:r>
                    <w:rPr>
                      <w:rFonts w:ascii="Calibri" w:hAnsi="Calibri"/>
                      <w:b/>
                      <w:sz w:val="20"/>
                      <w:szCs w:val="20"/>
                    </w:rPr>
                    <w:t>2.5km</w:t>
                  </w:r>
                </w:p>
                <w:tbl>
                  <w:tblPr>
                    <w:tblW w:w="5117" w:type="dxa"/>
                    <w:tblLook w:val="04A0"/>
                  </w:tblPr>
                  <w:tblGrid>
                    <w:gridCol w:w="1575"/>
                    <w:gridCol w:w="941"/>
                    <w:gridCol w:w="830"/>
                    <w:gridCol w:w="941"/>
                    <w:gridCol w:w="830"/>
                  </w:tblGrid>
                  <w:tr w:rsidR="00A50F40" w:rsidRPr="002D2294" w:rsidTr="00F34007">
                    <w:trPr>
                      <w:trHeight w:val="315"/>
                    </w:trPr>
                    <w:tc>
                      <w:tcPr>
                        <w:tcW w:w="1575" w:type="dxa"/>
                        <w:tcBorders>
                          <w:top w:val="single" w:sz="8" w:space="0" w:color="auto"/>
                          <w:left w:val="single" w:sz="8" w:space="0" w:color="auto"/>
                          <w:bottom w:val="single" w:sz="4" w:space="0" w:color="auto"/>
                        </w:tcBorders>
                        <w:shd w:val="clear" w:color="000000" w:fill="4F81BD"/>
                        <w:noWrap/>
                        <w:vAlign w:val="bottom"/>
                        <w:hideMark/>
                      </w:tcPr>
                      <w:p w:rsidR="00A50F40" w:rsidRPr="001E2251" w:rsidRDefault="00A50F40" w:rsidP="00F34007">
                        <w:pPr>
                          <w:jc w:val="right"/>
                          <w:rPr>
                            <w:rFonts w:ascii="Calibri" w:hAnsi="Calibri"/>
                            <w:color w:val="FFFFFF"/>
                            <w:lang w:eastAsia="en-AU"/>
                          </w:rPr>
                        </w:pPr>
                        <w:r w:rsidRPr="001E2251">
                          <w:rPr>
                            <w:rFonts w:ascii="Calibri" w:hAnsi="Calibri"/>
                            <w:color w:val="FFFFFF"/>
                            <w:lang w:eastAsia="en-AU"/>
                          </w:rPr>
                          <w:t>Distance(m)</w:t>
                        </w:r>
                      </w:p>
                    </w:tc>
                    <w:tc>
                      <w:tcPr>
                        <w:tcW w:w="941" w:type="dxa"/>
                        <w:tcBorders>
                          <w:top w:val="single" w:sz="8" w:space="0" w:color="auto"/>
                          <w:bottom w:val="single" w:sz="4" w:space="0" w:color="auto"/>
                        </w:tcBorders>
                        <w:shd w:val="clear" w:color="000000" w:fill="4F81BD"/>
                        <w:noWrap/>
                        <w:vAlign w:val="bottom"/>
                        <w:hideMark/>
                      </w:tcPr>
                      <w:p w:rsidR="00A50F40" w:rsidRPr="001E2251" w:rsidRDefault="00A50F40" w:rsidP="00F34007">
                        <w:pPr>
                          <w:jc w:val="right"/>
                          <w:rPr>
                            <w:rFonts w:ascii="Calibri" w:hAnsi="Calibri"/>
                            <w:color w:val="FFFFFF"/>
                            <w:lang w:eastAsia="en-AU"/>
                          </w:rPr>
                        </w:pPr>
                        <w:r w:rsidRPr="001E2251">
                          <w:rPr>
                            <w:rFonts w:ascii="Calibri" w:hAnsi="Calibri"/>
                            <w:color w:val="FFFFFF"/>
                            <w:lang w:eastAsia="en-AU"/>
                          </w:rPr>
                          <w:t>All Housing</w:t>
                        </w:r>
                      </w:p>
                    </w:tc>
                    <w:tc>
                      <w:tcPr>
                        <w:tcW w:w="830" w:type="dxa"/>
                        <w:tcBorders>
                          <w:top w:val="single" w:sz="8" w:space="0" w:color="auto"/>
                          <w:bottom w:val="single" w:sz="4" w:space="0" w:color="auto"/>
                        </w:tcBorders>
                        <w:shd w:val="clear" w:color="000000" w:fill="4F81BD"/>
                        <w:noWrap/>
                        <w:vAlign w:val="bottom"/>
                        <w:hideMark/>
                      </w:tcPr>
                      <w:p w:rsidR="00A50F40" w:rsidRPr="001E2251" w:rsidRDefault="00A50F40" w:rsidP="00F34007">
                        <w:pPr>
                          <w:jc w:val="right"/>
                          <w:rPr>
                            <w:rFonts w:ascii="Calibri" w:hAnsi="Calibri"/>
                            <w:color w:val="FFFFFF"/>
                            <w:lang w:eastAsia="en-AU"/>
                          </w:rPr>
                        </w:pPr>
                        <w:r w:rsidRPr="001E2251">
                          <w:rPr>
                            <w:rFonts w:ascii="Calibri" w:hAnsi="Calibri"/>
                            <w:color w:val="FFFFFF"/>
                            <w:lang w:eastAsia="en-AU"/>
                          </w:rPr>
                          <w:t>%</w:t>
                        </w:r>
                      </w:p>
                    </w:tc>
                    <w:tc>
                      <w:tcPr>
                        <w:tcW w:w="941" w:type="dxa"/>
                        <w:tcBorders>
                          <w:top w:val="single" w:sz="8" w:space="0" w:color="auto"/>
                          <w:bottom w:val="single" w:sz="4" w:space="0" w:color="auto"/>
                        </w:tcBorders>
                        <w:shd w:val="clear" w:color="000000" w:fill="4F81BD"/>
                        <w:noWrap/>
                        <w:vAlign w:val="bottom"/>
                        <w:hideMark/>
                      </w:tcPr>
                      <w:p w:rsidR="00A50F40" w:rsidRPr="001E2251" w:rsidRDefault="00A50F40" w:rsidP="00F34007">
                        <w:pPr>
                          <w:jc w:val="right"/>
                          <w:rPr>
                            <w:rFonts w:ascii="Calibri" w:hAnsi="Calibri"/>
                            <w:color w:val="FFFFFF"/>
                            <w:lang w:eastAsia="en-AU"/>
                          </w:rPr>
                        </w:pPr>
                        <w:r w:rsidRPr="001E2251">
                          <w:rPr>
                            <w:rFonts w:ascii="Calibri" w:hAnsi="Calibri"/>
                            <w:color w:val="FFFFFF"/>
                            <w:lang w:eastAsia="en-AU"/>
                          </w:rPr>
                          <w:t>Public Housing</w:t>
                        </w:r>
                      </w:p>
                    </w:tc>
                    <w:tc>
                      <w:tcPr>
                        <w:tcW w:w="830" w:type="dxa"/>
                        <w:tcBorders>
                          <w:top w:val="single" w:sz="8" w:space="0" w:color="auto"/>
                          <w:bottom w:val="single" w:sz="4" w:space="0" w:color="auto"/>
                          <w:right w:val="single" w:sz="8" w:space="0" w:color="auto"/>
                        </w:tcBorders>
                        <w:shd w:val="clear" w:color="000000" w:fill="4F81BD"/>
                        <w:noWrap/>
                        <w:vAlign w:val="bottom"/>
                        <w:hideMark/>
                      </w:tcPr>
                      <w:p w:rsidR="00A50F40" w:rsidRPr="001E2251" w:rsidRDefault="00A50F40" w:rsidP="00F34007">
                        <w:pPr>
                          <w:jc w:val="right"/>
                          <w:rPr>
                            <w:rFonts w:ascii="Calibri" w:hAnsi="Calibri"/>
                            <w:color w:val="FFFFFF"/>
                            <w:lang w:eastAsia="en-AU"/>
                          </w:rPr>
                        </w:pPr>
                        <w:r w:rsidRPr="001E2251">
                          <w:rPr>
                            <w:rFonts w:ascii="Calibri" w:hAnsi="Calibri"/>
                            <w:color w:val="FFFFFF"/>
                            <w:lang w:eastAsia="en-AU"/>
                          </w:rPr>
                          <w:t>%</w:t>
                        </w:r>
                      </w:p>
                    </w:tc>
                  </w:tr>
                  <w:tr w:rsidR="00A50F40" w:rsidRPr="00961B9C" w:rsidTr="00F34007">
                    <w:trPr>
                      <w:trHeight w:val="300"/>
                    </w:trPr>
                    <w:tc>
                      <w:tcPr>
                        <w:tcW w:w="157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50F40" w:rsidRPr="00961B9C" w:rsidRDefault="00A50F40" w:rsidP="00F34007">
                        <w:pPr>
                          <w:rPr>
                            <w:rFonts w:ascii="Calibri" w:hAnsi="Calibri"/>
                            <w:color w:val="000000"/>
                            <w:lang w:eastAsia="en-AU"/>
                          </w:rPr>
                        </w:pPr>
                        <w:r w:rsidRPr="00961B9C">
                          <w:rPr>
                            <w:rFonts w:ascii="Calibri" w:hAnsi="Calibri"/>
                            <w:color w:val="000000"/>
                            <w:lang w:eastAsia="en-AU"/>
                          </w:rPr>
                          <w:t>0-400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113</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2.88</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23</w:t>
                        </w:r>
                      </w:p>
                    </w:tc>
                    <w:tc>
                      <w:tcPr>
                        <w:tcW w:w="83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5.94</w:t>
                        </w:r>
                      </w:p>
                    </w:tc>
                  </w:tr>
                  <w:tr w:rsidR="00A50F40" w:rsidRPr="00961B9C" w:rsidTr="00F34007">
                    <w:trPr>
                      <w:trHeight w:val="300"/>
                    </w:trPr>
                    <w:tc>
                      <w:tcPr>
                        <w:tcW w:w="157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50F40" w:rsidRPr="00961B9C" w:rsidRDefault="00A50F40" w:rsidP="00F34007">
                        <w:pPr>
                          <w:rPr>
                            <w:rFonts w:ascii="Calibri" w:hAnsi="Calibri"/>
                            <w:color w:val="000000"/>
                            <w:lang w:eastAsia="en-AU"/>
                          </w:rPr>
                        </w:pPr>
                        <w:r w:rsidRPr="00961B9C">
                          <w:rPr>
                            <w:rFonts w:ascii="Calibri" w:hAnsi="Calibri"/>
                            <w:color w:val="000000"/>
                            <w:lang w:eastAsia="en-AU"/>
                          </w:rPr>
                          <w:t>400-800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576</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14.69</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18</w:t>
                        </w:r>
                      </w:p>
                    </w:tc>
                    <w:tc>
                      <w:tcPr>
                        <w:tcW w:w="83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4.65</w:t>
                        </w:r>
                      </w:p>
                    </w:tc>
                  </w:tr>
                  <w:tr w:rsidR="00A50F40" w:rsidRPr="00961B9C" w:rsidTr="00F34007">
                    <w:trPr>
                      <w:trHeight w:val="300"/>
                    </w:trPr>
                    <w:tc>
                      <w:tcPr>
                        <w:tcW w:w="157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50F40" w:rsidRPr="00961B9C" w:rsidRDefault="00A50F40" w:rsidP="00F34007">
                        <w:pPr>
                          <w:rPr>
                            <w:rFonts w:ascii="Calibri" w:hAnsi="Calibri"/>
                            <w:color w:val="000000"/>
                            <w:lang w:eastAsia="en-AU"/>
                          </w:rPr>
                        </w:pPr>
                        <w:r w:rsidRPr="00961B9C">
                          <w:rPr>
                            <w:rFonts w:ascii="Calibri" w:hAnsi="Calibri"/>
                            <w:color w:val="000000"/>
                            <w:lang w:eastAsia="en-AU"/>
                          </w:rPr>
                          <w:t>800-2500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3233</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82.43</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346</w:t>
                        </w:r>
                      </w:p>
                    </w:tc>
                    <w:tc>
                      <w:tcPr>
                        <w:tcW w:w="83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89.41</w:t>
                        </w:r>
                      </w:p>
                    </w:tc>
                  </w:tr>
                  <w:tr w:rsidR="00A50F40" w:rsidRPr="002D2294" w:rsidTr="00F34007">
                    <w:trPr>
                      <w:trHeight w:val="315"/>
                    </w:trPr>
                    <w:tc>
                      <w:tcPr>
                        <w:tcW w:w="1575" w:type="dxa"/>
                        <w:tcBorders>
                          <w:top w:val="single" w:sz="4" w:space="0" w:color="auto"/>
                          <w:left w:val="single" w:sz="8" w:space="0" w:color="auto"/>
                          <w:bottom w:val="single" w:sz="8" w:space="0" w:color="auto"/>
                          <w:right w:val="single" w:sz="4" w:space="0" w:color="auto"/>
                        </w:tcBorders>
                        <w:shd w:val="clear" w:color="auto" w:fill="000000"/>
                        <w:noWrap/>
                        <w:vAlign w:val="bottom"/>
                        <w:hideMark/>
                      </w:tcPr>
                      <w:p w:rsidR="00A50F40" w:rsidRPr="001E2251" w:rsidRDefault="00A50F40" w:rsidP="00F34007">
                        <w:pPr>
                          <w:rPr>
                            <w:rFonts w:ascii="Calibri" w:hAnsi="Calibri"/>
                            <w:color w:val="FFFFFF"/>
                            <w:lang w:eastAsia="en-AU"/>
                          </w:rPr>
                        </w:pPr>
                        <w:r w:rsidRPr="001E2251">
                          <w:rPr>
                            <w:rFonts w:ascii="Calibri" w:hAnsi="Calibri"/>
                            <w:color w:val="FFFFFF"/>
                            <w:lang w:eastAsia="en-AU"/>
                          </w:rPr>
                          <w:t>Total (0-2500)</w:t>
                        </w:r>
                      </w:p>
                    </w:tc>
                    <w:tc>
                      <w:tcPr>
                        <w:tcW w:w="941" w:type="dxa"/>
                        <w:tcBorders>
                          <w:top w:val="single" w:sz="4" w:space="0" w:color="auto"/>
                          <w:left w:val="nil"/>
                          <w:bottom w:val="single" w:sz="8" w:space="0" w:color="auto"/>
                          <w:right w:val="single" w:sz="4" w:space="0" w:color="auto"/>
                        </w:tcBorders>
                        <w:shd w:val="clear" w:color="auto" w:fill="000000"/>
                        <w:noWrap/>
                        <w:vAlign w:val="bottom"/>
                        <w:hideMark/>
                      </w:tcPr>
                      <w:p w:rsidR="00A50F40" w:rsidRPr="001E2251" w:rsidRDefault="00A50F40" w:rsidP="00F34007">
                        <w:pPr>
                          <w:jc w:val="right"/>
                          <w:rPr>
                            <w:rFonts w:ascii="Calibri" w:hAnsi="Calibri"/>
                            <w:color w:val="FFFFFF"/>
                            <w:lang w:eastAsia="en-AU"/>
                          </w:rPr>
                        </w:pPr>
                        <w:r>
                          <w:rPr>
                            <w:rFonts w:ascii="Calibri" w:hAnsi="Calibri"/>
                            <w:color w:val="FFFFFF"/>
                            <w:lang w:eastAsia="en-AU"/>
                          </w:rPr>
                          <w:t>3922</w:t>
                        </w:r>
                      </w:p>
                    </w:tc>
                    <w:tc>
                      <w:tcPr>
                        <w:tcW w:w="830" w:type="dxa"/>
                        <w:tcBorders>
                          <w:top w:val="single" w:sz="4" w:space="0" w:color="auto"/>
                          <w:left w:val="nil"/>
                          <w:bottom w:val="single" w:sz="8" w:space="0" w:color="auto"/>
                          <w:right w:val="single" w:sz="4" w:space="0" w:color="auto"/>
                        </w:tcBorders>
                        <w:shd w:val="clear" w:color="auto" w:fill="000000"/>
                        <w:noWrap/>
                        <w:vAlign w:val="bottom"/>
                        <w:hideMark/>
                      </w:tcPr>
                      <w:p w:rsidR="00A50F40" w:rsidRPr="001E2251" w:rsidRDefault="00A50F40" w:rsidP="00F34007">
                        <w:pPr>
                          <w:jc w:val="right"/>
                          <w:rPr>
                            <w:rFonts w:ascii="Calibri" w:hAnsi="Calibri"/>
                            <w:color w:val="FFFFFF"/>
                            <w:lang w:eastAsia="en-AU"/>
                          </w:rPr>
                        </w:pPr>
                        <w:r>
                          <w:rPr>
                            <w:rFonts w:ascii="Calibri" w:hAnsi="Calibri"/>
                            <w:color w:val="FFFFFF"/>
                            <w:lang w:eastAsia="en-AU"/>
                          </w:rPr>
                          <w:t>100.00</w:t>
                        </w:r>
                      </w:p>
                    </w:tc>
                    <w:tc>
                      <w:tcPr>
                        <w:tcW w:w="941" w:type="dxa"/>
                        <w:tcBorders>
                          <w:top w:val="single" w:sz="4" w:space="0" w:color="auto"/>
                          <w:left w:val="nil"/>
                          <w:bottom w:val="single" w:sz="8" w:space="0" w:color="auto"/>
                          <w:right w:val="single" w:sz="4" w:space="0" w:color="auto"/>
                        </w:tcBorders>
                        <w:shd w:val="clear" w:color="auto" w:fill="000000"/>
                        <w:noWrap/>
                        <w:vAlign w:val="bottom"/>
                        <w:hideMark/>
                      </w:tcPr>
                      <w:p w:rsidR="00A50F40" w:rsidRPr="001E2251" w:rsidRDefault="00A50F40" w:rsidP="00F34007">
                        <w:pPr>
                          <w:jc w:val="right"/>
                          <w:rPr>
                            <w:rFonts w:ascii="Calibri" w:hAnsi="Calibri"/>
                            <w:color w:val="FFFFFF"/>
                            <w:lang w:eastAsia="en-AU"/>
                          </w:rPr>
                        </w:pPr>
                        <w:r>
                          <w:rPr>
                            <w:rFonts w:ascii="Calibri" w:hAnsi="Calibri"/>
                            <w:color w:val="FFFFFF"/>
                            <w:lang w:eastAsia="en-AU"/>
                          </w:rPr>
                          <w:t>387</w:t>
                        </w:r>
                      </w:p>
                    </w:tc>
                    <w:tc>
                      <w:tcPr>
                        <w:tcW w:w="830" w:type="dxa"/>
                        <w:tcBorders>
                          <w:top w:val="single" w:sz="4" w:space="0" w:color="auto"/>
                          <w:left w:val="nil"/>
                          <w:bottom w:val="single" w:sz="8" w:space="0" w:color="auto"/>
                          <w:right w:val="single" w:sz="8" w:space="0" w:color="auto"/>
                        </w:tcBorders>
                        <w:shd w:val="clear" w:color="auto" w:fill="000000"/>
                        <w:noWrap/>
                        <w:vAlign w:val="bottom"/>
                        <w:hideMark/>
                      </w:tcPr>
                      <w:p w:rsidR="00A50F40" w:rsidRPr="001E2251" w:rsidRDefault="00A50F40" w:rsidP="00F34007">
                        <w:pPr>
                          <w:jc w:val="right"/>
                          <w:rPr>
                            <w:rFonts w:ascii="Calibri" w:hAnsi="Calibri"/>
                            <w:color w:val="FFFFFF"/>
                            <w:lang w:eastAsia="en-AU"/>
                          </w:rPr>
                        </w:pPr>
                        <w:r>
                          <w:rPr>
                            <w:rFonts w:ascii="Calibri" w:hAnsi="Calibri"/>
                            <w:color w:val="FFFFFF"/>
                            <w:lang w:eastAsia="en-AU"/>
                          </w:rPr>
                          <w:t>100.00</w:t>
                        </w:r>
                      </w:p>
                    </w:tc>
                  </w:tr>
                </w:tbl>
                <w:p w:rsidR="00A50F40" w:rsidRPr="001E2251" w:rsidRDefault="00A50F40" w:rsidP="00756B53">
                  <w:pPr>
                    <w:spacing w:before="120" w:after="240"/>
                    <w:ind w:right="-45"/>
                    <w:rPr>
                      <w:rFonts w:ascii="Calibri" w:hAnsi="Calibri"/>
                      <w:b/>
                      <w:sz w:val="20"/>
                      <w:szCs w:val="20"/>
                    </w:rPr>
                  </w:pPr>
                </w:p>
              </w:txbxContent>
            </v:textbox>
          </v:shape>
        </w:pict>
      </w:r>
      <w:r w:rsidRPr="008F0359">
        <w:rPr>
          <w:rFonts w:ascii="Gill Sans MT" w:hAnsi="Gill Sans MT"/>
          <w:b/>
          <w:noProof/>
          <w:lang w:eastAsia="en-AU"/>
        </w:rPr>
        <w:pict>
          <v:shape id="_x0000_s1172" type="#_x0000_t202" style="position:absolute;left:0;text-align:left;margin-left:70.65pt;margin-top:121.95pt;width:261pt;height:113.25pt;z-index:251647488">
            <v:textbox style="mso-next-textbox:#_x0000_s1172">
              <w:txbxContent>
                <w:p w:rsidR="00A50F40" w:rsidRPr="001E2251" w:rsidRDefault="00A50F40" w:rsidP="00756B53">
                  <w:pPr>
                    <w:ind w:right="-45"/>
                    <w:rPr>
                      <w:rFonts w:ascii="Calibri" w:hAnsi="Calibri"/>
                      <w:b/>
                      <w:sz w:val="20"/>
                      <w:szCs w:val="20"/>
                    </w:rPr>
                  </w:pPr>
                  <w:r w:rsidRPr="001E2251">
                    <w:rPr>
                      <w:rFonts w:ascii="Calibri" w:hAnsi="Calibri"/>
                      <w:b/>
                      <w:sz w:val="20"/>
                      <w:szCs w:val="20"/>
                    </w:rPr>
                    <w:t>Dwellings within analysis area only</w:t>
                  </w:r>
                </w:p>
                <w:tbl>
                  <w:tblPr>
                    <w:tblW w:w="5117" w:type="dxa"/>
                    <w:tblLook w:val="04A0"/>
                  </w:tblPr>
                  <w:tblGrid>
                    <w:gridCol w:w="1575"/>
                    <w:gridCol w:w="941"/>
                    <w:gridCol w:w="830"/>
                    <w:gridCol w:w="941"/>
                    <w:gridCol w:w="830"/>
                  </w:tblGrid>
                  <w:tr w:rsidR="00A50F40" w:rsidRPr="002D2294" w:rsidTr="00F34007">
                    <w:trPr>
                      <w:trHeight w:val="315"/>
                    </w:trPr>
                    <w:tc>
                      <w:tcPr>
                        <w:tcW w:w="1575" w:type="dxa"/>
                        <w:tcBorders>
                          <w:top w:val="single" w:sz="8" w:space="0" w:color="auto"/>
                          <w:left w:val="single" w:sz="8" w:space="0" w:color="auto"/>
                          <w:bottom w:val="single" w:sz="4" w:space="0" w:color="auto"/>
                        </w:tcBorders>
                        <w:shd w:val="clear" w:color="000000" w:fill="4F81BD"/>
                        <w:noWrap/>
                        <w:vAlign w:val="bottom"/>
                        <w:hideMark/>
                      </w:tcPr>
                      <w:p w:rsidR="00A50F40" w:rsidRPr="001E2251" w:rsidRDefault="00A50F40" w:rsidP="00F34007">
                        <w:pPr>
                          <w:jc w:val="right"/>
                          <w:rPr>
                            <w:rFonts w:ascii="Calibri" w:hAnsi="Calibri"/>
                            <w:color w:val="FFFFFF"/>
                            <w:lang w:eastAsia="en-AU"/>
                          </w:rPr>
                        </w:pPr>
                        <w:r w:rsidRPr="001E2251">
                          <w:rPr>
                            <w:rFonts w:ascii="Calibri" w:hAnsi="Calibri"/>
                            <w:color w:val="FFFFFF"/>
                            <w:lang w:eastAsia="en-AU"/>
                          </w:rPr>
                          <w:t>Distance(m)</w:t>
                        </w:r>
                      </w:p>
                    </w:tc>
                    <w:tc>
                      <w:tcPr>
                        <w:tcW w:w="941" w:type="dxa"/>
                        <w:tcBorders>
                          <w:top w:val="single" w:sz="8" w:space="0" w:color="auto"/>
                          <w:bottom w:val="single" w:sz="4" w:space="0" w:color="auto"/>
                        </w:tcBorders>
                        <w:shd w:val="clear" w:color="000000" w:fill="4F81BD"/>
                        <w:noWrap/>
                        <w:vAlign w:val="bottom"/>
                        <w:hideMark/>
                      </w:tcPr>
                      <w:p w:rsidR="00A50F40" w:rsidRPr="001E2251" w:rsidRDefault="00A50F40" w:rsidP="00F34007">
                        <w:pPr>
                          <w:jc w:val="right"/>
                          <w:rPr>
                            <w:rFonts w:ascii="Calibri" w:hAnsi="Calibri"/>
                            <w:color w:val="FFFFFF"/>
                            <w:lang w:eastAsia="en-AU"/>
                          </w:rPr>
                        </w:pPr>
                        <w:r w:rsidRPr="001E2251">
                          <w:rPr>
                            <w:rFonts w:ascii="Calibri" w:hAnsi="Calibri"/>
                            <w:color w:val="FFFFFF"/>
                            <w:lang w:eastAsia="en-AU"/>
                          </w:rPr>
                          <w:t>All Housing</w:t>
                        </w:r>
                      </w:p>
                    </w:tc>
                    <w:tc>
                      <w:tcPr>
                        <w:tcW w:w="830" w:type="dxa"/>
                        <w:tcBorders>
                          <w:top w:val="single" w:sz="8" w:space="0" w:color="auto"/>
                          <w:bottom w:val="single" w:sz="4" w:space="0" w:color="auto"/>
                        </w:tcBorders>
                        <w:shd w:val="clear" w:color="000000" w:fill="4F81BD"/>
                        <w:noWrap/>
                        <w:vAlign w:val="bottom"/>
                        <w:hideMark/>
                      </w:tcPr>
                      <w:p w:rsidR="00A50F40" w:rsidRPr="001E2251" w:rsidRDefault="00A50F40" w:rsidP="00F34007">
                        <w:pPr>
                          <w:jc w:val="right"/>
                          <w:rPr>
                            <w:rFonts w:ascii="Calibri" w:hAnsi="Calibri"/>
                            <w:color w:val="FFFFFF"/>
                            <w:lang w:eastAsia="en-AU"/>
                          </w:rPr>
                        </w:pPr>
                        <w:r w:rsidRPr="001E2251">
                          <w:rPr>
                            <w:rFonts w:ascii="Calibri" w:hAnsi="Calibri"/>
                            <w:color w:val="FFFFFF"/>
                            <w:lang w:eastAsia="en-AU"/>
                          </w:rPr>
                          <w:t>%</w:t>
                        </w:r>
                      </w:p>
                    </w:tc>
                    <w:tc>
                      <w:tcPr>
                        <w:tcW w:w="941" w:type="dxa"/>
                        <w:tcBorders>
                          <w:top w:val="single" w:sz="8" w:space="0" w:color="auto"/>
                          <w:bottom w:val="single" w:sz="4" w:space="0" w:color="auto"/>
                        </w:tcBorders>
                        <w:shd w:val="clear" w:color="000000" w:fill="4F81BD"/>
                        <w:noWrap/>
                        <w:vAlign w:val="bottom"/>
                        <w:hideMark/>
                      </w:tcPr>
                      <w:p w:rsidR="00A50F40" w:rsidRPr="001E2251" w:rsidRDefault="00A50F40" w:rsidP="00F34007">
                        <w:pPr>
                          <w:jc w:val="right"/>
                          <w:rPr>
                            <w:rFonts w:ascii="Calibri" w:hAnsi="Calibri"/>
                            <w:color w:val="FFFFFF"/>
                            <w:lang w:eastAsia="en-AU"/>
                          </w:rPr>
                        </w:pPr>
                        <w:r w:rsidRPr="001E2251">
                          <w:rPr>
                            <w:rFonts w:ascii="Calibri" w:hAnsi="Calibri"/>
                            <w:color w:val="FFFFFF"/>
                            <w:lang w:eastAsia="en-AU"/>
                          </w:rPr>
                          <w:t>Public Housing</w:t>
                        </w:r>
                      </w:p>
                    </w:tc>
                    <w:tc>
                      <w:tcPr>
                        <w:tcW w:w="830" w:type="dxa"/>
                        <w:tcBorders>
                          <w:top w:val="single" w:sz="8" w:space="0" w:color="auto"/>
                          <w:bottom w:val="single" w:sz="4" w:space="0" w:color="auto"/>
                          <w:right w:val="single" w:sz="8" w:space="0" w:color="auto"/>
                        </w:tcBorders>
                        <w:shd w:val="clear" w:color="000000" w:fill="4F81BD"/>
                        <w:noWrap/>
                        <w:vAlign w:val="bottom"/>
                        <w:hideMark/>
                      </w:tcPr>
                      <w:p w:rsidR="00A50F40" w:rsidRPr="001E2251" w:rsidRDefault="00A50F40" w:rsidP="00F34007">
                        <w:pPr>
                          <w:jc w:val="right"/>
                          <w:rPr>
                            <w:rFonts w:ascii="Calibri" w:hAnsi="Calibri"/>
                            <w:color w:val="FFFFFF"/>
                            <w:lang w:eastAsia="en-AU"/>
                          </w:rPr>
                        </w:pPr>
                        <w:r w:rsidRPr="001E2251">
                          <w:rPr>
                            <w:rFonts w:ascii="Calibri" w:hAnsi="Calibri"/>
                            <w:color w:val="FFFFFF"/>
                            <w:lang w:eastAsia="en-AU"/>
                          </w:rPr>
                          <w:t>%</w:t>
                        </w:r>
                      </w:p>
                    </w:tc>
                  </w:tr>
                  <w:tr w:rsidR="00A50F40" w:rsidRPr="00961B9C" w:rsidTr="00F34007">
                    <w:trPr>
                      <w:trHeight w:val="300"/>
                    </w:trPr>
                    <w:tc>
                      <w:tcPr>
                        <w:tcW w:w="157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50F40" w:rsidRPr="00961B9C" w:rsidRDefault="00A50F40" w:rsidP="00F34007">
                        <w:pPr>
                          <w:rPr>
                            <w:rFonts w:ascii="Calibri" w:hAnsi="Calibri"/>
                            <w:color w:val="000000"/>
                            <w:lang w:eastAsia="en-AU"/>
                          </w:rPr>
                        </w:pPr>
                        <w:r w:rsidRPr="00961B9C">
                          <w:rPr>
                            <w:rFonts w:ascii="Calibri" w:hAnsi="Calibri"/>
                            <w:color w:val="000000"/>
                            <w:lang w:eastAsia="en-AU"/>
                          </w:rPr>
                          <w:t>0-400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113</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9.05</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13</w:t>
                        </w:r>
                      </w:p>
                    </w:tc>
                    <w:tc>
                      <w:tcPr>
                        <w:tcW w:w="83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9.77</w:t>
                        </w:r>
                      </w:p>
                    </w:tc>
                  </w:tr>
                  <w:tr w:rsidR="00A50F40" w:rsidRPr="00961B9C" w:rsidTr="00F34007">
                    <w:trPr>
                      <w:trHeight w:val="300"/>
                    </w:trPr>
                    <w:tc>
                      <w:tcPr>
                        <w:tcW w:w="157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50F40" w:rsidRPr="00961B9C" w:rsidRDefault="00A50F40" w:rsidP="00F34007">
                        <w:pPr>
                          <w:rPr>
                            <w:rFonts w:ascii="Calibri" w:hAnsi="Calibri"/>
                            <w:color w:val="000000"/>
                            <w:lang w:eastAsia="en-AU"/>
                          </w:rPr>
                        </w:pPr>
                        <w:r w:rsidRPr="00961B9C">
                          <w:rPr>
                            <w:rFonts w:ascii="Calibri" w:hAnsi="Calibri"/>
                            <w:color w:val="000000"/>
                            <w:lang w:eastAsia="en-AU"/>
                          </w:rPr>
                          <w:t>400-800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277</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22.18</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18</w:t>
                        </w:r>
                      </w:p>
                    </w:tc>
                    <w:tc>
                      <w:tcPr>
                        <w:tcW w:w="83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13.53</w:t>
                        </w:r>
                      </w:p>
                    </w:tc>
                  </w:tr>
                  <w:tr w:rsidR="00A50F40" w:rsidRPr="00961B9C" w:rsidTr="00F34007">
                    <w:trPr>
                      <w:trHeight w:val="300"/>
                    </w:trPr>
                    <w:tc>
                      <w:tcPr>
                        <w:tcW w:w="157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50F40" w:rsidRPr="00961B9C" w:rsidRDefault="00A50F40" w:rsidP="00F34007">
                        <w:pPr>
                          <w:rPr>
                            <w:rFonts w:ascii="Calibri" w:hAnsi="Calibri"/>
                            <w:color w:val="000000"/>
                            <w:lang w:eastAsia="en-AU"/>
                          </w:rPr>
                        </w:pPr>
                        <w:r w:rsidRPr="00961B9C">
                          <w:rPr>
                            <w:rFonts w:ascii="Calibri" w:hAnsi="Calibri"/>
                            <w:color w:val="000000"/>
                            <w:lang w:eastAsia="en-AU"/>
                          </w:rPr>
                          <w:t>800-2500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859</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68.78</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102</w:t>
                        </w:r>
                      </w:p>
                    </w:tc>
                    <w:tc>
                      <w:tcPr>
                        <w:tcW w:w="83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A50F40" w:rsidRPr="00961B9C" w:rsidRDefault="00A50F40" w:rsidP="00F34007">
                        <w:pPr>
                          <w:jc w:val="right"/>
                          <w:rPr>
                            <w:rFonts w:ascii="Calibri" w:hAnsi="Calibri"/>
                            <w:color w:val="000000"/>
                            <w:lang w:eastAsia="en-AU"/>
                          </w:rPr>
                        </w:pPr>
                        <w:r>
                          <w:rPr>
                            <w:rFonts w:ascii="Calibri" w:hAnsi="Calibri"/>
                            <w:color w:val="000000"/>
                            <w:lang w:eastAsia="en-AU"/>
                          </w:rPr>
                          <w:t>76.69</w:t>
                        </w:r>
                      </w:p>
                    </w:tc>
                  </w:tr>
                  <w:tr w:rsidR="00A50F40" w:rsidRPr="002D2294" w:rsidTr="00F34007">
                    <w:trPr>
                      <w:trHeight w:val="315"/>
                    </w:trPr>
                    <w:tc>
                      <w:tcPr>
                        <w:tcW w:w="1575" w:type="dxa"/>
                        <w:tcBorders>
                          <w:top w:val="single" w:sz="4" w:space="0" w:color="auto"/>
                          <w:left w:val="single" w:sz="8" w:space="0" w:color="auto"/>
                          <w:bottom w:val="single" w:sz="8" w:space="0" w:color="auto"/>
                          <w:right w:val="single" w:sz="4" w:space="0" w:color="auto"/>
                        </w:tcBorders>
                        <w:shd w:val="clear" w:color="auto" w:fill="000000"/>
                        <w:noWrap/>
                        <w:vAlign w:val="bottom"/>
                        <w:hideMark/>
                      </w:tcPr>
                      <w:p w:rsidR="00A50F40" w:rsidRPr="001E2251" w:rsidRDefault="00A50F40" w:rsidP="00F34007">
                        <w:pPr>
                          <w:rPr>
                            <w:rFonts w:ascii="Calibri" w:hAnsi="Calibri"/>
                            <w:color w:val="FFFFFF"/>
                            <w:lang w:eastAsia="en-AU"/>
                          </w:rPr>
                        </w:pPr>
                        <w:r w:rsidRPr="001E2251">
                          <w:rPr>
                            <w:rFonts w:ascii="Calibri" w:hAnsi="Calibri"/>
                            <w:color w:val="FFFFFF"/>
                            <w:lang w:eastAsia="en-AU"/>
                          </w:rPr>
                          <w:t>Total (0-2500)</w:t>
                        </w:r>
                      </w:p>
                    </w:tc>
                    <w:tc>
                      <w:tcPr>
                        <w:tcW w:w="941" w:type="dxa"/>
                        <w:tcBorders>
                          <w:top w:val="single" w:sz="4" w:space="0" w:color="auto"/>
                          <w:left w:val="nil"/>
                          <w:bottom w:val="single" w:sz="8" w:space="0" w:color="auto"/>
                          <w:right w:val="single" w:sz="4" w:space="0" w:color="auto"/>
                        </w:tcBorders>
                        <w:shd w:val="clear" w:color="auto" w:fill="000000"/>
                        <w:noWrap/>
                        <w:vAlign w:val="bottom"/>
                        <w:hideMark/>
                      </w:tcPr>
                      <w:p w:rsidR="00A50F40" w:rsidRPr="001E2251" w:rsidRDefault="00A50F40" w:rsidP="00F34007">
                        <w:pPr>
                          <w:jc w:val="center"/>
                          <w:rPr>
                            <w:rFonts w:ascii="Calibri" w:hAnsi="Calibri"/>
                            <w:color w:val="FFFFFF"/>
                            <w:lang w:eastAsia="en-AU"/>
                          </w:rPr>
                        </w:pPr>
                        <w:r>
                          <w:rPr>
                            <w:rFonts w:ascii="Calibri" w:hAnsi="Calibri"/>
                            <w:color w:val="FFFFFF"/>
                            <w:lang w:eastAsia="en-AU"/>
                          </w:rPr>
                          <w:t>1249</w:t>
                        </w:r>
                      </w:p>
                    </w:tc>
                    <w:tc>
                      <w:tcPr>
                        <w:tcW w:w="830" w:type="dxa"/>
                        <w:tcBorders>
                          <w:top w:val="single" w:sz="4" w:space="0" w:color="auto"/>
                          <w:left w:val="nil"/>
                          <w:bottom w:val="single" w:sz="8" w:space="0" w:color="auto"/>
                          <w:right w:val="single" w:sz="4" w:space="0" w:color="auto"/>
                        </w:tcBorders>
                        <w:shd w:val="clear" w:color="auto" w:fill="000000"/>
                        <w:noWrap/>
                        <w:vAlign w:val="bottom"/>
                        <w:hideMark/>
                      </w:tcPr>
                      <w:p w:rsidR="00A50F40" w:rsidRPr="001E2251" w:rsidRDefault="00A50F40" w:rsidP="00F34007">
                        <w:pPr>
                          <w:jc w:val="right"/>
                          <w:rPr>
                            <w:rFonts w:ascii="Calibri" w:hAnsi="Calibri"/>
                            <w:color w:val="FFFFFF"/>
                            <w:lang w:eastAsia="en-AU"/>
                          </w:rPr>
                        </w:pPr>
                        <w:r>
                          <w:rPr>
                            <w:rFonts w:ascii="Calibri" w:hAnsi="Calibri"/>
                            <w:color w:val="FFFFFF"/>
                            <w:lang w:eastAsia="en-AU"/>
                          </w:rPr>
                          <w:t>100.00</w:t>
                        </w:r>
                      </w:p>
                    </w:tc>
                    <w:tc>
                      <w:tcPr>
                        <w:tcW w:w="941" w:type="dxa"/>
                        <w:tcBorders>
                          <w:top w:val="single" w:sz="4" w:space="0" w:color="auto"/>
                          <w:left w:val="nil"/>
                          <w:bottom w:val="single" w:sz="8" w:space="0" w:color="auto"/>
                          <w:right w:val="single" w:sz="4" w:space="0" w:color="auto"/>
                        </w:tcBorders>
                        <w:shd w:val="clear" w:color="auto" w:fill="000000"/>
                        <w:noWrap/>
                        <w:vAlign w:val="bottom"/>
                        <w:hideMark/>
                      </w:tcPr>
                      <w:p w:rsidR="00A50F40" w:rsidRPr="001E2251" w:rsidRDefault="00A50F40" w:rsidP="00F34007">
                        <w:pPr>
                          <w:jc w:val="right"/>
                          <w:rPr>
                            <w:rFonts w:ascii="Calibri" w:hAnsi="Calibri"/>
                            <w:color w:val="FFFFFF"/>
                            <w:lang w:eastAsia="en-AU"/>
                          </w:rPr>
                        </w:pPr>
                        <w:r>
                          <w:rPr>
                            <w:rFonts w:ascii="Calibri" w:hAnsi="Calibri"/>
                            <w:color w:val="FFFFFF"/>
                            <w:lang w:eastAsia="en-AU"/>
                          </w:rPr>
                          <w:t>133</w:t>
                        </w:r>
                      </w:p>
                    </w:tc>
                    <w:tc>
                      <w:tcPr>
                        <w:tcW w:w="830" w:type="dxa"/>
                        <w:tcBorders>
                          <w:top w:val="single" w:sz="4" w:space="0" w:color="auto"/>
                          <w:left w:val="nil"/>
                          <w:bottom w:val="single" w:sz="8" w:space="0" w:color="auto"/>
                          <w:right w:val="single" w:sz="8" w:space="0" w:color="auto"/>
                        </w:tcBorders>
                        <w:shd w:val="clear" w:color="auto" w:fill="000000"/>
                        <w:noWrap/>
                        <w:vAlign w:val="bottom"/>
                        <w:hideMark/>
                      </w:tcPr>
                      <w:p w:rsidR="00A50F40" w:rsidRPr="001E2251" w:rsidRDefault="00A50F40" w:rsidP="00F34007">
                        <w:pPr>
                          <w:jc w:val="right"/>
                          <w:rPr>
                            <w:rFonts w:ascii="Calibri" w:hAnsi="Calibri"/>
                            <w:color w:val="FFFFFF"/>
                            <w:lang w:eastAsia="en-AU"/>
                          </w:rPr>
                        </w:pPr>
                        <w:r>
                          <w:rPr>
                            <w:rFonts w:ascii="Calibri" w:hAnsi="Calibri"/>
                            <w:color w:val="FFFFFF"/>
                            <w:lang w:eastAsia="en-AU"/>
                          </w:rPr>
                          <w:t>100.00</w:t>
                        </w:r>
                      </w:p>
                    </w:tc>
                  </w:tr>
                </w:tbl>
                <w:p w:rsidR="00A50F40" w:rsidRPr="001E2251" w:rsidRDefault="00A50F40" w:rsidP="00756B53">
                  <w:pPr>
                    <w:spacing w:before="120" w:after="240"/>
                    <w:ind w:right="-45"/>
                    <w:rPr>
                      <w:rFonts w:ascii="Calibri" w:hAnsi="Calibri"/>
                      <w:b/>
                      <w:sz w:val="20"/>
                      <w:szCs w:val="20"/>
                    </w:rPr>
                  </w:pPr>
                </w:p>
              </w:txbxContent>
            </v:textbox>
          </v:shape>
        </w:pict>
      </w:r>
      <w:r w:rsidR="00756B53" w:rsidRPr="00E83DA2">
        <w:rPr>
          <w:rFonts w:ascii="Gill Sans MT" w:hAnsi="Gill Sans MT"/>
        </w:rPr>
        <w:t>Accessibility maps and tables for Mowbray were developed based on the street access. As a centrally located Mowbray site was likely to attract clients from the surrounding suburbs, analysis was expanded beyond the study area to include all dwellings within 2.5km. The results suggest that this would pick up more than 2600 dwellings, the majority between 800m-2.5km and with nearly 300 dwellings between 400 and 800m of the school. The expanded analysis also includes an extra 254 State housing dwellings, mostly in the 800m-2.5km zone.</w:t>
      </w:r>
    </w:p>
    <w:p w:rsidR="00756B53" w:rsidRPr="00E83DA2" w:rsidRDefault="008F0359" w:rsidP="005A4966">
      <w:pPr>
        <w:spacing w:after="240"/>
        <w:ind w:left="-851"/>
        <w:rPr>
          <w:rFonts w:ascii="Gill Sans MT" w:hAnsi="Gill Sans MT"/>
          <w:b/>
        </w:rPr>
        <w:sectPr w:rsidR="00756B53" w:rsidRPr="00E83DA2" w:rsidSect="00103702">
          <w:type w:val="continuous"/>
          <w:pgSz w:w="11906" w:h="16838"/>
          <w:pgMar w:top="1440" w:right="1797" w:bottom="709" w:left="1797" w:header="709" w:footer="544" w:gutter="0"/>
          <w:cols w:space="708"/>
          <w:titlePg/>
          <w:docGrid w:linePitch="360"/>
        </w:sectPr>
      </w:pPr>
      <w:r>
        <w:rPr>
          <w:rFonts w:ascii="Gill Sans MT" w:hAnsi="Gill Sans MT"/>
          <w:b/>
          <w:noProof/>
          <w:lang w:eastAsia="en-AU"/>
        </w:rPr>
        <w:pict>
          <v:shape id="_x0000_s1209" type="#_x0000_t202" style="position:absolute;left:0;text-align:left;margin-left:70.65pt;margin-top:227.9pt;width:261pt;height:23.4pt;z-index:251679232;mso-width-relative:margin;mso-height-relative:margin" filled="f" stroked="f">
            <v:textbox style="mso-next-textbox:#_x0000_s1209">
              <w:txbxContent>
                <w:p w:rsidR="00A50F40" w:rsidRPr="006E4391" w:rsidRDefault="00A50F40" w:rsidP="006E4391">
                  <w:pPr>
                    <w:rPr>
                      <w:rFonts w:ascii="Gill Sans MT" w:hAnsi="Gill Sans MT"/>
                      <w:b/>
                    </w:rPr>
                  </w:pPr>
                  <w:proofErr w:type="gramStart"/>
                  <w:r>
                    <w:rPr>
                      <w:rFonts w:ascii="Gill Sans MT" w:hAnsi="Gill Sans MT"/>
                      <w:b/>
                      <w:i/>
                    </w:rPr>
                    <w:t>Figure 21.</w:t>
                  </w:r>
                  <w:proofErr w:type="gramEnd"/>
                  <w:r>
                    <w:rPr>
                      <w:rFonts w:ascii="Gill Sans MT" w:hAnsi="Gill Sans MT"/>
                      <w:b/>
                    </w:rPr>
                    <w:t xml:space="preserve"> </w:t>
                  </w:r>
                  <w:proofErr w:type="gramStart"/>
                  <w:r>
                    <w:rPr>
                      <w:rFonts w:ascii="Gill Sans MT" w:hAnsi="Gill Sans MT"/>
                      <w:b/>
                    </w:rPr>
                    <w:t>Dwelling analysis.</w:t>
                  </w:r>
                  <w:proofErr w:type="gramEnd"/>
                </w:p>
              </w:txbxContent>
            </v:textbox>
          </v:shape>
        </w:pict>
      </w:r>
    </w:p>
    <w:p w:rsidR="00756B53" w:rsidRPr="00E83DA2" w:rsidRDefault="00756B53" w:rsidP="005A4966">
      <w:pPr>
        <w:spacing w:after="240"/>
        <w:ind w:left="-851"/>
        <w:rPr>
          <w:rFonts w:ascii="Gill Sans MT" w:hAnsi="Gill Sans MT"/>
          <w:b/>
        </w:rPr>
      </w:pPr>
    </w:p>
    <w:p w:rsidR="00756B53" w:rsidRPr="00E83DA2" w:rsidRDefault="008F0359" w:rsidP="005A4966">
      <w:pPr>
        <w:spacing w:after="240"/>
        <w:ind w:left="-993"/>
        <w:rPr>
          <w:rFonts w:ascii="Gill Sans MT" w:hAnsi="Gill Sans MT"/>
          <w:b/>
        </w:rPr>
      </w:pPr>
      <w:r>
        <w:rPr>
          <w:rFonts w:ascii="Gill Sans MT" w:hAnsi="Gill Sans MT"/>
          <w:b/>
          <w:noProof/>
          <w:lang w:eastAsia="en-AU"/>
        </w:rPr>
        <w:pict>
          <v:shape id="_x0000_s1204" type="#_x0000_t202" style="position:absolute;left:0;text-align:left;margin-left:-8.5pt;margin-top:442.9pt;width:499.35pt;height:32.7pt;z-index:251677184;mso-height-percent:200;mso-height-percent:200;mso-width-relative:margin;mso-height-relative:margin" filled="f" stroked="f">
            <v:textbox style="mso-fit-shape-to-text:t">
              <w:txbxContent>
                <w:p w:rsidR="00A50F40" w:rsidRDefault="00A50F40" w:rsidP="006E4391">
                  <w:pPr>
                    <w:spacing w:after="0"/>
                    <w:rPr>
                      <w:rFonts w:ascii="Gill Sans MT" w:hAnsi="Gill Sans MT"/>
                      <w:b/>
                    </w:rPr>
                  </w:pPr>
                  <w:proofErr w:type="gramStart"/>
                  <w:r>
                    <w:rPr>
                      <w:rFonts w:ascii="Gill Sans MT" w:hAnsi="Gill Sans MT"/>
                      <w:b/>
                      <w:i/>
                    </w:rPr>
                    <w:t>Figure 22</w:t>
                  </w:r>
                  <w:r w:rsidRPr="006E4391">
                    <w:rPr>
                      <w:rFonts w:ascii="Gill Sans MT" w:hAnsi="Gill Sans MT"/>
                      <w:b/>
                      <w:i/>
                    </w:rPr>
                    <w:t>.</w:t>
                  </w:r>
                  <w:proofErr w:type="gramEnd"/>
                  <w:r w:rsidRPr="006E4391">
                    <w:rPr>
                      <w:rFonts w:ascii="Gill Sans MT" w:hAnsi="Gill Sans MT"/>
                      <w:b/>
                    </w:rPr>
                    <w:t xml:space="preserve"> Map of Mowbray Heights Primary School and zoning considering </w:t>
                  </w:r>
                </w:p>
                <w:p w:rsidR="00A50F40" w:rsidRPr="006E4391" w:rsidRDefault="00A50F40" w:rsidP="006E4391">
                  <w:pPr>
                    <w:spacing w:after="0"/>
                    <w:rPr>
                      <w:rFonts w:ascii="Gill Sans MT" w:hAnsi="Gill Sans MT"/>
                      <w:b/>
                    </w:rPr>
                  </w:pPr>
                  <w:proofErr w:type="gramStart"/>
                  <w:r w:rsidRPr="006E4391">
                    <w:rPr>
                      <w:rFonts w:ascii="Gill Sans MT" w:hAnsi="Gill Sans MT"/>
                      <w:b/>
                    </w:rPr>
                    <w:t>accessibility</w:t>
                  </w:r>
                  <w:proofErr w:type="gramEnd"/>
                  <w:r w:rsidRPr="006E4391">
                    <w:rPr>
                      <w:rFonts w:ascii="Gill Sans MT" w:hAnsi="Gill Sans MT"/>
                      <w:b/>
                    </w:rPr>
                    <w:t>.</w:t>
                  </w:r>
                </w:p>
              </w:txbxContent>
            </v:textbox>
          </v:shape>
        </w:pict>
      </w:r>
      <w:r w:rsidR="00756B53" w:rsidRPr="00E83DA2">
        <w:rPr>
          <w:rFonts w:ascii="Gill Sans MT" w:hAnsi="Gill Sans MT"/>
          <w:b/>
          <w:noProof/>
          <w:lang w:eastAsia="en-AU"/>
        </w:rPr>
        <w:drawing>
          <wp:inline distT="0" distB="0" distL="0" distR="0">
            <wp:extent cx="6477000" cy="5638800"/>
            <wp:effectExtent l="19050" t="0" r="0" b="0"/>
            <wp:docPr id="81" name="Picture 6" descr="MowbrayHeightsPrimaryScho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wbrayHeightsPrimarySchool1"/>
                    <pic:cNvPicPr>
                      <a:picLocks noChangeAspect="1" noChangeArrowheads="1"/>
                    </pic:cNvPicPr>
                  </pic:nvPicPr>
                  <pic:blipFill>
                    <a:blip r:embed="rId22" cstate="print"/>
                    <a:srcRect/>
                    <a:stretch>
                      <a:fillRect/>
                    </a:stretch>
                  </pic:blipFill>
                  <pic:spPr bwMode="auto">
                    <a:xfrm>
                      <a:off x="0" y="0"/>
                      <a:ext cx="6477000" cy="5638800"/>
                    </a:xfrm>
                    <a:prstGeom prst="rect">
                      <a:avLst/>
                    </a:prstGeom>
                    <a:noFill/>
                    <a:ln w="9525">
                      <a:noFill/>
                      <a:miter lim="800000"/>
                      <a:headEnd/>
                      <a:tailEnd/>
                    </a:ln>
                  </pic:spPr>
                </pic:pic>
              </a:graphicData>
            </a:graphic>
          </wp:inline>
        </w:drawing>
      </w:r>
    </w:p>
    <w:p w:rsidR="00CB15F7" w:rsidRPr="00E83DA2" w:rsidRDefault="00CB15F7" w:rsidP="005039D5">
      <w:pPr>
        <w:pStyle w:val="CommentText"/>
        <w:widowControl w:val="0"/>
        <w:spacing w:after="240" w:line="276" w:lineRule="auto"/>
        <w:jc w:val="both"/>
        <w:rPr>
          <w:rFonts w:ascii="Gill Sans MT" w:hAnsi="Gill Sans MT"/>
          <w:b/>
          <w:color w:val="auto"/>
          <w:sz w:val="32"/>
          <w:szCs w:val="32"/>
        </w:rPr>
      </w:pPr>
    </w:p>
    <w:p w:rsidR="00756B53" w:rsidRPr="00E83DA2" w:rsidRDefault="00756B53" w:rsidP="007F3948">
      <w:pPr>
        <w:pStyle w:val="Heading2"/>
        <w:ind w:left="-284"/>
      </w:pPr>
      <w:r w:rsidRPr="00E83DA2">
        <w:t xml:space="preserve">Conclusions </w:t>
      </w:r>
    </w:p>
    <w:p w:rsidR="00756B53" w:rsidRPr="00E83DA2" w:rsidRDefault="00756B53" w:rsidP="007F3948">
      <w:pPr>
        <w:spacing w:after="240"/>
        <w:ind w:left="-284"/>
        <w:jc w:val="both"/>
        <w:rPr>
          <w:rFonts w:ascii="Gill Sans MT" w:hAnsi="Gill Sans MT"/>
        </w:rPr>
      </w:pPr>
      <w:r w:rsidRPr="00E83DA2">
        <w:rPr>
          <w:rFonts w:ascii="Gill Sans MT" w:hAnsi="Gill Sans MT"/>
        </w:rPr>
        <w:t>The study concluded:</w:t>
      </w:r>
    </w:p>
    <w:p w:rsidR="00756B53" w:rsidRPr="00E83DA2" w:rsidRDefault="00756B53" w:rsidP="007F3948">
      <w:pPr>
        <w:numPr>
          <w:ilvl w:val="0"/>
          <w:numId w:val="30"/>
        </w:numPr>
        <w:spacing w:after="0"/>
        <w:ind w:left="142"/>
        <w:jc w:val="both"/>
        <w:rPr>
          <w:rFonts w:ascii="Gill Sans MT" w:hAnsi="Gill Sans MT"/>
        </w:rPr>
      </w:pPr>
      <w:r w:rsidRPr="00E83DA2">
        <w:rPr>
          <w:rFonts w:ascii="Gill Sans MT" w:hAnsi="Gill Sans MT"/>
        </w:rPr>
        <w:t>Specific demographic and socio-economic analysis confirmed the study area as having a reasonable level of need for a Child and Family Centre.</w:t>
      </w:r>
    </w:p>
    <w:p w:rsidR="00756B53" w:rsidRPr="00E83DA2" w:rsidRDefault="00756B53" w:rsidP="007F3948">
      <w:pPr>
        <w:numPr>
          <w:ilvl w:val="0"/>
          <w:numId w:val="30"/>
        </w:numPr>
        <w:spacing w:after="0"/>
        <w:ind w:left="142"/>
        <w:jc w:val="both"/>
        <w:rPr>
          <w:rFonts w:ascii="Gill Sans MT" w:hAnsi="Gill Sans MT"/>
        </w:rPr>
      </w:pPr>
      <w:r w:rsidRPr="00E83DA2">
        <w:rPr>
          <w:rFonts w:ascii="Gill Sans MT" w:hAnsi="Gill Sans MT"/>
        </w:rPr>
        <w:t>Mowbray offers a wide range of services for local residents and the surrounding community, providing opportunities for multi-purpose trips.</w:t>
      </w:r>
    </w:p>
    <w:p w:rsidR="00756B53" w:rsidRPr="00E83DA2" w:rsidRDefault="00756B53" w:rsidP="007F3948">
      <w:pPr>
        <w:numPr>
          <w:ilvl w:val="0"/>
          <w:numId w:val="30"/>
        </w:numPr>
        <w:spacing w:after="0"/>
        <w:ind w:left="142"/>
        <w:jc w:val="both"/>
        <w:rPr>
          <w:rFonts w:ascii="Gill Sans MT" w:hAnsi="Gill Sans MT"/>
        </w:rPr>
      </w:pPr>
      <w:r w:rsidRPr="00E83DA2">
        <w:rPr>
          <w:rFonts w:ascii="Gill Sans MT" w:hAnsi="Gill Sans MT"/>
        </w:rPr>
        <w:t>Analysis suggests the Mowbray Heights Primary School is the most appropriate location within the study area.</w:t>
      </w:r>
    </w:p>
    <w:p w:rsidR="00756B53" w:rsidRPr="00E83DA2" w:rsidRDefault="00756B53" w:rsidP="00CB15F7">
      <w:pPr>
        <w:spacing w:after="0"/>
        <w:rPr>
          <w:rFonts w:ascii="Gill Sans MT" w:hAnsi="Gill Sans MT"/>
        </w:rPr>
      </w:pPr>
      <w:r w:rsidRPr="00E83DA2">
        <w:rPr>
          <w:rFonts w:ascii="Gill Sans MT" w:hAnsi="Gill Sans MT"/>
        </w:rPr>
        <w:br w:type="page"/>
      </w:r>
    </w:p>
    <w:p w:rsidR="008D5AE5" w:rsidRPr="00E83DA2" w:rsidRDefault="008D5AE5" w:rsidP="008D5AE5">
      <w:pPr>
        <w:pStyle w:val="Heading1"/>
        <w:rPr>
          <w:rFonts w:ascii="Gill Sans MT" w:hAnsi="Gill Sans MT"/>
        </w:rPr>
      </w:pPr>
      <w:bookmarkStart w:id="60" w:name="_Toc332115752"/>
      <w:bookmarkStart w:id="61" w:name="_Toc332115756"/>
      <w:r w:rsidRPr="00E83DA2">
        <w:rPr>
          <w:rFonts w:ascii="Gill Sans MT" w:hAnsi="Gill Sans MT"/>
        </w:rPr>
        <w:lastRenderedPageBreak/>
        <w:t>People - Integrated transport and land use planning</w:t>
      </w:r>
      <w:bookmarkEnd w:id="60"/>
    </w:p>
    <w:p w:rsidR="008D5AE5" w:rsidRPr="00D06681" w:rsidRDefault="008D5AE5" w:rsidP="008D5AE5">
      <w:pPr>
        <w:pStyle w:val="Heading2"/>
      </w:pPr>
      <w:bookmarkStart w:id="62" w:name="_Toc332033589"/>
      <w:bookmarkStart w:id="63" w:name="_Toc332114087"/>
      <w:bookmarkStart w:id="64" w:name="_Toc332115662"/>
      <w:bookmarkStart w:id="65" w:name="_Toc332115753"/>
      <w:r w:rsidRPr="00E83DA2">
        <w:t xml:space="preserve">Key </w:t>
      </w:r>
      <w:r w:rsidRPr="00D06681">
        <w:t>strategic issues</w:t>
      </w:r>
      <w:bookmarkEnd w:id="62"/>
      <w:bookmarkEnd w:id="63"/>
      <w:bookmarkEnd w:id="64"/>
      <w:bookmarkEnd w:id="65"/>
    </w:p>
    <w:p w:rsidR="008D5AE5" w:rsidRPr="00D06681" w:rsidRDefault="008D5AE5" w:rsidP="008D5AE5">
      <w:pPr>
        <w:pStyle w:val="ListParagraph"/>
        <w:numPr>
          <w:ilvl w:val="0"/>
          <w:numId w:val="27"/>
        </w:numPr>
        <w:rPr>
          <w:rFonts w:ascii="Gill Sans MT" w:hAnsi="Gill Sans MT"/>
        </w:rPr>
      </w:pPr>
      <w:r w:rsidRPr="00D06681">
        <w:rPr>
          <w:rFonts w:ascii="Gill Sans MT" w:hAnsi="Gill Sans MT"/>
        </w:rPr>
        <w:t>Maximising the use of the region’s existing transport infrastructure through efficient land use planning</w:t>
      </w:r>
      <w:r w:rsidRPr="00D06681" w:rsidDel="004910AA">
        <w:rPr>
          <w:rFonts w:ascii="Gill Sans MT" w:hAnsi="Gill Sans MT"/>
        </w:rPr>
        <w:t xml:space="preserve"> </w:t>
      </w:r>
    </w:p>
    <w:p w:rsidR="008D5AE5" w:rsidRPr="00E83DA2" w:rsidRDefault="008D5AE5" w:rsidP="008D5AE5">
      <w:pPr>
        <w:pStyle w:val="ListParagraph"/>
        <w:numPr>
          <w:ilvl w:val="0"/>
          <w:numId w:val="27"/>
        </w:numPr>
        <w:rPr>
          <w:rFonts w:ascii="Gill Sans MT" w:hAnsi="Gill Sans MT"/>
        </w:rPr>
      </w:pPr>
      <w:r w:rsidRPr="00D06681">
        <w:rPr>
          <w:rFonts w:ascii="Gill Sans MT" w:hAnsi="Gill Sans MT"/>
        </w:rPr>
        <w:t>Dispersed urban areas, relatively low density populations and significant opportunities for urban</w:t>
      </w:r>
      <w:r w:rsidRPr="00E83DA2">
        <w:rPr>
          <w:rFonts w:ascii="Gill Sans MT" w:hAnsi="Gill Sans MT"/>
        </w:rPr>
        <w:t xml:space="preserve"> consolidation</w:t>
      </w:r>
    </w:p>
    <w:p w:rsidR="008D5AE5" w:rsidRPr="00E83DA2" w:rsidRDefault="008D5AE5" w:rsidP="008D5AE5">
      <w:pPr>
        <w:pStyle w:val="ListParagraph"/>
        <w:numPr>
          <w:ilvl w:val="0"/>
          <w:numId w:val="27"/>
        </w:numPr>
        <w:rPr>
          <w:rFonts w:ascii="Gill Sans MT" w:hAnsi="Gill Sans MT"/>
        </w:rPr>
      </w:pPr>
      <w:r w:rsidRPr="00E83DA2">
        <w:rPr>
          <w:rFonts w:ascii="Gill Sans MT" w:hAnsi="Gill Sans MT"/>
        </w:rPr>
        <w:t>Ageing population and decreasing household sizes</w:t>
      </w:r>
    </w:p>
    <w:p w:rsidR="008D5AE5" w:rsidRPr="00E83DA2" w:rsidRDefault="008D5AE5" w:rsidP="008D5AE5">
      <w:pPr>
        <w:pStyle w:val="ListParagraph"/>
        <w:numPr>
          <w:ilvl w:val="0"/>
          <w:numId w:val="27"/>
        </w:numPr>
        <w:rPr>
          <w:rFonts w:ascii="Gill Sans MT" w:hAnsi="Gill Sans MT"/>
        </w:rPr>
      </w:pPr>
      <w:r w:rsidRPr="00E83DA2">
        <w:rPr>
          <w:rFonts w:ascii="Gill Sans MT" w:hAnsi="Gill Sans MT"/>
        </w:rPr>
        <w:t>Planning reform – further integration of land use and transport planning</w:t>
      </w:r>
    </w:p>
    <w:p w:rsidR="008D5AE5" w:rsidRPr="00E83DA2" w:rsidRDefault="008D5AE5" w:rsidP="008D5AE5">
      <w:pPr>
        <w:pStyle w:val="ListParagraph"/>
        <w:numPr>
          <w:ilvl w:val="0"/>
          <w:numId w:val="27"/>
        </w:numPr>
        <w:rPr>
          <w:rFonts w:ascii="Gill Sans MT" w:hAnsi="Gill Sans MT"/>
        </w:rPr>
      </w:pPr>
      <w:r>
        <w:rPr>
          <w:rFonts w:ascii="Gill Sans MT" w:hAnsi="Gill Sans MT"/>
        </w:rPr>
        <w:t>Future changes in industry structure across the region, changing demand across the region’s transport system</w:t>
      </w:r>
    </w:p>
    <w:p w:rsidR="008D5AE5" w:rsidRPr="00E83DA2" w:rsidRDefault="008D5AE5" w:rsidP="008D5AE5">
      <w:pPr>
        <w:pStyle w:val="Heading2"/>
      </w:pPr>
      <w:bookmarkStart w:id="66" w:name="_Toc332033590"/>
      <w:bookmarkStart w:id="67" w:name="_Toc332114089"/>
      <w:bookmarkStart w:id="68" w:name="_Toc332115664"/>
      <w:bookmarkStart w:id="69" w:name="_Toc332115755"/>
      <w:r w:rsidRPr="00E83DA2">
        <w:t>Background</w:t>
      </w:r>
      <w:bookmarkEnd w:id="66"/>
      <w:bookmarkEnd w:id="67"/>
      <w:bookmarkEnd w:id="68"/>
      <w:bookmarkEnd w:id="69"/>
    </w:p>
    <w:p w:rsidR="008D5AE5" w:rsidRPr="00E83DA2" w:rsidRDefault="008D5AE5" w:rsidP="008D5AE5">
      <w:pPr>
        <w:rPr>
          <w:rFonts w:ascii="Gill Sans MT" w:hAnsi="Gill Sans MT"/>
        </w:rPr>
      </w:pPr>
      <w:r w:rsidRPr="00E83DA2">
        <w:rPr>
          <w:rFonts w:ascii="Gill Sans MT" w:hAnsi="Gill Sans MT"/>
        </w:rPr>
        <w:t xml:space="preserve">People use the transport </w:t>
      </w:r>
      <w:r>
        <w:rPr>
          <w:rFonts w:ascii="Gill Sans MT" w:hAnsi="Gill Sans MT"/>
        </w:rPr>
        <w:t>system</w:t>
      </w:r>
      <w:r w:rsidRPr="00E83DA2">
        <w:rPr>
          <w:rFonts w:ascii="Gill Sans MT" w:hAnsi="Gill Sans MT"/>
        </w:rPr>
        <w:t xml:space="preserve"> </w:t>
      </w:r>
      <w:r>
        <w:rPr>
          <w:rFonts w:ascii="Gill Sans MT" w:hAnsi="Gill Sans MT"/>
        </w:rPr>
        <w:t xml:space="preserve">to access the activities that form part of their daily </w:t>
      </w:r>
      <w:r w:rsidRPr="00E83DA2">
        <w:rPr>
          <w:rFonts w:ascii="Gill Sans MT" w:hAnsi="Gill Sans MT"/>
        </w:rPr>
        <w:t>lives</w:t>
      </w:r>
      <w:r>
        <w:rPr>
          <w:rFonts w:ascii="Gill Sans MT" w:hAnsi="Gill Sans MT"/>
        </w:rPr>
        <w:t>.  T</w:t>
      </w:r>
      <w:r w:rsidRPr="00E83DA2">
        <w:rPr>
          <w:rFonts w:ascii="Gill Sans MT" w:hAnsi="Gill Sans MT"/>
        </w:rPr>
        <w:t xml:space="preserve">he location of </w:t>
      </w:r>
      <w:r>
        <w:rPr>
          <w:rFonts w:ascii="Gill Sans MT" w:hAnsi="Gill Sans MT"/>
        </w:rPr>
        <w:t xml:space="preserve">residential areas in relation to these activities, such as </w:t>
      </w:r>
      <w:r w:rsidRPr="00E83DA2">
        <w:rPr>
          <w:rFonts w:ascii="Gill Sans MT" w:hAnsi="Gill Sans MT"/>
        </w:rPr>
        <w:t>schools, shops, workplaces</w:t>
      </w:r>
      <w:r>
        <w:rPr>
          <w:rFonts w:ascii="Gill Sans MT" w:hAnsi="Gill Sans MT"/>
        </w:rPr>
        <w:t xml:space="preserve"> and </w:t>
      </w:r>
      <w:r w:rsidRPr="00E83DA2">
        <w:rPr>
          <w:rFonts w:ascii="Gill Sans MT" w:hAnsi="Gill Sans MT"/>
        </w:rPr>
        <w:t xml:space="preserve">medical </w:t>
      </w:r>
      <w:r>
        <w:rPr>
          <w:rFonts w:ascii="Gill Sans MT" w:hAnsi="Gill Sans MT"/>
        </w:rPr>
        <w:t xml:space="preserve">services, </w:t>
      </w:r>
      <w:r w:rsidRPr="00E83DA2">
        <w:rPr>
          <w:rFonts w:ascii="Gill Sans MT" w:hAnsi="Gill Sans MT"/>
        </w:rPr>
        <w:t xml:space="preserve">has a major impact on how people use the network – the mode of transport they choose, the distances they travel, and the time it takes them to make their journey.  Land use planning </w:t>
      </w:r>
      <w:r>
        <w:rPr>
          <w:rFonts w:ascii="Gill Sans MT" w:hAnsi="Gill Sans MT"/>
        </w:rPr>
        <w:t>is a key influence on the location of both residential areas and activity centres.</w:t>
      </w:r>
    </w:p>
    <w:p w:rsidR="008D5AE5" w:rsidRDefault="008D5AE5" w:rsidP="008D5AE5">
      <w:pPr>
        <w:rPr>
          <w:rFonts w:ascii="Gill Sans MT" w:hAnsi="Gill Sans MT"/>
        </w:rPr>
      </w:pPr>
      <w:r>
        <w:rPr>
          <w:rFonts w:ascii="Gill Sans MT" w:hAnsi="Gill Sans MT"/>
        </w:rPr>
        <w:t xml:space="preserve">Some settlement patterns can lead to outcomes that are suboptimal for the region’s transport system.  For example, reliance on </w:t>
      </w:r>
      <w:r w:rsidRPr="00E83DA2">
        <w:rPr>
          <w:rFonts w:ascii="Gill Sans MT" w:hAnsi="Gill Sans MT"/>
        </w:rPr>
        <w:t xml:space="preserve">large </w:t>
      </w:r>
      <w:proofErr w:type="spellStart"/>
      <w:proofErr w:type="gramStart"/>
      <w:r w:rsidRPr="00E83DA2">
        <w:rPr>
          <w:rFonts w:ascii="Gill Sans MT" w:hAnsi="Gill Sans MT"/>
        </w:rPr>
        <w:t>greenfield</w:t>
      </w:r>
      <w:proofErr w:type="spellEnd"/>
      <w:proofErr w:type="gramEnd"/>
      <w:r w:rsidRPr="00E83DA2">
        <w:rPr>
          <w:rFonts w:ascii="Gill Sans MT" w:hAnsi="Gill Sans MT"/>
        </w:rPr>
        <w:t xml:space="preserve"> housing </w:t>
      </w:r>
      <w:r>
        <w:rPr>
          <w:rFonts w:ascii="Gill Sans MT" w:hAnsi="Gill Sans MT"/>
        </w:rPr>
        <w:t xml:space="preserve">estates on the edge of major settlements, or significant expansion of low </w:t>
      </w:r>
      <w:r w:rsidR="00265448">
        <w:rPr>
          <w:rFonts w:ascii="Gill Sans MT" w:hAnsi="Gill Sans MT"/>
        </w:rPr>
        <w:t xml:space="preserve">density living in rural areas, </w:t>
      </w:r>
      <w:r>
        <w:rPr>
          <w:rFonts w:ascii="Gill Sans MT" w:hAnsi="Gill Sans MT"/>
        </w:rPr>
        <w:t xml:space="preserve">can </w:t>
      </w:r>
      <w:r w:rsidRPr="00E83DA2">
        <w:rPr>
          <w:rFonts w:ascii="Gill Sans MT" w:hAnsi="Gill Sans MT"/>
        </w:rPr>
        <w:t>lead to high car dependency</w:t>
      </w:r>
      <w:r>
        <w:rPr>
          <w:rFonts w:ascii="Gill Sans MT" w:hAnsi="Gill Sans MT"/>
        </w:rPr>
        <w:t xml:space="preserve">.  </w:t>
      </w:r>
      <w:r w:rsidRPr="00E83DA2">
        <w:rPr>
          <w:rFonts w:ascii="Gill Sans MT" w:hAnsi="Gill Sans MT"/>
        </w:rPr>
        <w:t>Similarly, having the car as the dominant mode of transport encourages development which can be accessed by cars rather than public transport.</w:t>
      </w:r>
    </w:p>
    <w:p w:rsidR="008D5AE5" w:rsidRPr="00E83DA2" w:rsidRDefault="008D5AE5" w:rsidP="008D5AE5">
      <w:pPr>
        <w:rPr>
          <w:rFonts w:ascii="Gill Sans MT" w:hAnsi="Gill Sans MT"/>
        </w:rPr>
      </w:pPr>
      <w:r>
        <w:rPr>
          <w:rFonts w:ascii="Gill Sans MT" w:hAnsi="Gill Sans MT"/>
        </w:rPr>
        <w:t>On the other hand,</w:t>
      </w:r>
      <w:r w:rsidRPr="00E83DA2">
        <w:rPr>
          <w:rFonts w:ascii="Gill Sans MT" w:hAnsi="Gill Sans MT"/>
        </w:rPr>
        <w:t xml:space="preserve"> </w:t>
      </w:r>
      <w:r>
        <w:rPr>
          <w:rFonts w:ascii="Gill Sans MT" w:hAnsi="Gill Sans MT"/>
        </w:rPr>
        <w:t xml:space="preserve">increased density in inner urban areas, or development located </w:t>
      </w:r>
      <w:r w:rsidRPr="00E83DA2">
        <w:rPr>
          <w:rFonts w:ascii="Gill Sans MT" w:hAnsi="Gill Sans MT"/>
        </w:rPr>
        <w:t>close to existing housing and public transport</w:t>
      </w:r>
      <w:r>
        <w:rPr>
          <w:rFonts w:ascii="Gill Sans MT" w:hAnsi="Gill Sans MT"/>
        </w:rPr>
        <w:t>,</w:t>
      </w:r>
      <w:r w:rsidRPr="00E83DA2">
        <w:rPr>
          <w:rFonts w:ascii="Gill Sans MT" w:hAnsi="Gill Sans MT"/>
        </w:rPr>
        <w:t xml:space="preserve"> provide </w:t>
      </w:r>
      <w:r>
        <w:rPr>
          <w:rFonts w:ascii="Gill Sans MT" w:hAnsi="Gill Sans MT"/>
        </w:rPr>
        <w:t xml:space="preserve">people with a wider range of </w:t>
      </w:r>
      <w:r w:rsidRPr="00E83DA2">
        <w:rPr>
          <w:rFonts w:ascii="Gill Sans MT" w:hAnsi="Gill Sans MT"/>
        </w:rPr>
        <w:t>transport options</w:t>
      </w:r>
      <w:r>
        <w:rPr>
          <w:rFonts w:ascii="Gill Sans MT" w:hAnsi="Gill Sans MT"/>
        </w:rPr>
        <w:t xml:space="preserve"> to reach their daily activities</w:t>
      </w:r>
      <w:r w:rsidRPr="00E83DA2">
        <w:rPr>
          <w:rFonts w:ascii="Gill Sans MT" w:hAnsi="Gill Sans MT"/>
        </w:rPr>
        <w:t xml:space="preserve">.  </w:t>
      </w:r>
    </w:p>
    <w:p w:rsidR="008D5AE5" w:rsidRDefault="008D5AE5" w:rsidP="008D5AE5">
      <w:pPr>
        <w:rPr>
          <w:rFonts w:ascii="Gill Sans MT" w:hAnsi="Gill Sans MT"/>
        </w:rPr>
      </w:pPr>
      <w:r>
        <w:rPr>
          <w:rFonts w:ascii="Gill Sans MT" w:hAnsi="Gill Sans MT"/>
        </w:rPr>
        <w:t xml:space="preserve">Access to activities for all people, not just those with a car, is a key element of creating liveable urban areas.  This is often referred to as accessibility, the ability to reach the places we need to go, by a range of transport modes, within a reasonable time and cost.    </w:t>
      </w:r>
      <w:r w:rsidRPr="00E83DA2">
        <w:rPr>
          <w:rFonts w:ascii="Gill Sans MT" w:hAnsi="Gill Sans MT"/>
        </w:rPr>
        <w:t xml:space="preserve">Accessibility can be improved by changing land use and development patterns.  </w:t>
      </w:r>
    </w:p>
    <w:p w:rsidR="008D5AE5" w:rsidRPr="00E83DA2" w:rsidRDefault="008D5AE5" w:rsidP="008D5AE5">
      <w:pPr>
        <w:rPr>
          <w:rFonts w:ascii="Gill Sans MT" w:hAnsi="Gill Sans MT"/>
        </w:rPr>
      </w:pPr>
      <w:r w:rsidRPr="00E83DA2">
        <w:rPr>
          <w:rFonts w:ascii="Gill Sans MT" w:hAnsi="Gill Sans MT"/>
        </w:rPr>
        <w:t xml:space="preserve">Better integration between the </w:t>
      </w:r>
      <w:proofErr w:type="gramStart"/>
      <w:r w:rsidRPr="00E83DA2">
        <w:rPr>
          <w:rFonts w:ascii="Gill Sans MT" w:hAnsi="Gill Sans MT"/>
        </w:rPr>
        <w:t>location</w:t>
      </w:r>
      <w:proofErr w:type="gramEnd"/>
      <w:r w:rsidRPr="00E83DA2">
        <w:rPr>
          <w:rFonts w:ascii="Gill Sans MT" w:hAnsi="Gill Sans MT"/>
        </w:rPr>
        <w:t xml:space="preserve"> of particular land uses in relation to the transport system can help to improve accessibility by increasing choices in transport modes and reducing travel demand. </w:t>
      </w:r>
    </w:p>
    <w:p w:rsidR="008D5AE5" w:rsidRPr="00E83DA2" w:rsidRDefault="008D5AE5" w:rsidP="008D5AE5">
      <w:pPr>
        <w:rPr>
          <w:rFonts w:ascii="Gill Sans MT" w:hAnsi="Gill Sans MT"/>
        </w:rPr>
      </w:pPr>
      <w:r>
        <w:rPr>
          <w:rFonts w:ascii="Gill Sans MT" w:hAnsi="Gill Sans MT"/>
        </w:rPr>
        <w:t>Due to the influence of land use and transport on each other, i</w:t>
      </w:r>
      <w:r w:rsidRPr="00E83DA2">
        <w:rPr>
          <w:rFonts w:ascii="Gill Sans MT" w:hAnsi="Gill Sans MT"/>
        </w:rPr>
        <w:t xml:space="preserve">ntegration between transport and land use planning </w:t>
      </w:r>
      <w:r>
        <w:rPr>
          <w:rFonts w:ascii="Gill Sans MT" w:hAnsi="Gill Sans MT"/>
        </w:rPr>
        <w:t>is important.  Key actions to better integrate transport and land use planning are</w:t>
      </w:r>
      <w:r w:rsidRPr="00E83DA2">
        <w:rPr>
          <w:rFonts w:ascii="Gill Sans MT" w:hAnsi="Gill Sans MT"/>
        </w:rPr>
        <w:t>:</w:t>
      </w:r>
    </w:p>
    <w:p w:rsidR="008D5AE5" w:rsidRPr="00E83DA2" w:rsidRDefault="008D5AE5" w:rsidP="008D5AE5">
      <w:pPr>
        <w:pStyle w:val="ListParagraph"/>
        <w:numPr>
          <w:ilvl w:val="0"/>
          <w:numId w:val="32"/>
        </w:numPr>
        <w:rPr>
          <w:rFonts w:ascii="Gill Sans MT" w:hAnsi="Gill Sans MT"/>
        </w:rPr>
      </w:pPr>
      <w:r w:rsidRPr="00E83DA2">
        <w:rPr>
          <w:rFonts w:ascii="Gill Sans MT" w:hAnsi="Gill Sans MT"/>
        </w:rPr>
        <w:lastRenderedPageBreak/>
        <w:t xml:space="preserve">Ensuring new residential development is </w:t>
      </w:r>
      <w:r>
        <w:rPr>
          <w:rFonts w:ascii="Gill Sans MT" w:hAnsi="Gill Sans MT"/>
        </w:rPr>
        <w:t xml:space="preserve">near </w:t>
      </w:r>
      <w:r w:rsidRPr="00E83DA2">
        <w:rPr>
          <w:rFonts w:ascii="Gill Sans MT" w:hAnsi="Gill Sans MT"/>
        </w:rPr>
        <w:t>proposed and existing transport networks including public transport, walking and cycling</w:t>
      </w:r>
    </w:p>
    <w:p w:rsidR="008D5AE5" w:rsidRPr="00E83DA2" w:rsidRDefault="008D5AE5" w:rsidP="008D5AE5">
      <w:pPr>
        <w:pStyle w:val="ListParagraph"/>
        <w:numPr>
          <w:ilvl w:val="0"/>
          <w:numId w:val="32"/>
        </w:numPr>
        <w:rPr>
          <w:rFonts w:ascii="Gill Sans MT" w:hAnsi="Gill Sans MT"/>
        </w:rPr>
      </w:pPr>
      <w:r w:rsidRPr="00E83DA2">
        <w:rPr>
          <w:rFonts w:ascii="Gill Sans MT" w:hAnsi="Gill Sans MT"/>
        </w:rPr>
        <w:t xml:space="preserve">Improving public transport, walking and cycling </w:t>
      </w:r>
      <w:r>
        <w:rPr>
          <w:rFonts w:ascii="Gill Sans MT" w:hAnsi="Gill Sans MT"/>
        </w:rPr>
        <w:t>linkages to</w:t>
      </w:r>
      <w:r w:rsidRPr="00E83DA2">
        <w:rPr>
          <w:rFonts w:ascii="Gill Sans MT" w:hAnsi="Gill Sans MT"/>
        </w:rPr>
        <w:t xml:space="preserve"> existing and planned development</w:t>
      </w:r>
    </w:p>
    <w:p w:rsidR="008D5AE5" w:rsidRPr="00E83DA2" w:rsidRDefault="008D5AE5" w:rsidP="008D5AE5">
      <w:pPr>
        <w:pStyle w:val="ListParagraph"/>
        <w:numPr>
          <w:ilvl w:val="0"/>
          <w:numId w:val="32"/>
        </w:numPr>
        <w:rPr>
          <w:rFonts w:ascii="Gill Sans MT" w:hAnsi="Gill Sans MT"/>
        </w:rPr>
      </w:pPr>
      <w:r w:rsidRPr="00E83DA2">
        <w:rPr>
          <w:rFonts w:ascii="Gill Sans MT" w:hAnsi="Gill Sans MT"/>
        </w:rPr>
        <w:t xml:space="preserve">Encouraging activity-intensive, transport-oriented development, including </w:t>
      </w:r>
      <w:r>
        <w:rPr>
          <w:rFonts w:ascii="Gill Sans MT" w:hAnsi="Gill Sans MT"/>
        </w:rPr>
        <w:t xml:space="preserve">key activity centres (e.g. </w:t>
      </w:r>
      <w:r w:rsidRPr="00E83DA2">
        <w:rPr>
          <w:rFonts w:ascii="Gill Sans MT" w:hAnsi="Gill Sans MT"/>
        </w:rPr>
        <w:t>shopping centres, schools and health care facilities</w:t>
      </w:r>
      <w:r>
        <w:rPr>
          <w:rFonts w:ascii="Gill Sans MT" w:hAnsi="Gill Sans MT"/>
        </w:rPr>
        <w:t>)</w:t>
      </w:r>
      <w:r w:rsidRPr="00E83DA2">
        <w:rPr>
          <w:rFonts w:ascii="Gill Sans MT" w:hAnsi="Gill Sans MT"/>
        </w:rPr>
        <w:t xml:space="preserve"> in locations that are accessible by walking, cycling and public transport from high population areas</w:t>
      </w:r>
    </w:p>
    <w:p w:rsidR="008D5AE5" w:rsidRPr="00E83DA2" w:rsidRDefault="008D5AE5" w:rsidP="008D5AE5">
      <w:pPr>
        <w:pStyle w:val="ListParagraph"/>
        <w:numPr>
          <w:ilvl w:val="0"/>
          <w:numId w:val="32"/>
        </w:numPr>
        <w:rPr>
          <w:rFonts w:ascii="Gill Sans MT" w:hAnsi="Gill Sans MT"/>
        </w:rPr>
      </w:pPr>
      <w:r w:rsidRPr="00E83DA2">
        <w:rPr>
          <w:rFonts w:ascii="Gill Sans MT" w:hAnsi="Gill Sans MT"/>
        </w:rPr>
        <w:t xml:space="preserve">Ensuring existing and planned transport routes accommodate </w:t>
      </w:r>
      <w:r>
        <w:rPr>
          <w:rFonts w:ascii="Gill Sans MT" w:hAnsi="Gill Sans MT"/>
        </w:rPr>
        <w:t>all</w:t>
      </w:r>
      <w:r w:rsidRPr="00E83DA2">
        <w:rPr>
          <w:rFonts w:ascii="Gill Sans MT" w:hAnsi="Gill Sans MT"/>
        </w:rPr>
        <w:t xml:space="preserve"> transport modes</w:t>
      </w:r>
      <w:r>
        <w:rPr>
          <w:rFonts w:ascii="Gill Sans MT" w:hAnsi="Gill Sans MT"/>
        </w:rPr>
        <w:t>, including cars, buses, pedestrians and cyclists</w:t>
      </w:r>
    </w:p>
    <w:p w:rsidR="008D5AE5" w:rsidRPr="00E83DA2" w:rsidRDefault="008D5AE5" w:rsidP="008D5AE5">
      <w:pPr>
        <w:rPr>
          <w:rFonts w:ascii="Gill Sans MT" w:hAnsi="Gill Sans MT"/>
        </w:rPr>
      </w:pPr>
      <w:r w:rsidRPr="00E83DA2">
        <w:rPr>
          <w:rFonts w:ascii="Gill Sans MT" w:hAnsi="Gill Sans MT"/>
        </w:rPr>
        <w:t>Integrated land use and transport planning operates at a number of different levels:</w:t>
      </w:r>
    </w:p>
    <w:p w:rsidR="008D5AE5" w:rsidRPr="00E83DA2" w:rsidRDefault="008F0359" w:rsidP="008D5AE5">
      <w:pPr>
        <w:ind w:left="-567"/>
        <w:rPr>
          <w:rFonts w:ascii="Gill Sans MT" w:hAnsi="Gill Sans MT"/>
        </w:rPr>
      </w:pPr>
      <w:r>
        <w:rPr>
          <w:rFonts w:ascii="Gill Sans MT" w:hAnsi="Gill Sans MT"/>
          <w:noProof/>
          <w:lang w:eastAsia="en-AU"/>
        </w:rPr>
        <w:pict>
          <v:roundrect id="_x0000_s1223" style="position:absolute;left:0;text-align:left;margin-left:-28.25pt;margin-top:9.45pt;width:468.75pt;height:90.35pt;z-index:251693568" arcsize="10923f" fillcolor="#c0504d [3205]" strokecolor="#f2f2f2 [3041]" strokeweight="3pt">
            <v:shadow on="t" type="perspective" color="#622423 [1605]" opacity=".5" offset="1pt" offset2="-1pt"/>
            <v:textbox style="mso-next-textbox:#_x0000_s1223">
              <w:txbxContent>
                <w:p w:rsidR="00A50F40" w:rsidRPr="00F91F57" w:rsidRDefault="00A50F40" w:rsidP="008D5AE5">
                  <w:pPr>
                    <w:ind w:left="2160" w:hanging="2160"/>
                    <w:rPr>
                      <w:b/>
                    </w:rPr>
                  </w:pPr>
                  <w:r w:rsidRPr="00F91F57">
                    <w:rPr>
                      <w:b/>
                      <w:sz w:val="28"/>
                      <w:szCs w:val="28"/>
                    </w:rPr>
                    <w:t>State/regional</w:t>
                  </w:r>
                  <w:r>
                    <w:tab/>
                  </w:r>
                  <w:r w:rsidRPr="00F91F57">
                    <w:rPr>
                      <w:b/>
                    </w:rPr>
                    <w:t>Protection of ports, airports and industrial areas from encroachment by other activities which might compromise their function</w:t>
                  </w:r>
                </w:p>
                <w:p w:rsidR="00A50F40" w:rsidRPr="00F91F57" w:rsidRDefault="00A50F40" w:rsidP="008D5AE5">
                  <w:pPr>
                    <w:ind w:left="2160"/>
                    <w:rPr>
                      <w:b/>
                    </w:rPr>
                  </w:pPr>
                  <w:r w:rsidRPr="00F91F57">
                    <w:rPr>
                      <w:b/>
                    </w:rPr>
                    <w:t>Promotion of higher density residential and commercial development in areas that are supported by public transport</w:t>
                  </w:r>
                  <w:r>
                    <w:rPr>
                      <w:b/>
                    </w:rPr>
                    <w:t xml:space="preserve"> and have services nearby</w:t>
                  </w:r>
                </w:p>
              </w:txbxContent>
            </v:textbox>
          </v:roundrect>
        </w:pict>
      </w:r>
    </w:p>
    <w:p w:rsidR="008D5AE5" w:rsidRPr="00E83DA2" w:rsidRDefault="008D5AE5" w:rsidP="008D5AE5">
      <w:pPr>
        <w:ind w:left="-709"/>
        <w:rPr>
          <w:rFonts w:ascii="Gill Sans MT" w:hAnsi="Gill Sans MT"/>
        </w:rPr>
      </w:pPr>
    </w:p>
    <w:p w:rsidR="008D5AE5" w:rsidRPr="00E83DA2" w:rsidRDefault="008D5AE5" w:rsidP="008D5AE5">
      <w:pPr>
        <w:ind w:left="-567"/>
        <w:rPr>
          <w:rFonts w:ascii="Gill Sans MT" w:hAnsi="Gill Sans MT"/>
        </w:rPr>
      </w:pPr>
    </w:p>
    <w:p w:rsidR="008D5AE5" w:rsidRPr="00E83DA2" w:rsidRDefault="008D5AE5" w:rsidP="008D5AE5">
      <w:pPr>
        <w:ind w:left="-567"/>
        <w:rPr>
          <w:rFonts w:ascii="Gill Sans MT" w:hAnsi="Gill Sans MT"/>
        </w:rPr>
      </w:pPr>
    </w:p>
    <w:p w:rsidR="008D5AE5" w:rsidRPr="00E83DA2" w:rsidRDefault="008F0359" w:rsidP="008D5AE5">
      <w:pPr>
        <w:ind w:left="-567"/>
        <w:rPr>
          <w:rFonts w:ascii="Gill Sans MT" w:hAnsi="Gill Sans MT"/>
        </w:rPr>
      </w:pPr>
      <w:r>
        <w:rPr>
          <w:rFonts w:ascii="Gill Sans MT" w:hAnsi="Gill Sans MT"/>
          <w:noProof/>
          <w:lang w:eastAsia="en-AU"/>
        </w:rPr>
        <w:pict>
          <v:roundrect id="_x0000_s1224" style="position:absolute;left:0;text-align:left;margin-left:-28.25pt;margin-top:14.55pt;width:465pt;height:138.75pt;z-index:251694592" arcsize="10923f" fillcolor="#4f81bd [3204]" strokecolor="#f2f2f2 [3041]" strokeweight="3pt">
            <v:shadow on="t" type="perspective" color="#243f60 [1604]" opacity=".5" offset="1pt" offset2="-1pt"/>
            <v:textbox style="mso-next-textbox:#_x0000_s1224">
              <w:txbxContent>
                <w:p w:rsidR="00A50F40" w:rsidRPr="00F91F57" w:rsidRDefault="00A50F40" w:rsidP="008D5AE5">
                  <w:pPr>
                    <w:ind w:left="2160" w:hanging="2160"/>
                    <w:rPr>
                      <w:b/>
                    </w:rPr>
                  </w:pPr>
                  <w:r w:rsidRPr="00F91F57">
                    <w:rPr>
                      <w:b/>
                      <w:sz w:val="28"/>
                      <w:szCs w:val="28"/>
                    </w:rPr>
                    <w:t>Towns/local</w:t>
                  </w:r>
                  <w:r>
                    <w:tab/>
                  </w:r>
                  <w:proofErr w:type="gramStart"/>
                  <w:r w:rsidRPr="00F91F57">
                    <w:rPr>
                      <w:b/>
                    </w:rPr>
                    <w:t>Planning</w:t>
                  </w:r>
                  <w:proofErr w:type="gramEnd"/>
                  <w:r w:rsidRPr="00F91F57">
                    <w:rPr>
                      <w:b/>
                    </w:rPr>
                    <w:t xml:space="preserve"> for high traffic-generating industrial activities in ways that maximise access to key arterial roads</w:t>
                  </w:r>
                </w:p>
                <w:p w:rsidR="00A50F40" w:rsidRDefault="00A50F40" w:rsidP="008D5AE5">
                  <w:pPr>
                    <w:ind w:left="2160"/>
                    <w:rPr>
                      <w:b/>
                    </w:rPr>
                  </w:pPr>
                  <w:r w:rsidRPr="00F91F57">
                    <w:rPr>
                      <w:b/>
                    </w:rPr>
                    <w:t xml:space="preserve">Ensuring vehicle-oriented commercial activities like bulk goods </w:t>
                  </w:r>
                  <w:proofErr w:type="gramStart"/>
                  <w:r w:rsidRPr="00F91F57">
                    <w:rPr>
                      <w:b/>
                    </w:rPr>
                    <w:t>stores,</w:t>
                  </w:r>
                  <w:proofErr w:type="gramEnd"/>
                  <w:r w:rsidRPr="00F91F57">
                    <w:rPr>
                      <w:b/>
                    </w:rPr>
                    <w:t xml:space="preserve"> are located in areas that minimise use of the local network</w:t>
                  </w:r>
                </w:p>
                <w:p w:rsidR="00A50F40" w:rsidRPr="00F91F57" w:rsidRDefault="00A50F40" w:rsidP="008D5AE5">
                  <w:pPr>
                    <w:ind w:left="2160"/>
                    <w:rPr>
                      <w:b/>
                    </w:rPr>
                  </w:pPr>
                  <w:r>
                    <w:rPr>
                      <w:b/>
                    </w:rPr>
                    <w:t xml:space="preserve">Provisioning high </w:t>
                  </w:r>
                  <w:proofErr w:type="gramStart"/>
                  <w:r>
                    <w:rPr>
                      <w:b/>
                    </w:rPr>
                    <w:t>demand  land</w:t>
                  </w:r>
                  <w:proofErr w:type="gramEnd"/>
                  <w:r>
                    <w:rPr>
                      <w:b/>
                    </w:rPr>
                    <w:t xml:space="preserve"> uses in central locations to allow maximum access by non motorised transport modes</w:t>
                  </w:r>
                </w:p>
              </w:txbxContent>
            </v:textbox>
          </v:roundrect>
        </w:pict>
      </w:r>
    </w:p>
    <w:p w:rsidR="008D5AE5" w:rsidRPr="00E83DA2" w:rsidRDefault="008D5AE5" w:rsidP="008D5AE5">
      <w:pPr>
        <w:ind w:left="-567"/>
        <w:rPr>
          <w:rFonts w:ascii="Gill Sans MT" w:hAnsi="Gill Sans MT"/>
        </w:rPr>
      </w:pPr>
    </w:p>
    <w:p w:rsidR="008D5AE5" w:rsidRPr="00E83DA2" w:rsidRDefault="008D5AE5" w:rsidP="008D5AE5">
      <w:pPr>
        <w:ind w:left="-567"/>
        <w:rPr>
          <w:rFonts w:ascii="Gill Sans MT" w:hAnsi="Gill Sans MT"/>
        </w:rPr>
      </w:pPr>
    </w:p>
    <w:p w:rsidR="008D5AE5" w:rsidRPr="00E83DA2" w:rsidRDefault="008D5AE5" w:rsidP="008D5AE5">
      <w:pPr>
        <w:ind w:left="-567"/>
        <w:rPr>
          <w:rFonts w:ascii="Gill Sans MT" w:hAnsi="Gill Sans MT"/>
        </w:rPr>
      </w:pPr>
    </w:p>
    <w:p w:rsidR="008D5AE5" w:rsidRPr="00E83DA2" w:rsidRDefault="008D5AE5" w:rsidP="008D5AE5">
      <w:pPr>
        <w:ind w:left="-567"/>
        <w:rPr>
          <w:rFonts w:ascii="Gill Sans MT" w:hAnsi="Gill Sans MT"/>
        </w:rPr>
      </w:pPr>
    </w:p>
    <w:p w:rsidR="008D5AE5" w:rsidRPr="00E83DA2" w:rsidRDefault="008D5AE5" w:rsidP="008D5AE5">
      <w:pPr>
        <w:ind w:left="-567"/>
        <w:rPr>
          <w:rFonts w:ascii="Gill Sans MT" w:hAnsi="Gill Sans MT"/>
        </w:rPr>
      </w:pPr>
    </w:p>
    <w:p w:rsidR="008D5AE5" w:rsidRPr="00E83DA2" w:rsidRDefault="008F0359" w:rsidP="008D5AE5">
      <w:pPr>
        <w:ind w:left="-567"/>
        <w:rPr>
          <w:rFonts w:ascii="Gill Sans MT" w:hAnsi="Gill Sans MT"/>
        </w:rPr>
      </w:pPr>
      <w:r>
        <w:rPr>
          <w:rFonts w:ascii="Gill Sans MT" w:hAnsi="Gill Sans MT"/>
          <w:noProof/>
          <w:lang w:eastAsia="en-AU"/>
        </w:rPr>
        <w:pict>
          <v:roundrect id="_x0000_s1225" style="position:absolute;left:0;text-align:left;margin-left:-26.75pt;margin-top:18.45pt;width:465pt;height:77.6pt;z-index:251695616" arcsize="10923f" fillcolor="#9bbb59 [3206]" strokecolor="#f2f2f2 [3041]" strokeweight="3pt">
            <v:shadow on="t" type="perspective" color="#4e6128 [1606]" opacity=".5" offset="1pt" offset2="-1pt"/>
            <v:textbox style="mso-next-textbox:#_x0000_s1225">
              <w:txbxContent>
                <w:p w:rsidR="00A50F40" w:rsidRPr="000F6CBD" w:rsidRDefault="00A50F40" w:rsidP="008D5AE5">
                  <w:pPr>
                    <w:ind w:left="2160" w:hanging="2160"/>
                    <w:rPr>
                      <w:b/>
                    </w:rPr>
                  </w:pPr>
                  <w:r w:rsidRPr="000F6CBD">
                    <w:rPr>
                      <w:b/>
                      <w:sz w:val="28"/>
                      <w:szCs w:val="28"/>
                    </w:rPr>
                    <w:t>Sites</w:t>
                  </w:r>
                  <w:r>
                    <w:tab/>
                  </w:r>
                  <w:r w:rsidRPr="000F6CBD">
                    <w:rPr>
                      <w:b/>
                    </w:rPr>
                    <w:t>Ensuring commercial activities provide sufficient on-site or local parking to reduce demands for on-street parking</w:t>
                  </w:r>
                </w:p>
                <w:p w:rsidR="00A50F40" w:rsidRPr="000F6CBD" w:rsidRDefault="00A50F40" w:rsidP="008D5AE5">
                  <w:pPr>
                    <w:ind w:left="1440" w:firstLine="720"/>
                    <w:rPr>
                      <w:b/>
                    </w:rPr>
                  </w:pPr>
                  <w:r w:rsidRPr="000F6CBD">
                    <w:rPr>
                      <w:b/>
                    </w:rPr>
                    <w:t>Ensuring residential lots can safely access the road network</w:t>
                  </w:r>
                </w:p>
                <w:p w:rsidR="00A50F40" w:rsidRDefault="00A50F40" w:rsidP="008D5AE5"/>
              </w:txbxContent>
            </v:textbox>
          </v:roundrect>
        </w:pict>
      </w:r>
      <w:r w:rsidR="008D5AE5" w:rsidRPr="00E83DA2">
        <w:rPr>
          <w:rFonts w:ascii="Gill Sans MT" w:hAnsi="Gill Sans MT"/>
        </w:rPr>
        <w:t xml:space="preserve">     </w:t>
      </w:r>
    </w:p>
    <w:p w:rsidR="008D5AE5" w:rsidRPr="00E83DA2" w:rsidRDefault="008D5AE5" w:rsidP="008D5AE5">
      <w:pPr>
        <w:rPr>
          <w:rFonts w:ascii="Gill Sans MT" w:hAnsi="Gill Sans MT"/>
        </w:rPr>
      </w:pPr>
    </w:p>
    <w:p w:rsidR="008D5AE5" w:rsidRPr="00E83DA2" w:rsidRDefault="008D5AE5" w:rsidP="008D5AE5">
      <w:pPr>
        <w:rPr>
          <w:rFonts w:ascii="Gill Sans MT" w:hAnsi="Gill Sans MT"/>
        </w:rPr>
      </w:pPr>
    </w:p>
    <w:p w:rsidR="008D5AE5" w:rsidRPr="00E83DA2" w:rsidRDefault="008D5AE5" w:rsidP="008D5AE5">
      <w:pPr>
        <w:rPr>
          <w:rFonts w:ascii="Gill Sans MT" w:hAnsi="Gill Sans MT"/>
        </w:rPr>
      </w:pPr>
    </w:p>
    <w:p w:rsidR="008D5AE5" w:rsidRPr="00E83DA2" w:rsidRDefault="008F0359" w:rsidP="008D5AE5">
      <w:pPr>
        <w:rPr>
          <w:rFonts w:ascii="Gill Sans MT" w:hAnsi="Gill Sans MT"/>
        </w:rPr>
      </w:pPr>
      <w:r>
        <w:rPr>
          <w:rFonts w:ascii="Gill Sans MT" w:hAnsi="Gill Sans MT"/>
          <w:noProof/>
          <w:lang w:eastAsia="en-AU"/>
        </w:rPr>
        <w:pict>
          <v:shape id="_x0000_s1226" type="#_x0000_t202" style="position:absolute;margin-left:0;margin-top:2.15pt;width:416.95pt;height:48.2pt;z-index:251696640;mso-height-percent:200;mso-height-percent:200;mso-width-relative:margin;mso-height-relative:margin" filled="f" stroked="f">
            <v:textbox style="mso-fit-shape-to-text:t">
              <w:txbxContent>
                <w:p w:rsidR="00A50F40" w:rsidRPr="00987786" w:rsidRDefault="00A50F40" w:rsidP="008D5AE5">
                  <w:pPr>
                    <w:rPr>
                      <w:rFonts w:ascii="Gill Sans MT" w:hAnsi="Gill Sans MT"/>
                      <w:b/>
                    </w:rPr>
                  </w:pPr>
                  <w:proofErr w:type="gramStart"/>
                  <w:r w:rsidRPr="00A029D6">
                    <w:rPr>
                      <w:rFonts w:ascii="Gill Sans MT" w:hAnsi="Gill Sans MT"/>
                      <w:b/>
                      <w:i/>
                    </w:rPr>
                    <w:t>Figure 1</w:t>
                  </w:r>
                  <w:r w:rsidRPr="00987786">
                    <w:rPr>
                      <w:rFonts w:ascii="Gill Sans MT" w:hAnsi="Gill Sans MT"/>
                      <w:b/>
                      <w:i/>
                    </w:rPr>
                    <w:t>.</w:t>
                  </w:r>
                  <w:proofErr w:type="gramEnd"/>
                  <w:r w:rsidRPr="00987786">
                    <w:rPr>
                      <w:rFonts w:ascii="Gill Sans MT" w:hAnsi="Gill Sans MT"/>
                      <w:b/>
                    </w:rPr>
                    <w:t xml:space="preserve"> </w:t>
                  </w:r>
                  <w:proofErr w:type="gramStart"/>
                  <w:r w:rsidRPr="00987786">
                    <w:rPr>
                      <w:rFonts w:ascii="Gill Sans MT" w:hAnsi="Gill Sans MT"/>
                      <w:b/>
                    </w:rPr>
                    <w:t>Examples of how land use and transport planning operate and interact at different levels.</w:t>
                  </w:r>
                  <w:proofErr w:type="gramEnd"/>
                </w:p>
              </w:txbxContent>
            </v:textbox>
          </v:shape>
        </w:pict>
      </w:r>
    </w:p>
    <w:p w:rsidR="008D5AE5" w:rsidRPr="00E83DA2" w:rsidRDefault="008D5AE5" w:rsidP="008D5AE5">
      <w:pPr>
        <w:rPr>
          <w:rFonts w:ascii="Gill Sans MT" w:hAnsi="Gill Sans MT"/>
        </w:rPr>
      </w:pPr>
    </w:p>
    <w:p w:rsidR="008D5AE5" w:rsidRPr="00E83DA2" w:rsidRDefault="008D5AE5" w:rsidP="008D5AE5">
      <w:pPr>
        <w:rPr>
          <w:rFonts w:ascii="Gill Sans MT" w:hAnsi="Gill Sans MT"/>
        </w:rPr>
      </w:pPr>
      <w:r w:rsidRPr="00E83DA2">
        <w:rPr>
          <w:rFonts w:ascii="Gill Sans MT" w:hAnsi="Gill Sans MT"/>
        </w:rPr>
        <w:t>Some key factors influencing the Northern Region’s passenger transport system into the future include:</w:t>
      </w:r>
    </w:p>
    <w:p w:rsidR="008D5AE5" w:rsidRPr="00E83DA2" w:rsidRDefault="008D5AE5" w:rsidP="008D5AE5">
      <w:pPr>
        <w:pStyle w:val="ListParagraph"/>
        <w:numPr>
          <w:ilvl w:val="0"/>
          <w:numId w:val="1"/>
        </w:numPr>
        <w:spacing w:after="0"/>
        <w:rPr>
          <w:rFonts w:ascii="Gill Sans MT" w:hAnsi="Gill Sans MT"/>
        </w:rPr>
      </w:pPr>
      <w:r w:rsidRPr="00E83DA2">
        <w:rPr>
          <w:rFonts w:ascii="Gill Sans MT" w:hAnsi="Gill Sans MT"/>
        </w:rPr>
        <w:t>A highly dispersed, car-centric settlement pattern</w:t>
      </w:r>
    </w:p>
    <w:p w:rsidR="008D5AE5" w:rsidRPr="00E83DA2" w:rsidRDefault="008D5AE5" w:rsidP="008D5AE5">
      <w:pPr>
        <w:pStyle w:val="ListParagraph"/>
        <w:numPr>
          <w:ilvl w:val="0"/>
          <w:numId w:val="1"/>
        </w:numPr>
        <w:spacing w:after="0"/>
        <w:rPr>
          <w:rFonts w:ascii="Gill Sans MT" w:hAnsi="Gill Sans MT"/>
        </w:rPr>
      </w:pPr>
      <w:r>
        <w:rPr>
          <w:rFonts w:ascii="Gill Sans MT" w:hAnsi="Gill Sans MT"/>
        </w:rPr>
        <w:t>L</w:t>
      </w:r>
      <w:r w:rsidRPr="00E83DA2">
        <w:rPr>
          <w:rFonts w:ascii="Gill Sans MT" w:hAnsi="Gill Sans MT"/>
        </w:rPr>
        <w:t xml:space="preserve">ow </w:t>
      </w:r>
      <w:r>
        <w:rPr>
          <w:rFonts w:ascii="Gill Sans MT" w:hAnsi="Gill Sans MT"/>
        </w:rPr>
        <w:t xml:space="preserve">utilisation </w:t>
      </w:r>
      <w:r w:rsidRPr="00E83DA2">
        <w:rPr>
          <w:rFonts w:ascii="Gill Sans MT" w:hAnsi="Gill Sans MT"/>
        </w:rPr>
        <w:t xml:space="preserve">of </w:t>
      </w:r>
      <w:r>
        <w:rPr>
          <w:rFonts w:ascii="Gill Sans MT" w:hAnsi="Gill Sans MT"/>
        </w:rPr>
        <w:t>public transport, walking and cycling</w:t>
      </w:r>
    </w:p>
    <w:p w:rsidR="008D5AE5" w:rsidRPr="00E83DA2" w:rsidRDefault="008D5AE5" w:rsidP="008D5AE5">
      <w:pPr>
        <w:pStyle w:val="ListParagraph"/>
        <w:numPr>
          <w:ilvl w:val="0"/>
          <w:numId w:val="1"/>
        </w:numPr>
        <w:spacing w:after="0"/>
        <w:rPr>
          <w:rFonts w:ascii="Gill Sans MT" w:hAnsi="Gill Sans MT"/>
        </w:rPr>
      </w:pPr>
      <w:r w:rsidRPr="00E83DA2">
        <w:rPr>
          <w:rFonts w:ascii="Gill Sans MT" w:hAnsi="Gill Sans MT"/>
        </w:rPr>
        <w:t>Demographic changes – including an ageing population</w:t>
      </w:r>
    </w:p>
    <w:p w:rsidR="008D5AE5" w:rsidRPr="00E83DA2" w:rsidRDefault="008D5AE5" w:rsidP="008D5AE5">
      <w:pPr>
        <w:pStyle w:val="ListParagraph"/>
        <w:numPr>
          <w:ilvl w:val="0"/>
          <w:numId w:val="1"/>
        </w:numPr>
        <w:spacing w:after="0"/>
        <w:rPr>
          <w:rFonts w:ascii="Gill Sans MT" w:hAnsi="Gill Sans MT"/>
        </w:rPr>
      </w:pPr>
      <w:r w:rsidRPr="00E83DA2">
        <w:rPr>
          <w:rFonts w:ascii="Gill Sans MT" w:hAnsi="Gill Sans MT"/>
        </w:rPr>
        <w:lastRenderedPageBreak/>
        <w:t xml:space="preserve">Significant industry restructuring – affecting commuter patterns and freight movements </w:t>
      </w:r>
    </w:p>
    <w:p w:rsidR="008D5AE5" w:rsidRPr="00E83DA2" w:rsidRDefault="008D5AE5" w:rsidP="008D5AE5">
      <w:pPr>
        <w:pStyle w:val="ListParagraph"/>
        <w:numPr>
          <w:ilvl w:val="0"/>
          <w:numId w:val="1"/>
        </w:numPr>
        <w:spacing w:after="0"/>
        <w:rPr>
          <w:rFonts w:ascii="Gill Sans MT" w:hAnsi="Gill Sans MT"/>
        </w:rPr>
      </w:pPr>
      <w:r w:rsidRPr="00E83DA2">
        <w:rPr>
          <w:rFonts w:ascii="Gill Sans MT" w:hAnsi="Gill Sans MT"/>
        </w:rPr>
        <w:t>Ageing transport infrastructure with high existing maintenance costs</w:t>
      </w:r>
    </w:p>
    <w:p w:rsidR="008D5AE5" w:rsidRPr="00E83DA2" w:rsidRDefault="008D5AE5" w:rsidP="008D5AE5">
      <w:pPr>
        <w:rPr>
          <w:rFonts w:ascii="Gill Sans MT" w:hAnsi="Gill Sans MT"/>
        </w:rPr>
      </w:pPr>
    </w:p>
    <w:p w:rsidR="008D5AE5" w:rsidRPr="00E83DA2" w:rsidRDefault="008D5AE5" w:rsidP="008D5AE5">
      <w:pPr>
        <w:spacing w:after="0"/>
        <w:rPr>
          <w:rFonts w:ascii="Gill Sans MT" w:hAnsi="Gill Sans MT"/>
        </w:rPr>
      </w:pPr>
      <w:r>
        <w:rPr>
          <w:rFonts w:ascii="Gill Sans MT" w:hAnsi="Gill Sans MT"/>
        </w:rPr>
        <w:t>Over the last 10 years, there has been s</w:t>
      </w:r>
      <w:r w:rsidRPr="00E83DA2">
        <w:rPr>
          <w:rFonts w:ascii="Gill Sans MT" w:hAnsi="Gill Sans MT"/>
        </w:rPr>
        <w:t xml:space="preserve">trong </w:t>
      </w:r>
      <w:r>
        <w:rPr>
          <w:rFonts w:ascii="Gill Sans MT" w:hAnsi="Gill Sans MT"/>
        </w:rPr>
        <w:t xml:space="preserve">residential </w:t>
      </w:r>
      <w:r w:rsidRPr="00E83DA2">
        <w:rPr>
          <w:rFonts w:ascii="Gill Sans MT" w:hAnsi="Gill Sans MT"/>
        </w:rPr>
        <w:t xml:space="preserve">growth in the urban fringe settlements of Prospect, Hadspen, Longford, Perth, </w:t>
      </w:r>
      <w:proofErr w:type="gramStart"/>
      <w:r w:rsidRPr="00E83DA2">
        <w:rPr>
          <w:rFonts w:ascii="Gill Sans MT" w:hAnsi="Gill Sans MT"/>
        </w:rPr>
        <w:t>Evandale</w:t>
      </w:r>
      <w:proofErr w:type="gramEnd"/>
      <w:r w:rsidRPr="00E83DA2">
        <w:rPr>
          <w:rFonts w:ascii="Gill Sans MT" w:hAnsi="Gill Sans MT"/>
        </w:rPr>
        <w:t>.  This is due to a combination of:</w:t>
      </w:r>
    </w:p>
    <w:p w:rsidR="008D5AE5" w:rsidRPr="00E83DA2" w:rsidRDefault="008D5AE5" w:rsidP="008D5AE5">
      <w:pPr>
        <w:spacing w:after="0"/>
        <w:rPr>
          <w:rFonts w:ascii="Gill Sans MT" w:hAnsi="Gill Sans MT"/>
        </w:rPr>
      </w:pPr>
    </w:p>
    <w:p w:rsidR="008D5AE5" w:rsidRPr="00E83DA2" w:rsidRDefault="008D5AE5" w:rsidP="008D5AE5">
      <w:pPr>
        <w:pStyle w:val="ListParagraph"/>
        <w:numPr>
          <w:ilvl w:val="0"/>
          <w:numId w:val="1"/>
        </w:numPr>
        <w:spacing w:after="0"/>
        <w:rPr>
          <w:rFonts w:ascii="Gill Sans MT" w:hAnsi="Gill Sans MT"/>
        </w:rPr>
      </w:pPr>
      <w:r w:rsidRPr="00E83DA2">
        <w:rPr>
          <w:rFonts w:ascii="Gill Sans MT" w:hAnsi="Gill Sans MT"/>
        </w:rPr>
        <w:t>Lifestyle decisions to escape the hustle-a</w:t>
      </w:r>
      <w:r>
        <w:rPr>
          <w:rFonts w:ascii="Gill Sans MT" w:hAnsi="Gill Sans MT"/>
        </w:rPr>
        <w:t>nd-bustle of inner urban living;</w:t>
      </w:r>
      <w:r w:rsidRPr="00E83DA2">
        <w:rPr>
          <w:rFonts w:ascii="Gill Sans MT" w:hAnsi="Gill Sans MT"/>
        </w:rPr>
        <w:t xml:space="preserve"> and</w:t>
      </w:r>
    </w:p>
    <w:p w:rsidR="008D5AE5" w:rsidRDefault="008D5AE5" w:rsidP="008D5AE5">
      <w:pPr>
        <w:pStyle w:val="ListParagraph"/>
        <w:numPr>
          <w:ilvl w:val="0"/>
          <w:numId w:val="1"/>
        </w:numPr>
        <w:spacing w:after="0"/>
        <w:rPr>
          <w:rFonts w:ascii="Gill Sans MT" w:hAnsi="Gill Sans MT"/>
        </w:rPr>
      </w:pPr>
      <w:r>
        <w:rPr>
          <w:rFonts w:ascii="Gill Sans MT" w:hAnsi="Gill Sans MT"/>
        </w:rPr>
        <w:t>Availability of affordable land, in close proximity to services and amenity, with good transport accessibility.</w:t>
      </w:r>
    </w:p>
    <w:p w:rsidR="008D5AE5" w:rsidRDefault="008D5AE5" w:rsidP="008D5AE5">
      <w:pPr>
        <w:spacing w:after="0"/>
        <w:rPr>
          <w:rFonts w:ascii="Gill Sans MT" w:hAnsi="Gill Sans MT"/>
        </w:rPr>
      </w:pPr>
    </w:p>
    <w:p w:rsidR="008D5AE5" w:rsidRDefault="008D5AE5" w:rsidP="008D5AE5">
      <w:pPr>
        <w:spacing w:after="0"/>
        <w:rPr>
          <w:rFonts w:ascii="Gill Sans MT" w:hAnsi="Gill Sans MT"/>
        </w:rPr>
      </w:pPr>
      <w:r>
        <w:rPr>
          <w:rFonts w:ascii="Gill Sans MT" w:hAnsi="Gill Sans MT"/>
        </w:rPr>
        <w:t xml:space="preserve">Settlement patterns, choice of housing location and transport cost and availability have a major impact on an individual’s personal mobility. While walking and cycling may be cost and time efficient, the cost of inner-city housing prices may be prohibitive for many. Similarly, owning and operating two or more cars in less-accessible areas can have significant costs of their own, and is often a trap for lower socioeconomic families. </w:t>
      </w:r>
    </w:p>
    <w:p w:rsidR="008D5AE5" w:rsidRPr="009C6379" w:rsidRDefault="008D5AE5" w:rsidP="008D5AE5">
      <w:pPr>
        <w:spacing w:after="0" w:line="240" w:lineRule="auto"/>
        <w:rPr>
          <w:rFonts w:ascii="Gill Sans MT" w:hAnsi="Gill Sans MT"/>
        </w:rPr>
      </w:pPr>
    </w:p>
    <w:p w:rsidR="008D5AE5" w:rsidRPr="00E83DA2" w:rsidRDefault="008D5AE5" w:rsidP="008D5AE5">
      <w:pPr>
        <w:rPr>
          <w:rFonts w:ascii="Gill Sans MT" w:hAnsi="Gill Sans MT"/>
        </w:rPr>
      </w:pPr>
      <w:r w:rsidRPr="00E83DA2">
        <w:rPr>
          <w:rFonts w:ascii="Gill Sans MT" w:hAnsi="Gill Sans MT"/>
        </w:rPr>
        <w:t xml:space="preserve">Dispersed </w:t>
      </w:r>
      <w:r>
        <w:rPr>
          <w:rFonts w:ascii="Gill Sans MT" w:hAnsi="Gill Sans MT"/>
        </w:rPr>
        <w:t xml:space="preserve">and </w:t>
      </w:r>
      <w:r w:rsidRPr="00E83DA2">
        <w:rPr>
          <w:rFonts w:ascii="Gill Sans MT" w:hAnsi="Gill Sans MT"/>
        </w:rPr>
        <w:t xml:space="preserve">low density residential development </w:t>
      </w:r>
      <w:r>
        <w:rPr>
          <w:rFonts w:ascii="Gill Sans MT" w:hAnsi="Gill Sans MT"/>
        </w:rPr>
        <w:t xml:space="preserve">patterns have </w:t>
      </w:r>
      <w:r w:rsidRPr="00E83DA2">
        <w:rPr>
          <w:rFonts w:ascii="Gill Sans MT" w:hAnsi="Gill Sans MT"/>
        </w:rPr>
        <w:t xml:space="preserve">reinforced the dependence on </w:t>
      </w:r>
      <w:r>
        <w:rPr>
          <w:rFonts w:ascii="Gill Sans MT" w:hAnsi="Gill Sans MT"/>
        </w:rPr>
        <w:t xml:space="preserve">cars for most trips </w:t>
      </w:r>
      <w:r w:rsidRPr="00E83DA2">
        <w:rPr>
          <w:rFonts w:ascii="Gill Sans MT" w:hAnsi="Gill Sans MT"/>
        </w:rPr>
        <w:t xml:space="preserve">and limited the use of </w:t>
      </w:r>
      <w:r>
        <w:rPr>
          <w:rFonts w:ascii="Gill Sans MT" w:hAnsi="Gill Sans MT"/>
        </w:rPr>
        <w:t>public transport, walking and cycling</w:t>
      </w:r>
      <w:r w:rsidRPr="00E83DA2">
        <w:rPr>
          <w:rFonts w:ascii="Gill Sans MT" w:hAnsi="Gill Sans MT"/>
        </w:rPr>
        <w:t xml:space="preserve">. Growth and development in outer urban areas has generated increased traffic volumes along core arterial roads. The arterial road network has a limited capacity to adapt to major population shifts, growth or development demands. </w:t>
      </w:r>
    </w:p>
    <w:p w:rsidR="008D5AE5" w:rsidRDefault="008D5AE5" w:rsidP="008D5AE5">
      <w:pPr>
        <w:rPr>
          <w:rFonts w:ascii="Gill Sans MT" w:hAnsi="Gill Sans MT"/>
        </w:rPr>
      </w:pPr>
      <w:r w:rsidRPr="00E83DA2">
        <w:rPr>
          <w:rFonts w:ascii="Gill Sans MT" w:hAnsi="Gill Sans MT"/>
        </w:rPr>
        <w:t xml:space="preserve">Cars, whilst costly to run and maintain, meet the conditions of almost all transport needs.  </w:t>
      </w:r>
      <w:r>
        <w:rPr>
          <w:rFonts w:ascii="Gill Sans MT" w:hAnsi="Gill Sans MT"/>
        </w:rPr>
        <w:t xml:space="preserve">They </w:t>
      </w:r>
      <w:r w:rsidRPr="00E83DA2">
        <w:rPr>
          <w:rFonts w:ascii="Gill Sans MT" w:hAnsi="Gill Sans MT"/>
        </w:rPr>
        <w:t xml:space="preserve">provide significant mobility and flexibility for the majority of individuals: no other transport mode has been able to match the advantages of cars in meeting the full range of travel needs.  They continue to match the growing diversity of geographical and temporal </w:t>
      </w:r>
      <w:proofErr w:type="gramStart"/>
      <w:r w:rsidRPr="00E83DA2">
        <w:rPr>
          <w:rFonts w:ascii="Gill Sans MT" w:hAnsi="Gill Sans MT"/>
        </w:rPr>
        <w:t>movements</w:t>
      </w:r>
      <w:proofErr w:type="gramEnd"/>
      <w:r w:rsidRPr="00E83DA2">
        <w:rPr>
          <w:rFonts w:ascii="Gill Sans MT" w:hAnsi="Gill Sans MT"/>
        </w:rPr>
        <w:t xml:space="preserve"> representative of opportunistic residential settlement patterns and changing employment patterns.</w:t>
      </w:r>
    </w:p>
    <w:p w:rsidR="008D5AE5" w:rsidRPr="00E83DA2" w:rsidRDefault="008D5AE5" w:rsidP="008D5AE5">
      <w:pPr>
        <w:rPr>
          <w:rFonts w:ascii="Gill Sans MT" w:hAnsi="Gill Sans MT"/>
        </w:rPr>
      </w:pPr>
      <w:r>
        <w:rPr>
          <w:rFonts w:ascii="Gill Sans MT" w:hAnsi="Gill Sans MT"/>
        </w:rPr>
        <w:t>When accessibility and mobility are constrained, transport disadvantage occurs. Age, income and health can affect the ability for individuals to use, afford and access transport services. The State’s rapidly ageing population will have significant impacts on the future transport system and land use.</w:t>
      </w:r>
    </w:p>
    <w:p w:rsidR="008D5AE5" w:rsidRDefault="008D5AE5" w:rsidP="008D5AE5">
      <w:pPr>
        <w:pStyle w:val="ListParagraph"/>
        <w:ind w:left="0"/>
        <w:rPr>
          <w:rFonts w:ascii="Gill Sans MT" w:hAnsi="Gill Sans MT"/>
        </w:rPr>
      </w:pPr>
      <w:r w:rsidRPr="00E83DA2">
        <w:rPr>
          <w:rFonts w:ascii="Gill Sans MT" w:hAnsi="Gill Sans MT"/>
        </w:rPr>
        <w:t>The Northern Region’s population is ageing both numerically and structurally. Numerically, there is an absolute increase in the numbers of persons 65 years and over; structurally, the proportion of persons aged 65 and over is increasing with a declining birth rate and outward migration of youth. These changes will mean a shift in the desired housing type and availability in the future, and also its location and accessibility to essential health and community services.</w:t>
      </w:r>
      <w:r>
        <w:rPr>
          <w:rFonts w:ascii="Gill Sans MT" w:hAnsi="Gill Sans MT"/>
        </w:rPr>
        <w:t xml:space="preserve">  </w:t>
      </w:r>
    </w:p>
    <w:p w:rsidR="008D5AE5" w:rsidRDefault="008D5AE5" w:rsidP="008D5AE5">
      <w:pPr>
        <w:pStyle w:val="ListParagraph"/>
        <w:ind w:left="0"/>
        <w:rPr>
          <w:rFonts w:ascii="Gill Sans MT" w:hAnsi="Gill Sans MT"/>
        </w:rPr>
      </w:pPr>
    </w:p>
    <w:p w:rsidR="008D5AE5" w:rsidRPr="00E83DA2" w:rsidRDefault="008D5AE5" w:rsidP="008D5AE5">
      <w:pPr>
        <w:pStyle w:val="ListParagraph"/>
        <w:ind w:left="0"/>
        <w:rPr>
          <w:rFonts w:ascii="Gill Sans MT" w:hAnsi="Gill Sans MT"/>
        </w:rPr>
      </w:pPr>
      <w:r w:rsidRPr="00E83DA2">
        <w:rPr>
          <w:rFonts w:ascii="Gill Sans MT" w:hAnsi="Gill Sans MT"/>
        </w:rPr>
        <w:t xml:space="preserve">There is also a need for increasing employment potential, as well as skills and knowledge to make the Region more competitive.  </w:t>
      </w:r>
    </w:p>
    <w:p w:rsidR="008D5AE5" w:rsidRPr="00E83DA2" w:rsidRDefault="00265E32" w:rsidP="008D5AE5">
      <w:pPr>
        <w:rPr>
          <w:rFonts w:ascii="Gill Sans MT" w:hAnsi="Gill Sans MT"/>
        </w:rPr>
      </w:pPr>
      <w:r>
        <w:rPr>
          <w:rFonts w:ascii="Gill Sans MT" w:hAnsi="Gill Sans MT"/>
        </w:rPr>
        <w:t>Uncertainty</w:t>
      </w:r>
      <w:r w:rsidR="008D5AE5" w:rsidRPr="00E83DA2">
        <w:rPr>
          <w:rFonts w:ascii="Gill Sans MT" w:hAnsi="Gill Sans MT"/>
        </w:rPr>
        <w:t xml:space="preserve"> surrounding </w:t>
      </w:r>
      <w:r w:rsidR="008D5AE5">
        <w:rPr>
          <w:rFonts w:ascii="Gill Sans MT" w:hAnsi="Gill Sans MT"/>
        </w:rPr>
        <w:t xml:space="preserve">major </w:t>
      </w:r>
      <w:r w:rsidR="008D5AE5" w:rsidRPr="00E83DA2">
        <w:rPr>
          <w:rFonts w:ascii="Gill Sans MT" w:hAnsi="Gill Sans MT"/>
        </w:rPr>
        <w:t>industries</w:t>
      </w:r>
      <w:r w:rsidR="008D5AE5">
        <w:rPr>
          <w:rFonts w:ascii="Gill Sans MT" w:hAnsi="Gill Sans MT"/>
        </w:rPr>
        <w:t xml:space="preserve"> across the region</w:t>
      </w:r>
      <w:r w:rsidR="008D5AE5" w:rsidRPr="00E83DA2">
        <w:rPr>
          <w:rFonts w:ascii="Gill Sans MT" w:hAnsi="Gill Sans MT"/>
        </w:rPr>
        <w:t>, such as forestry and manufacturing</w:t>
      </w:r>
      <w:proofErr w:type="gramStart"/>
      <w:r w:rsidR="008D5AE5">
        <w:rPr>
          <w:rFonts w:ascii="Gill Sans MT" w:hAnsi="Gill Sans MT"/>
        </w:rPr>
        <w:t>,</w:t>
      </w:r>
      <w:r w:rsidR="008D5AE5" w:rsidRPr="00E83DA2">
        <w:rPr>
          <w:rFonts w:ascii="Gill Sans MT" w:hAnsi="Gill Sans MT"/>
        </w:rPr>
        <w:t xml:space="preserve"> </w:t>
      </w:r>
      <w:r w:rsidR="00811D23">
        <w:rPr>
          <w:rFonts w:ascii="Gill Sans MT" w:hAnsi="Gill Sans MT"/>
        </w:rPr>
        <w:t xml:space="preserve"> </w:t>
      </w:r>
      <w:r w:rsidR="008D5AE5" w:rsidRPr="00E83DA2">
        <w:rPr>
          <w:rFonts w:ascii="Gill Sans MT" w:hAnsi="Gill Sans MT"/>
        </w:rPr>
        <w:t>has</w:t>
      </w:r>
      <w:proofErr w:type="gramEnd"/>
      <w:r w:rsidR="008D5AE5" w:rsidRPr="00E83DA2">
        <w:rPr>
          <w:rFonts w:ascii="Gill Sans MT" w:hAnsi="Gill Sans MT"/>
        </w:rPr>
        <w:t xml:space="preserve"> led to </w:t>
      </w:r>
      <w:r w:rsidR="008D5AE5">
        <w:rPr>
          <w:rFonts w:ascii="Gill Sans MT" w:hAnsi="Gill Sans MT"/>
        </w:rPr>
        <w:t xml:space="preserve">changes in demand across the transport system, such as </w:t>
      </w:r>
      <w:r w:rsidR="008D5AE5" w:rsidRPr="00E83DA2">
        <w:rPr>
          <w:rFonts w:ascii="Gill Sans MT" w:hAnsi="Gill Sans MT"/>
        </w:rPr>
        <w:t>commut</w:t>
      </w:r>
      <w:r w:rsidR="008D5AE5">
        <w:rPr>
          <w:rFonts w:ascii="Gill Sans MT" w:hAnsi="Gill Sans MT"/>
        </w:rPr>
        <w:t xml:space="preserve">er flows </w:t>
      </w:r>
      <w:r w:rsidR="008D5AE5" w:rsidRPr="00E83DA2">
        <w:rPr>
          <w:rFonts w:ascii="Gill Sans MT" w:hAnsi="Gill Sans MT"/>
        </w:rPr>
        <w:t xml:space="preserve">and the movement of </w:t>
      </w:r>
      <w:r w:rsidR="008D5AE5">
        <w:rPr>
          <w:rFonts w:ascii="Gill Sans MT" w:hAnsi="Gill Sans MT"/>
        </w:rPr>
        <w:t>freight</w:t>
      </w:r>
      <w:r w:rsidR="008D5AE5" w:rsidRPr="00E83DA2">
        <w:rPr>
          <w:rFonts w:ascii="Gill Sans MT" w:hAnsi="Gill Sans MT"/>
        </w:rPr>
        <w:t xml:space="preserve">.  This is likely to continue into the future.  </w:t>
      </w:r>
      <w:r w:rsidR="008D5AE5">
        <w:rPr>
          <w:rFonts w:ascii="Gill Sans MT" w:hAnsi="Gill Sans MT"/>
        </w:rPr>
        <w:t>For example, t</w:t>
      </w:r>
      <w:r w:rsidR="008D5AE5" w:rsidRPr="00E83DA2">
        <w:rPr>
          <w:rFonts w:ascii="Gill Sans MT" w:hAnsi="Gill Sans MT"/>
        </w:rPr>
        <w:t>he expansion of agriculture, and the relocation or decline of other industries, will heavily influence the patterns of freight movement across the network.</w:t>
      </w:r>
    </w:p>
    <w:p w:rsidR="008D5AE5" w:rsidRPr="00E83DA2" w:rsidRDefault="008D5AE5" w:rsidP="008D5AE5">
      <w:pPr>
        <w:pStyle w:val="ListParagraph"/>
        <w:ind w:left="0"/>
        <w:rPr>
          <w:rFonts w:ascii="Gill Sans MT" w:hAnsi="Gill Sans MT"/>
        </w:rPr>
      </w:pPr>
      <w:r w:rsidRPr="00E83DA2">
        <w:rPr>
          <w:rFonts w:ascii="Gill Sans MT" w:hAnsi="Gill Sans MT"/>
        </w:rPr>
        <w:t xml:space="preserve">Like other parts of Tasmania, transport infrastructure in the Northern Region is ageing and maintenance costs are high.  Funding is limited, which means that future industry and residential planning must be prioritised.    The locations of new residential and industrial development should seek to maximise </w:t>
      </w:r>
      <w:r>
        <w:rPr>
          <w:rFonts w:ascii="Gill Sans MT" w:hAnsi="Gill Sans MT"/>
        </w:rPr>
        <w:t xml:space="preserve">use of existing infrastructure, and minimise demand for expensive capacity upgrades, </w:t>
      </w:r>
      <w:r w:rsidRPr="00E83DA2">
        <w:rPr>
          <w:rFonts w:ascii="Gill Sans MT" w:hAnsi="Gill Sans MT"/>
        </w:rPr>
        <w:t>where possible.</w:t>
      </w:r>
      <w:r w:rsidR="00265448">
        <w:rPr>
          <w:rFonts w:ascii="Gill Sans MT" w:hAnsi="Gill Sans MT"/>
        </w:rPr>
        <w:t xml:space="preserve">  It’s also important that future transport corridors are protected so that they can be available for use when necessary to support likely future growth in freight or passenger movements and to avoid or minimise disruption by having </w:t>
      </w:r>
      <w:r w:rsidR="00F97775">
        <w:rPr>
          <w:rFonts w:ascii="Gill Sans MT" w:hAnsi="Gill Sans MT"/>
        </w:rPr>
        <w:t xml:space="preserve">incompatible developments co-located (eg prevention of new residential development including schools next to identified future priority freight corridor).   </w:t>
      </w:r>
    </w:p>
    <w:p w:rsidR="008D5AE5" w:rsidRPr="00E83DA2" w:rsidRDefault="008D5AE5" w:rsidP="008D5AE5">
      <w:pPr>
        <w:pStyle w:val="ListParagraph"/>
        <w:ind w:left="0"/>
        <w:rPr>
          <w:rFonts w:ascii="Gill Sans MT" w:hAnsi="Gill Sans MT"/>
        </w:rPr>
      </w:pPr>
    </w:p>
    <w:p w:rsidR="008D5AE5" w:rsidRDefault="008D5AE5" w:rsidP="008D5AE5">
      <w:pPr>
        <w:pStyle w:val="ListParagraph"/>
        <w:ind w:left="0"/>
        <w:rPr>
          <w:rFonts w:ascii="Gill Sans MT" w:hAnsi="Gill Sans MT"/>
        </w:rPr>
      </w:pPr>
      <w:r w:rsidRPr="00E83DA2">
        <w:rPr>
          <w:rFonts w:ascii="Gill Sans MT" w:hAnsi="Gill Sans MT"/>
        </w:rPr>
        <w:t xml:space="preserve">The </w:t>
      </w:r>
      <w:r w:rsidRPr="00E83DA2">
        <w:rPr>
          <w:rFonts w:ascii="Gill Sans MT" w:hAnsi="Gill Sans MT"/>
          <w:i/>
        </w:rPr>
        <w:t xml:space="preserve">Regional Land Use Strategy of Northern Tasmania </w:t>
      </w:r>
      <w:r w:rsidRPr="00E83DA2">
        <w:rPr>
          <w:rFonts w:ascii="Gill Sans MT" w:hAnsi="Gill Sans MT"/>
        </w:rPr>
        <w:t>was developed to guide land use, development and infrastructure investment decisions for the Northern Region.  It provides a Regional Settlement Hierarchy, with a view to categorising settlements and linking these categories to policies for land use planning.  The hierarchy also give</w:t>
      </w:r>
      <w:r>
        <w:rPr>
          <w:rFonts w:ascii="Gill Sans MT" w:hAnsi="Gill Sans MT"/>
        </w:rPr>
        <w:t>s</w:t>
      </w:r>
      <w:r w:rsidRPr="00E83DA2">
        <w:rPr>
          <w:rFonts w:ascii="Gill Sans MT" w:hAnsi="Gill Sans MT"/>
        </w:rPr>
        <w:t xml:space="preserve"> an indication of the types of services which can be expected for each category – noting that it is important that there is a broad range of options available for people in deciding where and how they want to live.</w:t>
      </w:r>
    </w:p>
    <w:p w:rsidR="00F97775" w:rsidRPr="00E83DA2" w:rsidRDefault="00F97775" w:rsidP="008D5AE5">
      <w:pPr>
        <w:pStyle w:val="ListParagraph"/>
        <w:ind w:left="0"/>
        <w:rPr>
          <w:rFonts w:ascii="Gill Sans MT" w:hAnsi="Gill Sans MT"/>
        </w:rPr>
      </w:pPr>
    </w:p>
    <w:p w:rsidR="008D5AE5" w:rsidRPr="00E83DA2" w:rsidRDefault="008D5AE5" w:rsidP="008D5AE5">
      <w:pPr>
        <w:pStyle w:val="ListParagraph"/>
        <w:ind w:left="0"/>
        <w:rPr>
          <w:rFonts w:ascii="Gill Sans MT" w:hAnsi="Gill Sans MT"/>
          <w:b/>
        </w:rPr>
      </w:pPr>
      <w:r w:rsidRPr="00E83DA2">
        <w:rPr>
          <w:rFonts w:ascii="Gill Sans MT" w:hAnsi="Gill Sans MT"/>
        </w:rPr>
        <w:t>The hierarchy includes:</w:t>
      </w:r>
    </w:p>
    <w:tbl>
      <w:tblPr>
        <w:tblStyle w:val="TableGrid"/>
        <w:tblW w:w="0" w:type="auto"/>
        <w:tblLook w:val="04A0"/>
      </w:tblPr>
      <w:tblGrid>
        <w:gridCol w:w="2838"/>
        <w:gridCol w:w="2810"/>
        <w:gridCol w:w="2880"/>
      </w:tblGrid>
      <w:tr w:rsidR="008D5AE5" w:rsidRPr="00E83DA2" w:rsidTr="009845FB">
        <w:trPr>
          <w:trHeight w:val="480"/>
          <w:tblHeader/>
        </w:trPr>
        <w:tc>
          <w:tcPr>
            <w:tcW w:w="8528" w:type="dxa"/>
            <w:gridSpan w:val="3"/>
            <w:shd w:val="clear" w:color="auto" w:fill="4F81BD" w:themeFill="accent1"/>
            <w:vAlign w:val="center"/>
          </w:tcPr>
          <w:p w:rsidR="008D5AE5" w:rsidRPr="00E83DA2" w:rsidRDefault="00666BF3" w:rsidP="009845FB">
            <w:pPr>
              <w:rPr>
                <w:rFonts w:ascii="Gill Sans MT" w:hAnsi="Gill Sans MT"/>
                <w:b/>
                <w:kern w:val="28"/>
              </w:rPr>
            </w:pPr>
            <w:r w:rsidRPr="00666BF3">
              <w:rPr>
                <w:rFonts w:ascii="Gill Sans MT" w:hAnsi="Gill Sans MT"/>
                <w:b/>
                <w:i/>
                <w:kern w:val="28"/>
              </w:rPr>
              <w:t>Figure 23</w:t>
            </w:r>
            <w:r w:rsidR="008D5AE5" w:rsidRPr="00E83DA2">
              <w:rPr>
                <w:rFonts w:ascii="Gill Sans MT" w:hAnsi="Gill Sans MT"/>
                <w:b/>
                <w:kern w:val="28"/>
              </w:rPr>
              <w:t>. Regional Settlement Hierarchy, Northern Region.</w:t>
            </w:r>
          </w:p>
        </w:tc>
      </w:tr>
      <w:tr w:rsidR="008D5AE5" w:rsidRPr="00E83DA2" w:rsidTr="009845FB">
        <w:trPr>
          <w:tblHeader/>
        </w:trPr>
        <w:tc>
          <w:tcPr>
            <w:tcW w:w="2838" w:type="dxa"/>
            <w:shd w:val="clear" w:color="auto" w:fill="4F81BD" w:themeFill="accent1"/>
          </w:tcPr>
          <w:p w:rsidR="008D5AE5" w:rsidRPr="00E83DA2" w:rsidRDefault="008D5AE5" w:rsidP="009845FB">
            <w:pPr>
              <w:rPr>
                <w:rFonts w:ascii="Gill Sans MT" w:hAnsi="Gill Sans MT"/>
                <w:b/>
                <w:kern w:val="28"/>
              </w:rPr>
            </w:pPr>
            <w:r w:rsidRPr="00E83DA2">
              <w:rPr>
                <w:rFonts w:ascii="Gill Sans MT" w:hAnsi="Gill Sans MT"/>
                <w:b/>
                <w:kern w:val="28"/>
              </w:rPr>
              <w:t>Category</w:t>
            </w:r>
          </w:p>
        </w:tc>
        <w:tc>
          <w:tcPr>
            <w:tcW w:w="2810" w:type="dxa"/>
            <w:shd w:val="clear" w:color="auto" w:fill="4F81BD" w:themeFill="accent1"/>
          </w:tcPr>
          <w:p w:rsidR="008D5AE5" w:rsidRPr="00E83DA2" w:rsidRDefault="008D5AE5" w:rsidP="009845FB">
            <w:pPr>
              <w:rPr>
                <w:rFonts w:ascii="Gill Sans MT" w:hAnsi="Gill Sans MT"/>
                <w:b/>
                <w:kern w:val="28"/>
              </w:rPr>
            </w:pPr>
            <w:r w:rsidRPr="00E83DA2">
              <w:rPr>
                <w:rFonts w:ascii="Gill Sans MT" w:hAnsi="Gill Sans MT"/>
                <w:b/>
                <w:kern w:val="28"/>
              </w:rPr>
              <w:t>Place</w:t>
            </w:r>
          </w:p>
        </w:tc>
        <w:tc>
          <w:tcPr>
            <w:tcW w:w="2880" w:type="dxa"/>
            <w:shd w:val="clear" w:color="auto" w:fill="4F81BD" w:themeFill="accent1"/>
          </w:tcPr>
          <w:p w:rsidR="008D5AE5" w:rsidRPr="00E83DA2" w:rsidRDefault="008D5AE5" w:rsidP="009845FB">
            <w:pPr>
              <w:rPr>
                <w:rFonts w:ascii="Gill Sans MT" w:hAnsi="Gill Sans MT"/>
                <w:b/>
                <w:kern w:val="28"/>
              </w:rPr>
            </w:pPr>
            <w:r w:rsidRPr="00E83DA2">
              <w:rPr>
                <w:rFonts w:ascii="Gill Sans MT" w:hAnsi="Gill Sans MT"/>
                <w:b/>
                <w:kern w:val="28"/>
              </w:rPr>
              <w:t>Features/Services</w:t>
            </w:r>
          </w:p>
        </w:tc>
      </w:tr>
      <w:tr w:rsidR="008D5AE5" w:rsidRPr="00E83DA2" w:rsidTr="009845FB">
        <w:tc>
          <w:tcPr>
            <w:tcW w:w="2838" w:type="dxa"/>
          </w:tcPr>
          <w:p w:rsidR="008D5AE5" w:rsidRPr="00C648EE" w:rsidRDefault="008D5AE5" w:rsidP="009845FB">
            <w:pPr>
              <w:rPr>
                <w:rFonts w:ascii="Gill Sans MT" w:hAnsi="Gill Sans MT"/>
                <w:kern w:val="28"/>
              </w:rPr>
            </w:pPr>
            <w:r w:rsidRPr="00C648EE">
              <w:rPr>
                <w:rFonts w:ascii="Gill Sans MT" w:hAnsi="Gill Sans MT"/>
                <w:kern w:val="28"/>
              </w:rPr>
              <w:t>Regional City</w:t>
            </w:r>
          </w:p>
        </w:tc>
        <w:tc>
          <w:tcPr>
            <w:tcW w:w="2810" w:type="dxa"/>
          </w:tcPr>
          <w:p w:rsidR="008D5AE5" w:rsidRPr="00C648EE" w:rsidRDefault="008D5AE5" w:rsidP="009845FB">
            <w:pPr>
              <w:rPr>
                <w:rFonts w:ascii="Gill Sans MT" w:hAnsi="Gill Sans MT"/>
                <w:kern w:val="28"/>
              </w:rPr>
            </w:pPr>
            <w:r w:rsidRPr="00C648EE">
              <w:rPr>
                <w:rFonts w:ascii="Gill Sans MT" w:hAnsi="Gill Sans MT"/>
                <w:kern w:val="28"/>
              </w:rPr>
              <w:t>Launceston City</w:t>
            </w:r>
          </w:p>
          <w:p w:rsidR="008D5AE5" w:rsidRPr="00C648EE" w:rsidRDefault="008D5AE5" w:rsidP="009845FB">
            <w:pPr>
              <w:rPr>
                <w:rFonts w:ascii="Gill Sans MT" w:hAnsi="Gill Sans MT"/>
                <w:kern w:val="28"/>
              </w:rPr>
            </w:pPr>
            <w:r w:rsidRPr="00C648EE">
              <w:rPr>
                <w:rFonts w:ascii="Gill Sans MT" w:hAnsi="Gill Sans MT"/>
                <w:kern w:val="28"/>
              </w:rPr>
              <w:t>Prospect Vale</w:t>
            </w:r>
          </w:p>
          <w:p w:rsidR="008D5AE5" w:rsidRPr="00C648EE" w:rsidRDefault="008D5AE5" w:rsidP="009845FB">
            <w:pPr>
              <w:rPr>
                <w:rFonts w:ascii="Gill Sans MT" w:hAnsi="Gill Sans MT"/>
                <w:kern w:val="28"/>
              </w:rPr>
            </w:pPr>
            <w:r w:rsidRPr="00C648EE">
              <w:rPr>
                <w:rFonts w:ascii="Gill Sans MT" w:hAnsi="Gill Sans MT"/>
                <w:kern w:val="28"/>
              </w:rPr>
              <w:t>Riverside</w:t>
            </w:r>
          </w:p>
        </w:tc>
        <w:tc>
          <w:tcPr>
            <w:tcW w:w="2880" w:type="dxa"/>
          </w:tcPr>
          <w:p w:rsidR="008D5AE5" w:rsidRPr="00C648EE" w:rsidRDefault="008D5AE5" w:rsidP="009845FB">
            <w:pPr>
              <w:rPr>
                <w:rFonts w:ascii="Gill Sans MT" w:hAnsi="Gill Sans MT"/>
                <w:kern w:val="28"/>
              </w:rPr>
            </w:pPr>
            <w:r w:rsidRPr="00C648EE">
              <w:rPr>
                <w:rFonts w:ascii="Gill Sans MT" w:hAnsi="Gill Sans MT"/>
                <w:kern w:val="28"/>
              </w:rPr>
              <w:t>Full provision of utilities and urban infrastructure</w:t>
            </w:r>
          </w:p>
          <w:p w:rsidR="008D5AE5" w:rsidRPr="00C648EE" w:rsidRDefault="008D5AE5" w:rsidP="009845FB">
            <w:pPr>
              <w:rPr>
                <w:rFonts w:ascii="Gill Sans MT" w:hAnsi="Gill Sans MT"/>
                <w:kern w:val="28"/>
              </w:rPr>
            </w:pPr>
            <w:r w:rsidRPr="00C648EE">
              <w:rPr>
                <w:rFonts w:ascii="Gill Sans MT" w:hAnsi="Gill Sans MT"/>
                <w:kern w:val="28"/>
              </w:rPr>
              <w:t>Central business district</w:t>
            </w:r>
          </w:p>
          <w:p w:rsidR="008D5AE5" w:rsidRPr="00C648EE" w:rsidRDefault="008D5AE5" w:rsidP="009845FB">
            <w:pPr>
              <w:rPr>
                <w:rFonts w:ascii="Gill Sans MT" w:hAnsi="Gill Sans MT"/>
                <w:kern w:val="28"/>
              </w:rPr>
            </w:pPr>
            <w:r w:rsidRPr="00C648EE">
              <w:rPr>
                <w:rFonts w:ascii="Gill Sans MT" w:hAnsi="Gill Sans MT"/>
                <w:kern w:val="28"/>
              </w:rPr>
              <w:t>Regional significant health and education facilities</w:t>
            </w:r>
          </w:p>
        </w:tc>
      </w:tr>
      <w:tr w:rsidR="008D5AE5" w:rsidRPr="00E83DA2" w:rsidTr="009845FB">
        <w:tc>
          <w:tcPr>
            <w:tcW w:w="2838"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Satellite Settlements</w:t>
            </w:r>
          </w:p>
        </w:tc>
        <w:tc>
          <w:tcPr>
            <w:tcW w:w="2810"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Legana</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Hadspen</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Evandale</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Perth</w:t>
            </w:r>
          </w:p>
        </w:tc>
        <w:tc>
          <w:tcPr>
            <w:tcW w:w="2880"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Key urban centre functions including local retail, commercial and community services</w:t>
            </w:r>
          </w:p>
        </w:tc>
      </w:tr>
    </w:tbl>
    <w:p w:rsidR="00F97775" w:rsidRDefault="00F97775" w:rsidP="009845FB">
      <w:pPr>
        <w:pStyle w:val="ListParagraph"/>
        <w:ind w:left="0"/>
        <w:rPr>
          <w:rFonts w:ascii="Gill Sans MT" w:eastAsiaTheme="majorEastAsia" w:hAnsi="Gill Sans MT" w:cstheme="majorBidi"/>
          <w:spacing w:val="5"/>
          <w:kern w:val="28"/>
        </w:rPr>
        <w:sectPr w:rsidR="00F97775" w:rsidSect="00103702">
          <w:pgSz w:w="11906" w:h="16838"/>
          <w:pgMar w:top="993" w:right="1797" w:bottom="709" w:left="1797" w:header="709" w:footer="544" w:gutter="0"/>
          <w:cols w:space="708"/>
          <w:docGrid w:linePitch="360"/>
        </w:sectPr>
      </w:pPr>
    </w:p>
    <w:tbl>
      <w:tblPr>
        <w:tblStyle w:val="TableGrid"/>
        <w:tblW w:w="0" w:type="auto"/>
        <w:tblLook w:val="04A0"/>
      </w:tblPr>
      <w:tblGrid>
        <w:gridCol w:w="2838"/>
        <w:gridCol w:w="2810"/>
        <w:gridCol w:w="2880"/>
      </w:tblGrid>
      <w:tr w:rsidR="008D5AE5" w:rsidRPr="00E83DA2" w:rsidTr="009845FB">
        <w:tc>
          <w:tcPr>
            <w:tcW w:w="2838"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lastRenderedPageBreak/>
              <w:t>District Centres</w:t>
            </w:r>
          </w:p>
        </w:tc>
        <w:tc>
          <w:tcPr>
            <w:tcW w:w="2810"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Longford</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Deloraine</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Campbell Town</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George Town (Bell Bay and Low Head)</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Beaconsfield</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Exeter</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St Helens</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Scottsdale</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Whitemark</w:t>
            </w:r>
          </w:p>
        </w:tc>
        <w:tc>
          <w:tcPr>
            <w:tcW w:w="2880"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Significant settlement areas with a wide range of services, often including local employment opportunities</w:t>
            </w:r>
          </w:p>
        </w:tc>
      </w:tr>
      <w:tr w:rsidR="008D5AE5" w:rsidRPr="00E83DA2" w:rsidTr="009845FB">
        <w:tc>
          <w:tcPr>
            <w:tcW w:w="2838"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Rural Towns</w:t>
            </w:r>
          </w:p>
        </w:tc>
        <w:tc>
          <w:tcPr>
            <w:tcW w:w="2810"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Lilydale</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Westbury</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Beauty Point</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St Marys</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Bridport</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Lady Barron</w:t>
            </w:r>
          </w:p>
        </w:tc>
        <w:tc>
          <w:tcPr>
            <w:tcW w:w="2880"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 xml:space="preserve">Larger townships, provide services, often where distances to major urban areas make regular travel difficult </w:t>
            </w:r>
          </w:p>
        </w:tc>
      </w:tr>
      <w:tr w:rsidR="008D5AE5" w:rsidRPr="00E83DA2" w:rsidTr="009845FB">
        <w:tc>
          <w:tcPr>
            <w:tcW w:w="2838"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Rural Villages</w:t>
            </w:r>
          </w:p>
        </w:tc>
        <w:tc>
          <w:tcPr>
            <w:tcW w:w="2810"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Ross</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Avoca</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Cressy</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Bracknell</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Carrick</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Chudleigh</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Greens Beach</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Meander</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Mole Creek</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Hagley</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Fingal</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Scamander</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Derby</w:t>
            </w:r>
          </w:p>
        </w:tc>
        <w:tc>
          <w:tcPr>
            <w:tcW w:w="2880"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Small mostly residential settlements with basic services for daily needs</w:t>
            </w:r>
          </w:p>
        </w:tc>
      </w:tr>
      <w:tr w:rsidR="008D5AE5" w:rsidRPr="00E83DA2" w:rsidTr="009845FB">
        <w:tc>
          <w:tcPr>
            <w:tcW w:w="2838"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Rural and Environmental Living</w:t>
            </w:r>
          </w:p>
        </w:tc>
        <w:tc>
          <w:tcPr>
            <w:tcW w:w="2810"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 xml:space="preserve">Balance areas including parts of George Town Pt B , Launceston Pt C </w:t>
            </w:r>
          </w:p>
        </w:tc>
        <w:tc>
          <w:tcPr>
            <w:tcW w:w="2880" w:type="dxa"/>
          </w:tcPr>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Residential settlements with limited or no services and commercial activity, often dispersed/low density</w:t>
            </w:r>
          </w:p>
          <w:p w:rsidR="008D5AE5" w:rsidRPr="00C648EE" w:rsidRDefault="008D5AE5" w:rsidP="009845FB">
            <w:pPr>
              <w:pStyle w:val="ListParagraph"/>
              <w:ind w:left="0"/>
              <w:rPr>
                <w:rFonts w:ascii="Gill Sans MT" w:eastAsiaTheme="majorEastAsia" w:hAnsi="Gill Sans MT" w:cstheme="majorBidi"/>
                <w:spacing w:val="5"/>
                <w:kern w:val="28"/>
              </w:rPr>
            </w:pPr>
            <w:r w:rsidRPr="00C648EE">
              <w:rPr>
                <w:rFonts w:ascii="Gill Sans MT" w:eastAsiaTheme="majorEastAsia" w:hAnsi="Gill Sans MT" w:cstheme="majorBidi"/>
                <w:spacing w:val="5"/>
                <w:kern w:val="28"/>
              </w:rPr>
              <w:t>May have a local convenience shop</w:t>
            </w:r>
          </w:p>
        </w:tc>
      </w:tr>
    </w:tbl>
    <w:p w:rsidR="008D5AE5" w:rsidRPr="00E83DA2" w:rsidRDefault="008D5AE5" w:rsidP="008D5AE5">
      <w:pPr>
        <w:pStyle w:val="ListParagraph"/>
        <w:ind w:left="0"/>
        <w:rPr>
          <w:rFonts w:ascii="Gill Sans MT" w:eastAsiaTheme="majorEastAsia" w:hAnsi="Gill Sans MT" w:cstheme="majorBidi"/>
          <w:color w:val="17365D" w:themeColor="text2" w:themeShade="BF"/>
          <w:spacing w:val="5"/>
          <w:kern w:val="28"/>
        </w:rPr>
      </w:pPr>
    </w:p>
    <w:p w:rsidR="008D5AE5" w:rsidRPr="00E83DA2" w:rsidRDefault="008D5AE5" w:rsidP="008D5AE5">
      <w:pPr>
        <w:rPr>
          <w:rFonts w:ascii="Gill Sans MT" w:hAnsi="Gill Sans MT"/>
        </w:rPr>
      </w:pPr>
      <w:r w:rsidRPr="00E83DA2">
        <w:rPr>
          <w:rFonts w:ascii="Gill Sans MT" w:hAnsi="Gill Sans MT"/>
        </w:rPr>
        <w:t>The hierarchy corresponds to expectations of service provision from Government</w:t>
      </w:r>
      <w:r>
        <w:rPr>
          <w:rFonts w:ascii="Gill Sans MT" w:hAnsi="Gill Sans MT"/>
        </w:rPr>
        <w:t>. For</w:t>
      </w:r>
      <w:r w:rsidRPr="00E83DA2">
        <w:rPr>
          <w:rFonts w:ascii="Gill Sans MT" w:hAnsi="Gill Sans MT"/>
        </w:rPr>
        <w:t xml:space="preserve"> </w:t>
      </w:r>
      <w:r>
        <w:rPr>
          <w:rFonts w:ascii="Gill Sans MT" w:hAnsi="Gill Sans MT"/>
        </w:rPr>
        <w:t>example, it would be unrealistic for</w:t>
      </w:r>
      <w:r w:rsidRPr="00E83DA2">
        <w:rPr>
          <w:rFonts w:ascii="Gill Sans MT" w:hAnsi="Gill Sans MT"/>
        </w:rPr>
        <w:t xml:space="preserve"> </w:t>
      </w:r>
      <w:r>
        <w:rPr>
          <w:rFonts w:ascii="Gill Sans MT" w:hAnsi="Gill Sans MT"/>
        </w:rPr>
        <w:t xml:space="preserve">all </w:t>
      </w:r>
      <w:r w:rsidRPr="00E83DA2">
        <w:rPr>
          <w:rFonts w:ascii="Gill Sans MT" w:hAnsi="Gill Sans MT"/>
        </w:rPr>
        <w:t>rural towns</w:t>
      </w:r>
      <w:r>
        <w:rPr>
          <w:rFonts w:ascii="Gill Sans MT" w:hAnsi="Gill Sans MT"/>
        </w:rPr>
        <w:t xml:space="preserve"> and</w:t>
      </w:r>
      <w:r w:rsidRPr="00E83DA2">
        <w:rPr>
          <w:rFonts w:ascii="Gill Sans MT" w:hAnsi="Gill Sans MT"/>
        </w:rPr>
        <w:t xml:space="preserve"> villages </w:t>
      </w:r>
      <w:r>
        <w:rPr>
          <w:rFonts w:ascii="Gill Sans MT" w:hAnsi="Gill Sans MT"/>
        </w:rPr>
        <w:t>to expect high-frequency and maximum-coverage public buses servicing their townships.</w:t>
      </w:r>
      <w:r w:rsidRPr="00E83DA2">
        <w:rPr>
          <w:rFonts w:ascii="Gill Sans MT" w:hAnsi="Gill Sans MT"/>
        </w:rPr>
        <w:t xml:space="preserve"> The cost of providing these services is much greater than for areas within the city as the population density is much lower.  G</w:t>
      </w:r>
      <w:r>
        <w:rPr>
          <w:rFonts w:ascii="Gill Sans MT" w:hAnsi="Gill Sans MT"/>
        </w:rPr>
        <w:t>overnment aims to provide large-</w:t>
      </w:r>
      <w:r w:rsidRPr="00E83DA2">
        <w:rPr>
          <w:rFonts w:ascii="Gill Sans MT" w:hAnsi="Gill Sans MT"/>
        </w:rPr>
        <w:t>scale services in the dominant population centres, with linkages from other centres so that people can access what they need.  Future housing development needs to be carefully planned around the provision of these services, so settlement patterns which support these categories focus on:</w:t>
      </w:r>
    </w:p>
    <w:p w:rsidR="008D5AE5" w:rsidRPr="00E83DA2" w:rsidRDefault="008D5AE5" w:rsidP="008D5AE5">
      <w:pPr>
        <w:pStyle w:val="ListParagraph"/>
        <w:numPr>
          <w:ilvl w:val="0"/>
          <w:numId w:val="47"/>
        </w:numPr>
        <w:rPr>
          <w:rFonts w:ascii="Gill Sans MT" w:hAnsi="Gill Sans MT"/>
        </w:rPr>
      </w:pPr>
      <w:r w:rsidRPr="00E83DA2">
        <w:rPr>
          <w:rFonts w:ascii="Gill Sans MT" w:hAnsi="Gill Sans MT"/>
        </w:rPr>
        <w:t>Promoting infill in existing centres</w:t>
      </w:r>
    </w:p>
    <w:p w:rsidR="008D5AE5" w:rsidRPr="00E83DA2" w:rsidRDefault="008D5AE5" w:rsidP="008D5AE5">
      <w:pPr>
        <w:pStyle w:val="ListParagraph"/>
        <w:numPr>
          <w:ilvl w:val="0"/>
          <w:numId w:val="47"/>
        </w:numPr>
        <w:rPr>
          <w:rFonts w:ascii="Gill Sans MT" w:hAnsi="Gill Sans MT"/>
        </w:rPr>
      </w:pPr>
      <w:r w:rsidRPr="00E83DA2">
        <w:rPr>
          <w:rFonts w:ascii="Gill Sans MT" w:hAnsi="Gill Sans MT"/>
        </w:rPr>
        <w:t>Redeveloping infrastructure rich areas</w:t>
      </w:r>
    </w:p>
    <w:p w:rsidR="008D5AE5" w:rsidRPr="005871B7" w:rsidRDefault="008D5AE5" w:rsidP="008D5AE5">
      <w:pPr>
        <w:pStyle w:val="ListParagraph"/>
        <w:numPr>
          <w:ilvl w:val="0"/>
          <w:numId w:val="47"/>
        </w:numPr>
      </w:pPr>
      <w:r w:rsidRPr="00B44FD9">
        <w:rPr>
          <w:rFonts w:ascii="Gill Sans MT" w:hAnsi="Gill Sans MT"/>
        </w:rPr>
        <w:lastRenderedPageBreak/>
        <w:t>Maximising residential yield in major new residential developments (</w:t>
      </w:r>
      <w:proofErr w:type="spellStart"/>
      <w:r w:rsidRPr="00B44FD9">
        <w:rPr>
          <w:rFonts w:ascii="Gill Sans MT" w:hAnsi="Gill Sans MT"/>
        </w:rPr>
        <w:t>ie</w:t>
      </w:r>
      <w:proofErr w:type="spellEnd"/>
      <w:r w:rsidRPr="00B44FD9">
        <w:rPr>
          <w:rFonts w:ascii="Gill Sans MT" w:hAnsi="Gill Sans MT"/>
        </w:rPr>
        <w:t xml:space="preserve"> best use of land</w:t>
      </w:r>
      <w:r>
        <w:rPr>
          <w:rFonts w:ascii="Gill Sans MT" w:hAnsi="Gill Sans MT"/>
        </w:rPr>
        <w:t>)</w:t>
      </w:r>
    </w:p>
    <w:p w:rsidR="008D5AE5" w:rsidRPr="00B51DB5" w:rsidRDefault="008D5AE5" w:rsidP="008D5AE5">
      <w:pPr>
        <w:pStyle w:val="ListParagraph"/>
        <w:numPr>
          <w:ilvl w:val="0"/>
          <w:numId w:val="47"/>
        </w:numPr>
      </w:pPr>
      <w:r>
        <w:rPr>
          <w:rFonts w:ascii="Gill Sans MT" w:hAnsi="Gill Sans MT"/>
        </w:rPr>
        <w:t>Protecting existing transport corridors from conflicting adjacent land uses which reduce their primary purpose and efficiency (</w:t>
      </w:r>
      <w:proofErr w:type="spellStart"/>
      <w:r>
        <w:rPr>
          <w:rFonts w:ascii="Gill Sans MT" w:hAnsi="Gill Sans MT"/>
        </w:rPr>
        <w:t>ie</w:t>
      </w:r>
      <w:proofErr w:type="spellEnd"/>
      <w:r>
        <w:rPr>
          <w:rFonts w:ascii="Gill Sans MT" w:hAnsi="Gill Sans MT"/>
        </w:rPr>
        <w:t>. Principal freight network)</w:t>
      </w:r>
    </w:p>
    <w:p w:rsidR="00B51DB5" w:rsidRDefault="00B51DB5" w:rsidP="00B51DB5">
      <w:pPr>
        <w:sectPr w:rsidR="00B51DB5" w:rsidSect="00103702">
          <w:pgSz w:w="11906" w:h="16838"/>
          <w:pgMar w:top="993" w:right="1797" w:bottom="709" w:left="1797" w:header="709" w:footer="544" w:gutter="0"/>
          <w:cols w:space="708"/>
          <w:docGrid w:linePitch="360"/>
        </w:sectPr>
      </w:pPr>
    </w:p>
    <w:p w:rsidR="00756B53" w:rsidRPr="00E83DA2" w:rsidRDefault="00756B53" w:rsidP="00756B53">
      <w:pPr>
        <w:pStyle w:val="Heading1"/>
        <w:rPr>
          <w:rFonts w:ascii="Gill Sans MT" w:hAnsi="Gill Sans MT"/>
        </w:rPr>
      </w:pPr>
      <w:r w:rsidRPr="00E83DA2">
        <w:rPr>
          <w:rFonts w:ascii="Gill Sans MT" w:hAnsi="Gill Sans MT"/>
        </w:rPr>
        <w:lastRenderedPageBreak/>
        <w:t>Freight - Infrastructure</w:t>
      </w:r>
      <w:bookmarkEnd w:id="61"/>
    </w:p>
    <w:p w:rsidR="00756B53" w:rsidRPr="00E83DA2" w:rsidRDefault="00756B53" w:rsidP="00756B53">
      <w:pPr>
        <w:pStyle w:val="Heading2"/>
      </w:pPr>
      <w:bookmarkStart w:id="70" w:name="_Toc332033591"/>
      <w:bookmarkStart w:id="71" w:name="_Toc332114091"/>
      <w:bookmarkStart w:id="72" w:name="_Toc332115666"/>
      <w:bookmarkStart w:id="73" w:name="_Toc332115757"/>
      <w:r w:rsidRPr="00E83DA2">
        <w:t>Key strategic issues</w:t>
      </w:r>
      <w:bookmarkEnd w:id="70"/>
      <w:bookmarkEnd w:id="71"/>
      <w:bookmarkEnd w:id="72"/>
      <w:bookmarkEnd w:id="73"/>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Uncertainties regarding immediate future of various industries in the Northern Region (forestry and forest products, agriculture and shipping at Bell Bay)</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Significant loss of secondary industry in North East over the last decade</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Impacts on freight task and different requirements for the freight system</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Adaptability of industry within planning frameworks</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Demand for flexibility in moving freight</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Extensive and ageing road and rail network</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Use of inappropriate urban roads impacting on the amenity of residential and retail areas</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Need to consolidate and centralise freight nodes (including ports)</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Diverse and spatially separated freight demand (eg forestry, mining, agriculture)</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Infrastructure constraints at different parts of the transport system (eg limitations on rural roads and bridges for freight movement)</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Predicted increases in food processing industries and niche products – future irrigation scheme</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Limited resources – Government being asked to do more with less</w:t>
      </w:r>
    </w:p>
    <w:p w:rsidR="00756B53" w:rsidRPr="00E83DA2" w:rsidRDefault="00756B53" w:rsidP="00756B53">
      <w:pPr>
        <w:pStyle w:val="ListParagraph"/>
        <w:numPr>
          <w:ilvl w:val="0"/>
          <w:numId w:val="42"/>
        </w:numPr>
        <w:rPr>
          <w:rFonts w:ascii="Gill Sans MT" w:hAnsi="Gill Sans MT"/>
        </w:rPr>
      </w:pPr>
      <w:r w:rsidRPr="00E83DA2">
        <w:rPr>
          <w:rFonts w:ascii="Gill Sans MT" w:hAnsi="Gill Sans MT"/>
        </w:rPr>
        <w:t>Growing transport demand in a carbon constrained economy</w:t>
      </w:r>
    </w:p>
    <w:p w:rsidR="00756B53" w:rsidRPr="00E83DA2" w:rsidRDefault="00756B53" w:rsidP="00756B53">
      <w:pPr>
        <w:pStyle w:val="Heading2"/>
      </w:pPr>
      <w:bookmarkStart w:id="74" w:name="_Toc332033592"/>
      <w:bookmarkStart w:id="75" w:name="_Toc332114093"/>
      <w:bookmarkStart w:id="76" w:name="_Toc332115668"/>
      <w:bookmarkStart w:id="77" w:name="_Toc332115759"/>
      <w:r w:rsidRPr="00E83DA2">
        <w:t>Background</w:t>
      </w:r>
      <w:bookmarkEnd w:id="74"/>
      <w:bookmarkEnd w:id="75"/>
      <w:bookmarkEnd w:id="76"/>
      <w:bookmarkEnd w:id="77"/>
    </w:p>
    <w:p w:rsidR="00756B53" w:rsidRPr="00E83DA2" w:rsidRDefault="00756B53" w:rsidP="00756B53">
      <w:pPr>
        <w:rPr>
          <w:rFonts w:ascii="Gill Sans MT" w:hAnsi="Gill Sans MT"/>
        </w:rPr>
      </w:pPr>
      <w:r w:rsidRPr="00E83DA2">
        <w:rPr>
          <w:rFonts w:ascii="Gill Sans MT" w:hAnsi="Gill Sans MT"/>
        </w:rPr>
        <w:t>Freight movement is important for the Northern Region.  Industries can generate high volumes of freight traffic both in urban areas and across the region.  The location of different industries in relation to roads, rail, ports, airports and other infrastructure and services is a key demand driver of the transport system.   Industries and businesses can also have an impact on the community through noise, water supply and waste disposal.</w:t>
      </w:r>
    </w:p>
    <w:p w:rsidR="00756B53" w:rsidRPr="00E83DA2" w:rsidRDefault="00756B53" w:rsidP="00756B53">
      <w:pPr>
        <w:rPr>
          <w:rFonts w:ascii="Gill Sans MT" w:hAnsi="Gill Sans MT"/>
        </w:rPr>
      </w:pPr>
      <w:r w:rsidRPr="00E83DA2">
        <w:rPr>
          <w:rFonts w:ascii="Gill Sans MT" w:hAnsi="Gill Sans MT"/>
        </w:rPr>
        <w:t xml:space="preserve">In order to better understand the transport system, how it operates and how transport infrastructure is used, it is essential to gain an understanding of freight and how it moves in the Northern Region.   The relationship between industry and the transport system involves supply and demand: the location of industrial areas and their linkages to the transport system, and current freight movements and how this demand will change in the future. </w:t>
      </w:r>
    </w:p>
    <w:p w:rsidR="00756B53" w:rsidRPr="00E83DA2" w:rsidRDefault="00756B53" w:rsidP="00756B53">
      <w:pPr>
        <w:rPr>
          <w:rFonts w:ascii="Gill Sans MT" w:hAnsi="Gill Sans MT"/>
        </w:rPr>
      </w:pPr>
      <w:r w:rsidRPr="00E83DA2">
        <w:rPr>
          <w:rFonts w:ascii="Gill Sans MT" w:hAnsi="Gill Sans MT"/>
        </w:rPr>
        <w:t>The freight task is heavily focused on the State road network.  Freight predominantly moves intra-state via road, with rail generally being used for bulk goods travelling longer distances. There have been a number of industry changes within the Region in recent times which have an impact on freight and how it moves, including decreases in forestry and manufacturing and increasing investment in agriculture and the irrigation network.</w:t>
      </w:r>
    </w:p>
    <w:p w:rsidR="00811D23" w:rsidRPr="00811D23" w:rsidRDefault="00811D23" w:rsidP="00811D23">
      <w:pPr>
        <w:rPr>
          <w:rFonts w:ascii="Gill Sans MT" w:hAnsi="Gill Sans MT"/>
        </w:rPr>
      </w:pPr>
      <w:bookmarkStart w:id="78" w:name="_Toc332033593"/>
      <w:bookmarkStart w:id="79" w:name="_Toc332114094"/>
      <w:bookmarkStart w:id="80" w:name="_Toc332115669"/>
      <w:bookmarkStart w:id="81" w:name="_Toc332115760"/>
      <w:r w:rsidRPr="00C47C06">
        <w:rPr>
          <w:rFonts w:ascii="Gill Sans MT" w:hAnsi="Gill Sans MT"/>
        </w:rPr>
        <w:lastRenderedPageBreak/>
        <w:t xml:space="preserve">The Australian Government </w:t>
      </w:r>
      <w:r>
        <w:rPr>
          <w:rFonts w:ascii="Gill Sans MT" w:hAnsi="Gill Sans MT"/>
        </w:rPr>
        <w:t xml:space="preserve">has </w:t>
      </w:r>
      <w:r w:rsidRPr="00C47C06">
        <w:rPr>
          <w:rFonts w:ascii="Gill Sans MT" w:hAnsi="Gill Sans MT"/>
        </w:rPr>
        <w:t>provided $1.5 million for the establishment of a Freight Logistics Coordination Team.  The Team will provide expert advice and guide the completion of a long-term freight strategy in Tasmania</w:t>
      </w:r>
      <w:r>
        <w:rPr>
          <w:rFonts w:ascii="Gill Sans MT" w:hAnsi="Gill Sans MT"/>
        </w:rPr>
        <w:t>, providing</w:t>
      </w:r>
      <w:r w:rsidRPr="00C47C06">
        <w:rPr>
          <w:rFonts w:ascii="Gill Sans MT" w:hAnsi="Gill Sans MT"/>
        </w:rPr>
        <w:t xml:space="preserve"> recommendations to the Minister for Infrastructure on Tasmanian supply chain issues as part of this process.</w:t>
      </w:r>
    </w:p>
    <w:p w:rsidR="00756B53" w:rsidRPr="00E83DA2" w:rsidRDefault="00756B53" w:rsidP="00756B53">
      <w:pPr>
        <w:pStyle w:val="Heading2"/>
      </w:pPr>
      <w:r w:rsidRPr="00E83DA2">
        <w:t>Overview road network</w:t>
      </w:r>
      <w:bookmarkEnd w:id="78"/>
      <w:bookmarkEnd w:id="79"/>
      <w:bookmarkEnd w:id="80"/>
      <w:bookmarkEnd w:id="81"/>
    </w:p>
    <w:p w:rsidR="00756B53" w:rsidRPr="00E83DA2" w:rsidRDefault="00756B53" w:rsidP="00756B53">
      <w:pPr>
        <w:spacing w:after="0"/>
        <w:rPr>
          <w:rFonts w:ascii="Gill Sans MT" w:hAnsi="Gill Sans MT"/>
        </w:rPr>
      </w:pPr>
      <w:r w:rsidRPr="00E83DA2">
        <w:rPr>
          <w:rFonts w:ascii="Gill Sans MT" w:hAnsi="Gill Sans MT"/>
        </w:rPr>
        <w:t>Road is the dominant mode for freight transport, with an extensive public network of approximately 7,500km</w:t>
      </w:r>
      <w:r w:rsidRPr="00E83DA2">
        <w:rPr>
          <w:rStyle w:val="FootnoteReference"/>
          <w:rFonts w:ascii="Gill Sans MT" w:hAnsi="Gill Sans MT"/>
        </w:rPr>
        <w:footnoteReference w:id="2"/>
      </w:r>
      <w:r w:rsidRPr="00E83DA2">
        <w:rPr>
          <w:rFonts w:ascii="Gill Sans MT" w:hAnsi="Gill Sans MT"/>
        </w:rPr>
        <w:t xml:space="preserve"> connecting rural and urban areas and linking to other regions.  Just over half or 3,775km is sealed, and the total represents 35% of Tasmania’s public road network.   Ownership of the network comprises:</w:t>
      </w:r>
    </w:p>
    <w:p w:rsidR="00756B53" w:rsidRPr="00E83DA2" w:rsidRDefault="00756B53" w:rsidP="00756B53">
      <w:pPr>
        <w:numPr>
          <w:ilvl w:val="0"/>
          <w:numId w:val="8"/>
        </w:numPr>
        <w:spacing w:after="0"/>
        <w:ind w:left="748" w:hanging="357"/>
        <w:rPr>
          <w:rFonts w:ascii="Gill Sans MT" w:hAnsi="Gill Sans MT"/>
        </w:rPr>
      </w:pPr>
      <w:r w:rsidRPr="00E83DA2">
        <w:rPr>
          <w:rFonts w:ascii="Gill Sans MT" w:hAnsi="Gill Sans MT"/>
        </w:rPr>
        <w:t>1,150km of DIER managed state roads - all but 7km are sealed. This component includes the two National Highway segments, the Midland and Bass Highways totalling X km.</w:t>
      </w:r>
    </w:p>
    <w:p w:rsidR="00756B53" w:rsidRPr="00E83DA2" w:rsidRDefault="00756B53" w:rsidP="00756B53">
      <w:pPr>
        <w:numPr>
          <w:ilvl w:val="0"/>
          <w:numId w:val="8"/>
        </w:numPr>
        <w:spacing w:after="0"/>
        <w:ind w:left="748" w:hanging="357"/>
        <w:rPr>
          <w:rFonts w:ascii="Gill Sans MT" w:hAnsi="Gill Sans MT"/>
        </w:rPr>
      </w:pPr>
      <w:r w:rsidRPr="00E83DA2">
        <w:rPr>
          <w:rFonts w:ascii="Gill Sans MT" w:hAnsi="Gill Sans MT"/>
        </w:rPr>
        <w:t>approximately 4,800km of local government roads  - 2,587km sealed / 2,211km unsealed</w:t>
      </w:r>
    </w:p>
    <w:p w:rsidR="00756B53" w:rsidRPr="00E83DA2" w:rsidRDefault="00756B53" w:rsidP="00756B53">
      <w:pPr>
        <w:numPr>
          <w:ilvl w:val="0"/>
          <w:numId w:val="8"/>
        </w:numPr>
        <w:spacing w:after="0"/>
        <w:ind w:left="748" w:hanging="357"/>
        <w:rPr>
          <w:rFonts w:ascii="Gill Sans MT" w:hAnsi="Gill Sans MT"/>
        </w:rPr>
      </w:pPr>
      <w:r w:rsidRPr="00E83DA2">
        <w:rPr>
          <w:rFonts w:ascii="Gill Sans MT" w:hAnsi="Gill Sans MT"/>
        </w:rPr>
        <w:t xml:space="preserve">approximately 1,575km of other public roads – predominantly owned by Forestry Tasmania with all but 45km unsealed   </w:t>
      </w:r>
    </w:p>
    <w:p w:rsidR="00756B53" w:rsidRPr="00E83DA2" w:rsidRDefault="00756B53" w:rsidP="00756B53">
      <w:pPr>
        <w:pStyle w:val="Heading4"/>
        <w:rPr>
          <w:rFonts w:eastAsiaTheme="minorHAnsi" w:cstheme="minorBidi"/>
          <w:b w:val="0"/>
          <w:bCs w:val="0"/>
          <w:i w:val="0"/>
          <w:iCs w:val="0"/>
          <w:color w:val="auto"/>
        </w:rPr>
      </w:pPr>
      <w:r w:rsidRPr="00E83DA2">
        <w:rPr>
          <w:rFonts w:eastAsiaTheme="minorHAnsi" w:cstheme="minorBidi"/>
          <w:b w:val="0"/>
          <w:bCs w:val="0"/>
          <w:i w:val="0"/>
          <w:iCs w:val="0"/>
          <w:color w:val="auto"/>
        </w:rPr>
        <w:t>While the majority (64%) of the public road network is owned by local government, the State owned (15%) portion carries the most intensive freight (check this) task and connects  all major population centres, export points and major industrial areas.   In 2008/09 the state road network carried 78% of the northern region’s heavy freight task in tonne-kilometres</w:t>
      </w:r>
      <w:r w:rsidRPr="00E83DA2">
        <w:rPr>
          <w:rFonts w:eastAsiaTheme="minorHAnsi" w:cstheme="minorBidi"/>
          <w:b w:val="0"/>
          <w:bCs w:val="0"/>
          <w:i w:val="0"/>
          <w:iCs w:val="0"/>
          <w:color w:val="auto"/>
          <w:vertAlign w:val="superscript"/>
        </w:rPr>
        <w:footnoteReference w:id="3"/>
      </w:r>
      <w:r w:rsidRPr="00E83DA2">
        <w:rPr>
          <w:rFonts w:eastAsiaTheme="minorHAnsi" w:cstheme="minorBidi"/>
          <w:b w:val="0"/>
          <w:bCs w:val="0"/>
          <w:i w:val="0"/>
          <w:iCs w:val="0"/>
          <w:color w:val="auto"/>
        </w:rPr>
        <w:t>.</w:t>
      </w:r>
    </w:p>
    <w:p w:rsidR="00756B53" w:rsidRPr="00E83DA2" w:rsidRDefault="00756B53" w:rsidP="00756B53">
      <w:pPr>
        <w:rPr>
          <w:rFonts w:ascii="Gill Sans MT" w:hAnsi="Gill Sans MT"/>
        </w:rPr>
      </w:pPr>
      <w:r w:rsidRPr="00E83DA2">
        <w:rPr>
          <w:rFonts w:ascii="Gill Sans MT" w:hAnsi="Gill Sans MT"/>
        </w:rPr>
        <w:t>The topography of the area is important in defining many of the region’s transport links and alignment.  Eg In metropolitan Launceston, there are a limited number of routes that freight vehicles can take to get across the city, partly due to the location of the Tamar River, Cataract Gorge and steep terrain on the edges of the city.</w:t>
      </w:r>
    </w:p>
    <w:p w:rsidR="00756B53" w:rsidRPr="00E83DA2" w:rsidRDefault="00756B53" w:rsidP="00756B53">
      <w:pPr>
        <w:pStyle w:val="Subtitle"/>
        <w:rPr>
          <w:rFonts w:ascii="Gill Sans MT" w:hAnsi="Gill Sans MT"/>
        </w:rPr>
      </w:pPr>
      <w:r w:rsidRPr="00E83DA2">
        <w:rPr>
          <w:rFonts w:ascii="Gill Sans MT" w:hAnsi="Gill Sans MT"/>
        </w:rPr>
        <w:t xml:space="preserve">Key inter-regional links </w:t>
      </w:r>
    </w:p>
    <w:p w:rsidR="00756B53" w:rsidRPr="00E83DA2" w:rsidRDefault="00756B53" w:rsidP="00756B53">
      <w:pPr>
        <w:rPr>
          <w:rFonts w:ascii="Gill Sans MT" w:hAnsi="Gill Sans MT"/>
        </w:rPr>
      </w:pPr>
      <w:r w:rsidRPr="00E83DA2">
        <w:rPr>
          <w:rFonts w:ascii="Gill Sans MT" w:hAnsi="Gill Sans MT"/>
        </w:rPr>
        <w:t xml:space="preserve">The key inter-regional links are the most important road and rail links enabling movements of passenger vehicles between large population centres in the three regions and movement of freight across regional boundaries to major shipping, processing or industrial sites.  The Roads include Illawarra Main Road and Bass, Midland and East Tamar Highways and Southern, Western and Bell Bay rail lines.   </w:t>
      </w:r>
    </w:p>
    <w:p w:rsidR="00756B53" w:rsidRPr="00E83DA2" w:rsidRDefault="00756B53" w:rsidP="00756B53">
      <w:pPr>
        <w:rPr>
          <w:rFonts w:ascii="Gill Sans MT" w:hAnsi="Gill Sans MT"/>
        </w:rPr>
      </w:pPr>
      <w:r w:rsidRPr="00E83DA2">
        <w:rPr>
          <w:rFonts w:ascii="Gill Sans MT" w:hAnsi="Gill Sans MT"/>
        </w:rPr>
        <w:t>These key links align with National Land Transport Network road and rail corridors (with exception of Illawar</w:t>
      </w:r>
      <w:r w:rsidR="00AC4AE8">
        <w:rPr>
          <w:rFonts w:ascii="Gill Sans MT" w:hAnsi="Gill Sans MT"/>
        </w:rPr>
        <w:t>r</w:t>
      </w:r>
      <w:r w:rsidRPr="00E83DA2">
        <w:rPr>
          <w:rFonts w:ascii="Gill Sans MT" w:hAnsi="Gill Sans MT"/>
        </w:rPr>
        <w:t>a Main Road which is not included) and the State owned roads align with DIER’s Tasmanian Road Hierarchy Category 1 Trunk Roads classification.</w:t>
      </w:r>
    </w:p>
    <w:p w:rsidR="00756B53" w:rsidRPr="00E83DA2" w:rsidRDefault="00756B53" w:rsidP="00756B53">
      <w:pPr>
        <w:rPr>
          <w:rFonts w:ascii="Gill Sans MT" w:hAnsi="Gill Sans MT"/>
        </w:rPr>
      </w:pPr>
      <w:r w:rsidRPr="00E83DA2">
        <w:rPr>
          <w:rFonts w:ascii="Gill Sans MT" w:hAnsi="Gill Sans MT"/>
        </w:rPr>
        <w:lastRenderedPageBreak/>
        <w:t>The Bass Highway links the Northern Region to the North West, in particular to Devonport and Burnie which are the North West region’s most populous towns and Tasmania’s major container shipping ports.  The Midland Highway links the North and South regions, and the two major population centres of Hobart and Launceston.  These two highways in combination with Illawarra Main Road also serve as the major inter-regional link for vehicles travelling between the South and North West regions.</w:t>
      </w:r>
    </w:p>
    <w:p w:rsidR="00756B53" w:rsidRPr="00E83DA2" w:rsidRDefault="00756B53" w:rsidP="00756B53">
      <w:pPr>
        <w:rPr>
          <w:rFonts w:ascii="Gill Sans MT" w:hAnsi="Gill Sans MT"/>
        </w:rPr>
      </w:pPr>
      <w:r w:rsidRPr="00E83DA2">
        <w:rPr>
          <w:rFonts w:ascii="Gill Sans MT" w:hAnsi="Gill Sans MT"/>
        </w:rPr>
        <w:t xml:space="preserve">Similarly, the importance of the Southern and Western Rail Lines as key inter-regional links is largely as a result of freight between the South and North West regions, with just a small component having an origin or destination in the northern region.  </w:t>
      </w:r>
    </w:p>
    <w:p w:rsidR="00756B53" w:rsidRPr="00E83DA2" w:rsidRDefault="00756B53" w:rsidP="00756B53">
      <w:pPr>
        <w:rPr>
          <w:rFonts w:ascii="Gill Sans MT" w:hAnsi="Gill Sans MT"/>
        </w:rPr>
      </w:pPr>
      <w:r w:rsidRPr="00E83DA2">
        <w:rPr>
          <w:rFonts w:ascii="Gill Sans MT" w:hAnsi="Gill Sans MT"/>
        </w:rPr>
        <w:t>The major freight components by tonnage on the Bass and Midland Highways are agricultural products and consumer goods which in combination make up approximately 2/3 of the freight task.  On the East Tamar Highway forestry logs dominate the task with agriculture the largest component.  Inter-regional rail links carry a far lower task than the road links (annually 0.2-0.7 million tonnes compared to 2.5-3.5 million tonnes) with major freight components wood products, agricultural products and zinc making up over 80% of the task.</w:t>
      </w:r>
    </w:p>
    <w:p w:rsidR="00756B53" w:rsidRPr="00E83DA2" w:rsidRDefault="00756B53" w:rsidP="00756B53">
      <w:pPr>
        <w:rPr>
          <w:rFonts w:ascii="Gill Sans MT" w:hAnsi="Gill Sans MT"/>
        </w:rPr>
      </w:pPr>
      <w:r w:rsidRPr="00E83DA2">
        <w:rPr>
          <w:rFonts w:ascii="Gill Sans MT" w:hAnsi="Gill Sans MT"/>
        </w:rPr>
        <w:t>Both the East Tamar Highway and Bell Bay rail line have been included as inter-regional links because of their connection with the Bell Bay and Longreach industrial areas and Bell Bay Port.  Recent reductions in shipping services combined with a contraction in the forestry industry have resulted in a large decline in freight on both of these links, and the likelihood and timing of future industrial expansion or trade increase through the port expansion resulting in increase in freight on these links remains uncertain.  Despite currently serving a greater regional function, they are included as inter-regional links given their past and possible future role.</w:t>
      </w:r>
    </w:p>
    <w:p w:rsidR="00756B53" w:rsidRPr="00E83DA2" w:rsidRDefault="00756B53" w:rsidP="00756B53">
      <w:pPr>
        <w:rPr>
          <w:rFonts w:ascii="Gill Sans MT" w:hAnsi="Gill Sans MT"/>
        </w:rPr>
      </w:pPr>
      <w:r w:rsidRPr="00E83DA2">
        <w:rPr>
          <w:rFonts w:ascii="Gill Sans MT" w:hAnsi="Gill Sans MT"/>
        </w:rPr>
        <w:t xml:space="preserve">A number of council owned roads provide linkages through metropolitan or industrial areas on these key inter-regional routes and their performance is important factor in determining how the route operates as a whole.  For example Bathurst &amp; Wellington Streets connect the Midland and East Tamar Highways though Launceston and are important in the key inter-regional link from the Port of Bell Bay to southern Tasmania.   These metropolitan links do also play an important role locally for urban passenger and freight transport and therefore are discussed in greater detail there.   </w:t>
      </w:r>
    </w:p>
    <w:p w:rsidR="00756B53" w:rsidRPr="00E83DA2" w:rsidRDefault="00756B53" w:rsidP="00756B53">
      <w:pPr>
        <w:pStyle w:val="Subtitle"/>
        <w:rPr>
          <w:rFonts w:ascii="Gill Sans MT" w:hAnsi="Gill Sans MT"/>
        </w:rPr>
      </w:pPr>
      <w:r w:rsidRPr="00E83DA2">
        <w:rPr>
          <w:rFonts w:ascii="Gill Sans MT" w:hAnsi="Gill Sans MT"/>
        </w:rPr>
        <w:t>Key regional links</w:t>
      </w:r>
    </w:p>
    <w:p w:rsidR="00756B53" w:rsidRPr="00E83DA2" w:rsidRDefault="00756B53" w:rsidP="00756B53">
      <w:pPr>
        <w:rPr>
          <w:rFonts w:ascii="Gill Sans MT" w:hAnsi="Gill Sans MT"/>
        </w:rPr>
      </w:pPr>
      <w:r w:rsidRPr="00E83DA2">
        <w:rPr>
          <w:rFonts w:ascii="Gill Sans MT" w:hAnsi="Gill Sans MT"/>
        </w:rPr>
        <w:t xml:space="preserve">Regional roads serve an important role in moving people from regional and rural areas to major regional cities or key inter-regional links, and in transporting freight from resource and industrial areas to export and processing points.  Some key inter-regional links, such as the East Tamar Highway, also play an important regional role. </w:t>
      </w:r>
    </w:p>
    <w:p w:rsidR="00756B53" w:rsidRPr="00E83DA2" w:rsidRDefault="00756B53" w:rsidP="00756B53">
      <w:pPr>
        <w:rPr>
          <w:rFonts w:ascii="Gill Sans MT" w:hAnsi="Gill Sans MT"/>
        </w:rPr>
      </w:pPr>
      <w:r w:rsidRPr="00E83DA2">
        <w:rPr>
          <w:rFonts w:ascii="Gill Sans MT" w:hAnsi="Gill Sans MT"/>
        </w:rPr>
        <w:lastRenderedPageBreak/>
        <w:t>In the Northern Region, regional roads in general move mainly forestry and agriculture products or inputs.  Some specific road and rail linkages are also important for transport of local construction materials, mined resources su</w:t>
      </w:r>
      <w:r w:rsidR="00811D23">
        <w:rPr>
          <w:rFonts w:ascii="Gill Sans MT" w:hAnsi="Gill Sans MT"/>
        </w:rPr>
        <w:t xml:space="preserve">ch as coal, or consumer goods.  </w:t>
      </w:r>
      <w:r w:rsidRPr="00E83DA2">
        <w:rPr>
          <w:rFonts w:ascii="Gill Sans MT" w:hAnsi="Gill Sans MT"/>
        </w:rPr>
        <w:t>The Fingal rail line is the only regional rail link, while strategic regional roads include:</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 xml:space="preserve">Batman Highway </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Tasman Highway</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West Tamar Highway</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Frankford and Birralee Main Roads</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Bridport Main Road</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Esk Main Road</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Poatina Main Road</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Evandale Main Road</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Lilydale and Golconda Roads</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Lady Barron Main Road</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Gladstone Main Road</w:t>
      </w:r>
    </w:p>
    <w:p w:rsidR="00756B53" w:rsidRPr="00E83DA2" w:rsidRDefault="00756B53" w:rsidP="00756B53">
      <w:pPr>
        <w:numPr>
          <w:ilvl w:val="0"/>
          <w:numId w:val="43"/>
        </w:numPr>
        <w:spacing w:after="0"/>
        <w:rPr>
          <w:rFonts w:ascii="Gill Sans MT" w:hAnsi="Gill Sans MT"/>
        </w:rPr>
      </w:pPr>
      <w:r w:rsidRPr="00E83DA2">
        <w:rPr>
          <w:rFonts w:ascii="Gill Sans MT" w:hAnsi="Gill Sans MT"/>
        </w:rPr>
        <w:t>Ringarooma Main Road</w:t>
      </w:r>
    </w:p>
    <w:p w:rsidR="00756B53" w:rsidRPr="00E83DA2" w:rsidRDefault="00756B53" w:rsidP="00756B53">
      <w:pPr>
        <w:numPr>
          <w:ilvl w:val="0"/>
          <w:numId w:val="43"/>
        </w:numPr>
        <w:rPr>
          <w:rFonts w:ascii="Gill Sans MT" w:hAnsi="Gill Sans MT"/>
        </w:rPr>
      </w:pPr>
      <w:r w:rsidRPr="00E83DA2">
        <w:rPr>
          <w:rFonts w:ascii="Gill Sans MT" w:hAnsi="Gill Sans MT"/>
        </w:rPr>
        <w:t>Lake Leake Main Road</w:t>
      </w:r>
    </w:p>
    <w:p w:rsidR="00756B53" w:rsidRPr="00E83DA2" w:rsidRDefault="00756B53" w:rsidP="00756B53">
      <w:pPr>
        <w:rPr>
          <w:rFonts w:ascii="Gill Sans MT" w:hAnsi="Gill Sans MT"/>
        </w:rPr>
      </w:pPr>
      <w:r w:rsidRPr="00E83DA2">
        <w:rPr>
          <w:rFonts w:ascii="Gill Sans MT" w:hAnsi="Gill Sans MT"/>
        </w:rPr>
        <w:t>Council owned sections through towns on these key regional links are integral to the routes’ performance.</w:t>
      </w:r>
    </w:p>
    <w:p w:rsidR="00756B53" w:rsidRPr="00E83DA2" w:rsidRDefault="00756B53" w:rsidP="00756B53">
      <w:pPr>
        <w:pStyle w:val="Subtitle"/>
        <w:rPr>
          <w:rFonts w:ascii="Gill Sans MT" w:hAnsi="Gill Sans MT"/>
        </w:rPr>
      </w:pPr>
      <w:r w:rsidRPr="00E83DA2">
        <w:rPr>
          <w:rFonts w:ascii="Gill Sans MT" w:hAnsi="Gill Sans MT"/>
        </w:rPr>
        <w:t>Key metropolitan links and urban transport corridors</w:t>
      </w:r>
    </w:p>
    <w:p w:rsidR="00756B53" w:rsidRPr="00E83DA2" w:rsidRDefault="00756B53" w:rsidP="00756B53">
      <w:pPr>
        <w:rPr>
          <w:rFonts w:ascii="Gill Sans MT" w:hAnsi="Gill Sans MT"/>
        </w:rPr>
      </w:pPr>
      <w:r w:rsidRPr="00E83DA2">
        <w:rPr>
          <w:rFonts w:ascii="Gill Sans MT" w:hAnsi="Gill Sans MT"/>
        </w:rPr>
        <w:t>Strategic urban roads are critical links in the region’s freight and passenger networks. Key metropolitan links and urban transport corridors in Launceston include:</w:t>
      </w:r>
    </w:p>
    <w:p w:rsidR="00756B53" w:rsidRPr="00E83DA2" w:rsidRDefault="00756B53" w:rsidP="00756B53">
      <w:pPr>
        <w:pStyle w:val="ListParagraph"/>
        <w:numPr>
          <w:ilvl w:val="0"/>
          <w:numId w:val="44"/>
        </w:numPr>
        <w:rPr>
          <w:rFonts w:ascii="Gill Sans MT" w:hAnsi="Gill Sans MT"/>
          <w:i/>
        </w:rPr>
      </w:pPr>
      <w:r w:rsidRPr="00E83DA2">
        <w:rPr>
          <w:rFonts w:ascii="Gill Sans MT" w:hAnsi="Gill Sans MT"/>
          <w:i/>
        </w:rPr>
        <w:t>Bathurst / Wellington Streets couplet</w:t>
      </w:r>
      <w:r w:rsidRPr="00E83DA2">
        <w:rPr>
          <w:rFonts w:ascii="Gill Sans MT" w:hAnsi="Gill Sans MT"/>
        </w:rPr>
        <w:t xml:space="preserve">: the key links through central Launceston, linking the southern and northern suburbs of Launceston and vital role connecting regional or inter-regional links north and south of the city.  </w:t>
      </w:r>
    </w:p>
    <w:p w:rsidR="00756B53" w:rsidRPr="00E83DA2" w:rsidRDefault="00756B53" w:rsidP="00756B53">
      <w:pPr>
        <w:numPr>
          <w:ilvl w:val="0"/>
          <w:numId w:val="44"/>
        </w:numPr>
        <w:rPr>
          <w:rFonts w:ascii="Gill Sans MT" w:hAnsi="Gill Sans MT"/>
          <w:i/>
        </w:rPr>
      </w:pPr>
      <w:r w:rsidRPr="00E83DA2">
        <w:rPr>
          <w:rFonts w:ascii="Gill Sans MT" w:hAnsi="Gill Sans MT"/>
          <w:i/>
        </w:rPr>
        <w:t xml:space="preserve">Charles / </w:t>
      </w:r>
      <w:proofErr w:type="spellStart"/>
      <w:r w:rsidRPr="00E83DA2">
        <w:rPr>
          <w:rFonts w:ascii="Gill Sans MT" w:hAnsi="Gill Sans MT"/>
          <w:i/>
        </w:rPr>
        <w:t>Goderich</w:t>
      </w:r>
      <w:proofErr w:type="spellEnd"/>
      <w:r w:rsidRPr="00E83DA2">
        <w:rPr>
          <w:rFonts w:ascii="Gill Sans MT" w:hAnsi="Gill Sans MT"/>
          <w:i/>
        </w:rPr>
        <w:t xml:space="preserve"> Streets</w:t>
      </w:r>
      <w:r w:rsidRPr="00E83DA2">
        <w:rPr>
          <w:rFonts w:ascii="Gill Sans MT" w:hAnsi="Gill Sans MT"/>
        </w:rPr>
        <w:t>: north of Launceston serving a similar role to Bathurst and Wellington Streets connecting the East Tamar Highway to central Launceston and used as a major urban route from Invermay, Mowbray, Newnham, Mayfield and Rocherlea</w:t>
      </w:r>
    </w:p>
    <w:p w:rsidR="00756B53" w:rsidRPr="00E83DA2" w:rsidRDefault="00756B53" w:rsidP="00756B53">
      <w:pPr>
        <w:numPr>
          <w:ilvl w:val="0"/>
          <w:numId w:val="44"/>
        </w:numPr>
        <w:rPr>
          <w:rFonts w:ascii="Gill Sans MT" w:hAnsi="Gill Sans MT"/>
          <w:i/>
        </w:rPr>
      </w:pPr>
      <w:r w:rsidRPr="00E83DA2">
        <w:rPr>
          <w:rFonts w:ascii="Gill Sans MT" w:hAnsi="Gill Sans MT"/>
          <w:i/>
        </w:rPr>
        <w:t>West Tamar Road</w:t>
      </w:r>
      <w:r w:rsidRPr="00E83DA2">
        <w:rPr>
          <w:rFonts w:ascii="Gill Sans MT" w:hAnsi="Gill Sans MT"/>
        </w:rPr>
        <w:t>: key passenger route from suburbs on the western shore of the Tamar River including Trevallyn, Riverside and satellite suburbs further north including Legana, Rosevears and Grindelwald</w:t>
      </w:r>
    </w:p>
    <w:p w:rsidR="00756B53" w:rsidRPr="00E83DA2" w:rsidRDefault="00756B53" w:rsidP="00756B53">
      <w:pPr>
        <w:numPr>
          <w:ilvl w:val="0"/>
          <w:numId w:val="44"/>
        </w:numPr>
        <w:rPr>
          <w:rFonts w:ascii="Gill Sans MT" w:hAnsi="Gill Sans MT"/>
          <w:i/>
        </w:rPr>
      </w:pPr>
      <w:r w:rsidRPr="00E83DA2">
        <w:rPr>
          <w:rFonts w:ascii="Gill Sans MT" w:hAnsi="Gill Sans MT"/>
          <w:i/>
        </w:rPr>
        <w:t>Westbury Road:</w:t>
      </w:r>
      <w:r w:rsidRPr="00E83DA2">
        <w:rPr>
          <w:rFonts w:ascii="Gill Sans MT" w:hAnsi="Gill Sans MT"/>
        </w:rPr>
        <w:t xml:space="preserve"> Major route from western suburbs Prospect, Summerhill, Prospect Vale and satellite suburb of Blackstone Heights</w:t>
      </w:r>
    </w:p>
    <w:p w:rsidR="00756B53" w:rsidRPr="00E83DA2" w:rsidRDefault="00756B53" w:rsidP="00756B53">
      <w:pPr>
        <w:numPr>
          <w:ilvl w:val="0"/>
          <w:numId w:val="44"/>
        </w:numPr>
        <w:rPr>
          <w:rFonts w:ascii="Gill Sans MT" w:hAnsi="Gill Sans MT"/>
          <w:i/>
        </w:rPr>
      </w:pPr>
      <w:r w:rsidRPr="00E83DA2">
        <w:rPr>
          <w:rFonts w:ascii="Gill Sans MT" w:hAnsi="Gill Sans MT"/>
          <w:i/>
        </w:rPr>
        <w:t xml:space="preserve">Elphin Road / </w:t>
      </w:r>
      <w:proofErr w:type="spellStart"/>
      <w:r w:rsidRPr="00E83DA2">
        <w:rPr>
          <w:rFonts w:ascii="Gill Sans MT" w:hAnsi="Gill Sans MT"/>
          <w:i/>
        </w:rPr>
        <w:t>Penquite</w:t>
      </w:r>
      <w:proofErr w:type="spellEnd"/>
      <w:r w:rsidRPr="00E83DA2">
        <w:rPr>
          <w:rFonts w:ascii="Gill Sans MT" w:hAnsi="Gill Sans MT"/>
          <w:i/>
        </w:rPr>
        <w:t xml:space="preserve"> Road / Hobblers Bridge Road</w:t>
      </w:r>
      <w:r w:rsidRPr="00E83DA2">
        <w:rPr>
          <w:rFonts w:ascii="Gill Sans MT" w:hAnsi="Gill Sans MT"/>
        </w:rPr>
        <w:t xml:space="preserve">: form a key passenger route from Launceston eastern suburbs including Elphin, East Launceston, Norwood and Waverley and connects to Tasman Highway and North East </w:t>
      </w:r>
    </w:p>
    <w:p w:rsidR="00756B53" w:rsidRPr="00E83DA2" w:rsidRDefault="00756B53" w:rsidP="00756B53">
      <w:pPr>
        <w:numPr>
          <w:ilvl w:val="0"/>
          <w:numId w:val="44"/>
        </w:numPr>
        <w:rPr>
          <w:rFonts w:ascii="Gill Sans MT" w:hAnsi="Gill Sans MT"/>
          <w:i/>
        </w:rPr>
      </w:pPr>
      <w:proofErr w:type="spellStart"/>
      <w:r w:rsidRPr="00E83DA2">
        <w:rPr>
          <w:rFonts w:ascii="Gill Sans MT" w:hAnsi="Gill Sans MT"/>
          <w:i/>
        </w:rPr>
        <w:lastRenderedPageBreak/>
        <w:t>Cimitiere</w:t>
      </w:r>
      <w:proofErr w:type="spellEnd"/>
      <w:r w:rsidRPr="00E83DA2">
        <w:rPr>
          <w:rFonts w:ascii="Gill Sans MT" w:hAnsi="Gill Sans MT"/>
          <w:i/>
        </w:rPr>
        <w:t xml:space="preserve"> Street and Invermay Road</w:t>
      </w:r>
      <w:r w:rsidRPr="00E83DA2">
        <w:rPr>
          <w:rFonts w:ascii="Gill Sans MT" w:hAnsi="Gill Sans MT"/>
        </w:rPr>
        <w:t>: provide important connections to industrial and commercial land in inner eastern suburbs</w:t>
      </w:r>
    </w:p>
    <w:p w:rsidR="00756B53" w:rsidRPr="00E83DA2" w:rsidRDefault="00756B53" w:rsidP="00756B53">
      <w:pPr>
        <w:numPr>
          <w:ilvl w:val="0"/>
          <w:numId w:val="44"/>
        </w:numPr>
        <w:rPr>
          <w:rFonts w:ascii="Gill Sans MT" w:hAnsi="Gill Sans MT"/>
          <w:i/>
        </w:rPr>
      </w:pPr>
      <w:r w:rsidRPr="00E83DA2">
        <w:rPr>
          <w:rFonts w:ascii="Gill Sans MT" w:hAnsi="Gill Sans MT"/>
          <w:i/>
        </w:rPr>
        <w:t xml:space="preserve">Kings Meadows Link / Quarantine Road / Johnston Road / St Leonards Road: </w:t>
      </w:r>
      <w:r w:rsidRPr="00E83DA2">
        <w:rPr>
          <w:rFonts w:ascii="Gill Sans MT" w:hAnsi="Gill Sans MT"/>
        </w:rPr>
        <w:t xml:space="preserve">Linking Blessington Road (important for forestry freight and agriculture) and industrial areas along St Leonards Road to Midland Highway and intersecting other key metropolitan links including Hobart Road and </w:t>
      </w:r>
      <w:proofErr w:type="spellStart"/>
      <w:r w:rsidRPr="00E83DA2">
        <w:rPr>
          <w:rFonts w:ascii="Gill Sans MT" w:hAnsi="Gill Sans MT"/>
        </w:rPr>
        <w:t>Penquite</w:t>
      </w:r>
      <w:proofErr w:type="spellEnd"/>
      <w:r w:rsidRPr="00E83DA2">
        <w:rPr>
          <w:rFonts w:ascii="Gill Sans MT" w:hAnsi="Gill Sans MT"/>
        </w:rPr>
        <w:t xml:space="preserve"> Road.</w:t>
      </w:r>
    </w:p>
    <w:p w:rsidR="00756B53" w:rsidRPr="00E83DA2" w:rsidRDefault="00756B53" w:rsidP="00756B53">
      <w:pPr>
        <w:numPr>
          <w:ilvl w:val="0"/>
          <w:numId w:val="44"/>
        </w:numPr>
        <w:rPr>
          <w:rFonts w:ascii="Gill Sans MT" w:hAnsi="Gill Sans MT"/>
          <w:i/>
        </w:rPr>
      </w:pPr>
      <w:r w:rsidRPr="00E83DA2">
        <w:rPr>
          <w:rFonts w:ascii="Gill Sans MT" w:hAnsi="Gill Sans MT"/>
          <w:i/>
        </w:rPr>
        <w:t>Hobart Road</w:t>
      </w:r>
      <w:r w:rsidRPr="00E83DA2">
        <w:rPr>
          <w:rFonts w:ascii="Gill Sans MT" w:hAnsi="Gill Sans MT"/>
        </w:rPr>
        <w:t>: southern suburbs (</w:t>
      </w:r>
      <w:proofErr w:type="spellStart"/>
      <w:r w:rsidRPr="00E83DA2">
        <w:rPr>
          <w:rFonts w:ascii="Gill Sans MT" w:hAnsi="Gill Sans MT"/>
        </w:rPr>
        <w:t>Kingsmeadows</w:t>
      </w:r>
      <w:proofErr w:type="spellEnd"/>
      <w:r w:rsidRPr="00E83DA2">
        <w:rPr>
          <w:rFonts w:ascii="Gill Sans MT" w:hAnsi="Gill Sans MT"/>
        </w:rPr>
        <w:t>, Youngtown) into Wellington St</w:t>
      </w:r>
    </w:p>
    <w:p w:rsidR="00756B53" w:rsidRPr="00E83DA2" w:rsidRDefault="00756B53" w:rsidP="00756B53">
      <w:pPr>
        <w:pStyle w:val="Heading2"/>
      </w:pPr>
      <w:bookmarkStart w:id="82" w:name="_Toc332033594"/>
      <w:bookmarkStart w:id="83" w:name="_Toc332114095"/>
      <w:bookmarkStart w:id="84" w:name="_Toc332115670"/>
      <w:bookmarkStart w:id="85" w:name="_Toc332115761"/>
      <w:r w:rsidRPr="00E83DA2">
        <w:t>Road funding and expenditure</w:t>
      </w:r>
      <w:bookmarkEnd w:id="82"/>
      <w:bookmarkEnd w:id="83"/>
      <w:bookmarkEnd w:id="84"/>
      <w:bookmarkEnd w:id="85"/>
    </w:p>
    <w:p w:rsidR="00756B53" w:rsidRPr="00E83DA2" w:rsidRDefault="00756B53" w:rsidP="00756B53">
      <w:pPr>
        <w:rPr>
          <w:rFonts w:ascii="Gill Sans MT" w:hAnsi="Gill Sans MT"/>
        </w:rPr>
      </w:pPr>
      <w:r w:rsidRPr="00E83DA2">
        <w:rPr>
          <w:rFonts w:ascii="Gill Sans MT" w:hAnsi="Gill Sans MT"/>
        </w:rPr>
        <w:t xml:space="preserve">From </w:t>
      </w:r>
      <w:r w:rsidR="00811D23">
        <w:rPr>
          <w:rFonts w:ascii="Gill Sans MT" w:hAnsi="Gill Sans MT"/>
        </w:rPr>
        <w:t xml:space="preserve">a </w:t>
      </w:r>
      <w:r w:rsidRPr="00E83DA2">
        <w:rPr>
          <w:rFonts w:ascii="Gill Sans MT" w:hAnsi="Gill Sans MT"/>
        </w:rPr>
        <w:t>user’s perspective, the region</w:t>
      </w:r>
      <w:r w:rsidR="00811D23">
        <w:rPr>
          <w:rFonts w:ascii="Gill Sans MT" w:hAnsi="Gill Sans MT"/>
        </w:rPr>
        <w:t>’</w:t>
      </w:r>
      <w:r w:rsidRPr="00E83DA2">
        <w:rPr>
          <w:rFonts w:ascii="Gill Sans MT" w:hAnsi="Gill Sans MT"/>
        </w:rPr>
        <w:t>s transport system is a single, generally seamless network.  In practice responsibility for managing the system is undertaken by a complex matrix of service providers, asset owners and regulators, spread across different levels of government, industry and the private sector.  Reflecting this, investment in transport infrastructure and services comes from a range of funding sources.</w:t>
      </w:r>
    </w:p>
    <w:p w:rsidR="00756B53" w:rsidRPr="00E83DA2" w:rsidRDefault="00756B53" w:rsidP="00756B53">
      <w:pPr>
        <w:rPr>
          <w:rFonts w:ascii="Gill Sans MT" w:hAnsi="Gill Sans MT"/>
        </w:rPr>
      </w:pPr>
      <w:r w:rsidRPr="00E83DA2">
        <w:rPr>
          <w:rFonts w:ascii="Gill Sans MT" w:hAnsi="Gill Sans MT"/>
        </w:rPr>
        <w:t>North East Freight Roads Projects:</w:t>
      </w:r>
    </w:p>
    <w:p w:rsidR="00756B53" w:rsidRPr="00E83DA2" w:rsidRDefault="00756B53" w:rsidP="00756B53">
      <w:pPr>
        <w:rPr>
          <w:rFonts w:ascii="Gill Sans MT" w:hAnsi="Gill Sans MT"/>
        </w:rPr>
      </w:pPr>
      <w:r w:rsidRPr="00E83DA2">
        <w:rPr>
          <w:rFonts w:ascii="Gill Sans MT" w:hAnsi="Gill Sans MT"/>
        </w:rPr>
        <w:t>Total funding allocation $42.5 million for North East Freight Roads projects</w:t>
      </w:r>
    </w:p>
    <w:p w:rsidR="00756B53" w:rsidRPr="00E83DA2" w:rsidRDefault="00756B53" w:rsidP="00756B53">
      <w:pPr>
        <w:pStyle w:val="ListParagraph"/>
        <w:numPr>
          <w:ilvl w:val="0"/>
          <w:numId w:val="14"/>
        </w:numPr>
        <w:rPr>
          <w:rFonts w:ascii="Gill Sans MT" w:hAnsi="Gill Sans MT"/>
        </w:rPr>
      </w:pPr>
      <w:r w:rsidRPr="00E83DA2">
        <w:rPr>
          <w:rFonts w:ascii="Gill Sans MT" w:hAnsi="Gill Sans MT"/>
        </w:rPr>
        <w:t>East Tamar Highway – $80 million upgrade (complete)</w:t>
      </w:r>
    </w:p>
    <w:p w:rsidR="00756B53" w:rsidRPr="00E83DA2" w:rsidRDefault="00756B53" w:rsidP="00756B53">
      <w:pPr>
        <w:pStyle w:val="ListParagraph"/>
        <w:numPr>
          <w:ilvl w:val="0"/>
          <w:numId w:val="14"/>
        </w:numPr>
        <w:rPr>
          <w:rFonts w:ascii="Gill Sans MT" w:hAnsi="Gill Sans MT"/>
        </w:rPr>
      </w:pPr>
      <w:proofErr w:type="spellStart"/>
      <w:r w:rsidRPr="00E83DA2">
        <w:rPr>
          <w:rFonts w:ascii="Gill Sans MT" w:hAnsi="Gill Sans MT"/>
        </w:rPr>
        <w:t>Tebrakunna</w:t>
      </w:r>
      <w:proofErr w:type="spellEnd"/>
      <w:r w:rsidRPr="00E83DA2">
        <w:rPr>
          <w:rFonts w:ascii="Gill Sans MT" w:hAnsi="Gill Sans MT"/>
        </w:rPr>
        <w:t xml:space="preserve"> bridge replacement across the Ringarooma River at Pioneer (complete)</w:t>
      </w:r>
    </w:p>
    <w:p w:rsidR="00756B53" w:rsidRPr="00E83DA2" w:rsidRDefault="00756B53" w:rsidP="00756B53">
      <w:pPr>
        <w:pStyle w:val="ListParagraph"/>
        <w:numPr>
          <w:ilvl w:val="0"/>
          <w:numId w:val="14"/>
        </w:numPr>
        <w:rPr>
          <w:rFonts w:ascii="Gill Sans MT" w:hAnsi="Gill Sans MT"/>
        </w:rPr>
      </w:pPr>
      <w:r w:rsidRPr="00E83DA2">
        <w:rPr>
          <w:rFonts w:ascii="Gill Sans MT" w:hAnsi="Gill Sans MT"/>
        </w:rPr>
        <w:t>Tasman Highway and Gladstone Main Road upgrades between Derby and Herrick (upgrade to cross section and curve improvements)</w:t>
      </w:r>
    </w:p>
    <w:p w:rsidR="00756B53" w:rsidRPr="00E83DA2" w:rsidRDefault="00756B53" w:rsidP="00756B53">
      <w:pPr>
        <w:pStyle w:val="ListParagraph"/>
        <w:numPr>
          <w:ilvl w:val="0"/>
          <w:numId w:val="14"/>
        </w:numPr>
        <w:rPr>
          <w:rFonts w:ascii="Gill Sans MT" w:hAnsi="Gill Sans MT"/>
        </w:rPr>
      </w:pPr>
      <w:r w:rsidRPr="00E83DA2">
        <w:rPr>
          <w:rFonts w:ascii="Gill Sans MT" w:hAnsi="Gill Sans MT"/>
        </w:rPr>
        <w:t>Bridport Main Road – Scottsdale to Bridport (upgrade to cross section and curve improvements)</w:t>
      </w:r>
    </w:p>
    <w:p w:rsidR="00756B53" w:rsidRPr="00E83DA2" w:rsidRDefault="00756B53" w:rsidP="00756B53">
      <w:pPr>
        <w:pStyle w:val="ListParagraph"/>
        <w:numPr>
          <w:ilvl w:val="0"/>
          <w:numId w:val="14"/>
        </w:numPr>
        <w:rPr>
          <w:rFonts w:ascii="Gill Sans MT" w:hAnsi="Gill Sans MT"/>
        </w:rPr>
      </w:pPr>
      <w:r w:rsidRPr="00E83DA2">
        <w:rPr>
          <w:rFonts w:ascii="Gill Sans MT" w:hAnsi="Gill Sans MT"/>
        </w:rPr>
        <w:t>Replacement of five key mass limited bridges in Mathinna/ Evercreech forest catchment areas</w:t>
      </w:r>
    </w:p>
    <w:p w:rsidR="00756B53" w:rsidRPr="00E83DA2" w:rsidRDefault="00756B53" w:rsidP="00756B53">
      <w:pPr>
        <w:pStyle w:val="ListParagraph"/>
        <w:numPr>
          <w:ilvl w:val="0"/>
          <w:numId w:val="14"/>
        </w:numPr>
        <w:rPr>
          <w:rFonts w:ascii="Gill Sans MT" w:hAnsi="Gill Sans MT"/>
        </w:rPr>
      </w:pPr>
      <w:proofErr w:type="spellStart"/>
      <w:r w:rsidRPr="00E83DA2">
        <w:rPr>
          <w:rFonts w:ascii="Gill Sans MT" w:hAnsi="Gill Sans MT"/>
        </w:rPr>
        <w:t>Prossers</w:t>
      </w:r>
      <w:proofErr w:type="spellEnd"/>
      <w:r w:rsidRPr="00E83DA2">
        <w:rPr>
          <w:rFonts w:ascii="Gill Sans MT" w:hAnsi="Gill Sans MT"/>
        </w:rPr>
        <w:t xml:space="preserve"> Road and Patersonia Road upgrades to junctions and drainage improvements along </w:t>
      </w:r>
      <w:proofErr w:type="spellStart"/>
      <w:r w:rsidRPr="00E83DA2">
        <w:rPr>
          <w:rFonts w:ascii="Gill Sans MT" w:hAnsi="Gill Sans MT"/>
        </w:rPr>
        <w:t>Prossers</w:t>
      </w:r>
      <w:proofErr w:type="spellEnd"/>
      <w:r w:rsidRPr="00E83DA2">
        <w:rPr>
          <w:rFonts w:ascii="Gill Sans MT" w:hAnsi="Gill Sans MT"/>
        </w:rPr>
        <w:t xml:space="preserve"> Road (Launceston City Council owned roads)</w:t>
      </w:r>
    </w:p>
    <w:p w:rsidR="00756B53" w:rsidRPr="00E83DA2" w:rsidRDefault="00756B53" w:rsidP="00756B53">
      <w:pPr>
        <w:pStyle w:val="ListParagraph"/>
        <w:numPr>
          <w:ilvl w:val="0"/>
          <w:numId w:val="14"/>
        </w:numPr>
        <w:rPr>
          <w:rFonts w:ascii="Gill Sans MT" w:hAnsi="Gill Sans MT"/>
        </w:rPr>
      </w:pPr>
      <w:r w:rsidRPr="00E83DA2">
        <w:rPr>
          <w:rFonts w:ascii="Gill Sans MT" w:hAnsi="Gill Sans MT"/>
        </w:rPr>
        <w:t>Targeted curve and pavement improvements to Camden Hills Road (Launceston City Council owned road)</w:t>
      </w:r>
    </w:p>
    <w:p w:rsidR="00756B53" w:rsidRPr="00E83DA2" w:rsidRDefault="00756B53" w:rsidP="00756B53">
      <w:pPr>
        <w:pStyle w:val="ListParagraph"/>
        <w:numPr>
          <w:ilvl w:val="0"/>
          <w:numId w:val="14"/>
        </w:numPr>
        <w:rPr>
          <w:rFonts w:ascii="Gill Sans MT" w:hAnsi="Gill Sans MT"/>
        </w:rPr>
      </w:pPr>
      <w:r w:rsidRPr="00E83DA2">
        <w:rPr>
          <w:rFonts w:ascii="Gill Sans MT" w:hAnsi="Gill Sans MT"/>
        </w:rPr>
        <w:t>Junction upgrades (</w:t>
      </w:r>
      <w:proofErr w:type="spellStart"/>
      <w:r w:rsidRPr="00E83DA2">
        <w:rPr>
          <w:rFonts w:ascii="Gill Sans MT" w:hAnsi="Gill Sans MT"/>
        </w:rPr>
        <w:t>Temco</w:t>
      </w:r>
      <w:proofErr w:type="spellEnd"/>
      <w:r w:rsidRPr="00E83DA2">
        <w:rPr>
          <w:rFonts w:ascii="Gill Sans MT" w:hAnsi="Gill Sans MT"/>
        </w:rPr>
        <w:t xml:space="preserve"> and Mobil Roads at Bell Bay) to improve turning movements for heavy vehicles ($1 million Community Roads Program)</w:t>
      </w:r>
    </w:p>
    <w:p w:rsidR="00756B53" w:rsidRPr="00E83DA2" w:rsidRDefault="00756B53" w:rsidP="009C308A">
      <w:pPr>
        <w:pStyle w:val="Heading2"/>
      </w:pPr>
      <w:r w:rsidRPr="00E83DA2">
        <w:t>Rail</w:t>
      </w:r>
      <w:r w:rsidR="009C308A" w:rsidRPr="00E83DA2">
        <w:t xml:space="preserve"> funding and expenditure</w:t>
      </w:r>
    </w:p>
    <w:p w:rsidR="00756B53" w:rsidRPr="00E83DA2" w:rsidRDefault="00756B53" w:rsidP="00756B53">
      <w:pPr>
        <w:rPr>
          <w:rFonts w:ascii="Gill Sans MT" w:hAnsi="Gill Sans MT"/>
        </w:rPr>
      </w:pPr>
      <w:r w:rsidRPr="00E83DA2">
        <w:rPr>
          <w:rFonts w:ascii="Gill Sans MT" w:hAnsi="Gill Sans MT"/>
        </w:rPr>
        <w:t xml:space="preserve">The rail network currently only carries rail freight – passenger rail services across the network ceased in the 1970s. While the majority of the state’s freight task is moved by road, rail is an important modal option for moving large volumes of bulk commodities and long distance movement of containerised freight.  </w:t>
      </w:r>
    </w:p>
    <w:p w:rsidR="00756B53" w:rsidRDefault="00756B53" w:rsidP="00756B53">
      <w:pPr>
        <w:rPr>
          <w:rFonts w:ascii="Gill Sans MT" w:hAnsi="Gill Sans MT"/>
        </w:rPr>
      </w:pPr>
      <w:r w:rsidRPr="00E83DA2">
        <w:rPr>
          <w:rFonts w:ascii="Gill Sans MT" w:hAnsi="Gill Sans MT"/>
        </w:rPr>
        <w:lastRenderedPageBreak/>
        <w:t>The Northern Region is connected to the North-West Region via the Western Line, and the Southern Region via the South Line. These two lines carried around 2.4Mt of freight through the region in 2008-09; additionally, the Bell Bay Line carried nearly 200,000t between Launceston and the port at Bell Bay; the Fingal Line, connecting Fingal to Conara junction on the South Line, moved over 150,000t of coal.</w:t>
      </w:r>
    </w:p>
    <w:p w:rsidR="00B00736" w:rsidRPr="00E83DA2" w:rsidRDefault="00B00736" w:rsidP="00756B53">
      <w:pPr>
        <w:rPr>
          <w:rFonts w:ascii="Gill Sans MT" w:hAnsi="Gill Sans MT"/>
        </w:rPr>
      </w:pPr>
      <w:r>
        <w:rPr>
          <w:rFonts w:ascii="Gill Sans MT" w:hAnsi="Gill Sans MT"/>
        </w:rPr>
        <w:t>Proposed works:</w:t>
      </w:r>
    </w:p>
    <w:p w:rsidR="00756B53" w:rsidRPr="00E83DA2" w:rsidRDefault="00756B53" w:rsidP="00756B53">
      <w:pPr>
        <w:pStyle w:val="ListParagraph"/>
        <w:numPr>
          <w:ilvl w:val="0"/>
          <w:numId w:val="15"/>
        </w:numPr>
        <w:rPr>
          <w:rFonts w:ascii="Gill Sans MT" w:hAnsi="Gill Sans MT"/>
        </w:rPr>
      </w:pPr>
      <w:r w:rsidRPr="00E83DA2">
        <w:rPr>
          <w:rFonts w:ascii="Gill Sans MT" w:hAnsi="Gill Sans MT"/>
        </w:rPr>
        <w:t xml:space="preserve">Extensive </w:t>
      </w:r>
      <w:proofErr w:type="spellStart"/>
      <w:r w:rsidRPr="00E83DA2">
        <w:rPr>
          <w:rFonts w:ascii="Gill Sans MT" w:hAnsi="Gill Sans MT"/>
        </w:rPr>
        <w:t>statewide</w:t>
      </w:r>
      <w:proofErr w:type="spellEnd"/>
      <w:r w:rsidRPr="00E83DA2">
        <w:rPr>
          <w:rFonts w:ascii="Gill Sans MT" w:hAnsi="Gill Sans MT"/>
        </w:rPr>
        <w:t xml:space="preserve"> program</w:t>
      </w:r>
    </w:p>
    <w:p w:rsidR="00756B53" w:rsidRPr="00E83DA2" w:rsidRDefault="00756B53" w:rsidP="00756B53">
      <w:pPr>
        <w:pStyle w:val="ListParagraph"/>
        <w:numPr>
          <w:ilvl w:val="0"/>
          <w:numId w:val="15"/>
        </w:numPr>
        <w:rPr>
          <w:rFonts w:ascii="Gill Sans MT" w:hAnsi="Gill Sans MT"/>
        </w:rPr>
      </w:pPr>
      <w:r w:rsidRPr="00E83DA2">
        <w:rPr>
          <w:rFonts w:ascii="Gill Sans MT" w:hAnsi="Gill Sans MT"/>
        </w:rPr>
        <w:t>Purchase of 17 new locomotives to be used across the network at a cost over $60 million. The new locomotives will improve efficiency of services, and increase safety and reliability. Delivery of the new locomotives will commence in mid 2013, with completion scheduled for mid to late 2014 and funded by the Tasmanian Government</w:t>
      </w:r>
    </w:p>
    <w:p w:rsidR="00756B53" w:rsidRPr="00E83DA2" w:rsidRDefault="00756B53" w:rsidP="00756B53">
      <w:pPr>
        <w:pStyle w:val="ListParagraph"/>
        <w:numPr>
          <w:ilvl w:val="0"/>
          <w:numId w:val="15"/>
        </w:numPr>
        <w:rPr>
          <w:rFonts w:ascii="Gill Sans MT" w:hAnsi="Gill Sans MT"/>
        </w:rPr>
      </w:pPr>
      <w:r w:rsidRPr="00E83DA2">
        <w:rPr>
          <w:rFonts w:ascii="Gill Sans MT" w:hAnsi="Gill Sans MT"/>
        </w:rPr>
        <w:t xml:space="preserve">Ongoing capital upgrades of rail track infrastructure. The recently completed Rail Rescue Package included significant sleeper replacement &amp; drainage remediation on the Bell Bay Line.  Following on from the Rail Rescue Package ($78 million), a further $130 million has been allocated by the Australian Government under the Nation Building Program to continue the improvement of the track asset across the network, completing in 2013/14. The </w:t>
      </w:r>
      <w:proofErr w:type="gramStart"/>
      <w:r w:rsidRPr="00E83DA2">
        <w:rPr>
          <w:rFonts w:ascii="Gill Sans MT" w:hAnsi="Gill Sans MT"/>
        </w:rPr>
        <w:t>Tasmanian  Government</w:t>
      </w:r>
      <w:proofErr w:type="gramEnd"/>
      <w:r w:rsidRPr="00E83DA2">
        <w:rPr>
          <w:rFonts w:ascii="Gill Sans MT" w:hAnsi="Gill Sans MT"/>
        </w:rPr>
        <w:t xml:space="preserve"> has also contributed a further $70 million for maintenance and administration over the same period.</w:t>
      </w:r>
    </w:p>
    <w:p w:rsidR="00756B53" w:rsidRPr="00E83DA2" w:rsidRDefault="00756B53" w:rsidP="00756B53">
      <w:pPr>
        <w:pStyle w:val="ListParagraph"/>
        <w:numPr>
          <w:ilvl w:val="0"/>
          <w:numId w:val="15"/>
        </w:numPr>
        <w:rPr>
          <w:rFonts w:ascii="Gill Sans MT" w:hAnsi="Gill Sans MT"/>
        </w:rPr>
      </w:pPr>
      <w:r w:rsidRPr="00E83DA2">
        <w:rPr>
          <w:rFonts w:ascii="Gill Sans MT" w:hAnsi="Gill Sans MT"/>
        </w:rPr>
        <w:t xml:space="preserve">A number of projects around the Bell Bay area up to $9 million including: redevelopment of George Town </w:t>
      </w:r>
      <w:proofErr w:type="spellStart"/>
      <w:r w:rsidRPr="00E83DA2">
        <w:rPr>
          <w:rFonts w:ascii="Gill Sans MT" w:hAnsi="Gill Sans MT"/>
        </w:rPr>
        <w:t>Railyard</w:t>
      </w:r>
      <w:proofErr w:type="spellEnd"/>
      <w:r w:rsidRPr="00E83DA2">
        <w:rPr>
          <w:rFonts w:ascii="Gill Sans MT" w:hAnsi="Gill Sans MT"/>
        </w:rPr>
        <w:t xml:space="preserve"> to allow efficient transfer of containerised freight originating in Bell Bay area to rail</w:t>
      </w:r>
    </w:p>
    <w:p w:rsidR="00756B53" w:rsidRPr="00E83DA2" w:rsidRDefault="00756B53" w:rsidP="00756B53">
      <w:pPr>
        <w:pStyle w:val="ListParagraph"/>
        <w:numPr>
          <w:ilvl w:val="0"/>
          <w:numId w:val="15"/>
        </w:numPr>
        <w:rPr>
          <w:rFonts w:ascii="Gill Sans MT" w:hAnsi="Gill Sans MT"/>
        </w:rPr>
      </w:pPr>
      <w:r w:rsidRPr="00E83DA2">
        <w:rPr>
          <w:rFonts w:ascii="Gill Sans MT" w:hAnsi="Gill Sans MT"/>
        </w:rPr>
        <w:t>Upgrade to Old Bell Bay Road</w:t>
      </w:r>
    </w:p>
    <w:p w:rsidR="00756B53" w:rsidRPr="00E83DA2" w:rsidRDefault="00756B53" w:rsidP="00756B53">
      <w:pPr>
        <w:pStyle w:val="ListParagraph"/>
        <w:numPr>
          <w:ilvl w:val="0"/>
          <w:numId w:val="15"/>
        </w:numPr>
        <w:rPr>
          <w:rFonts w:ascii="Gill Sans MT" w:hAnsi="Gill Sans MT"/>
        </w:rPr>
      </w:pPr>
      <w:r w:rsidRPr="00E83DA2">
        <w:rPr>
          <w:rFonts w:ascii="Gill Sans MT" w:hAnsi="Gill Sans MT"/>
        </w:rPr>
        <w:t>Rail crossing safety improvements around the port</w:t>
      </w:r>
    </w:p>
    <w:p w:rsidR="00756B53" w:rsidRPr="00E83DA2" w:rsidRDefault="00756B53" w:rsidP="00756B53">
      <w:pPr>
        <w:pStyle w:val="ListParagraph"/>
        <w:numPr>
          <w:ilvl w:val="0"/>
          <w:numId w:val="15"/>
        </w:numPr>
        <w:rPr>
          <w:rFonts w:ascii="Gill Sans MT" w:hAnsi="Gill Sans MT"/>
        </w:rPr>
      </w:pPr>
      <w:r w:rsidRPr="00E83DA2">
        <w:rPr>
          <w:rFonts w:ascii="Gill Sans MT" w:hAnsi="Gill Sans MT"/>
        </w:rPr>
        <w:t>Aim is to reduce the impact of road freight movements between Bell bay and Burnie through use of the rail network</w:t>
      </w:r>
    </w:p>
    <w:p w:rsidR="00756B53" w:rsidRPr="00E83DA2" w:rsidRDefault="00756B53" w:rsidP="00756B53">
      <w:pPr>
        <w:pStyle w:val="ListParagraph"/>
        <w:numPr>
          <w:ilvl w:val="0"/>
          <w:numId w:val="15"/>
        </w:numPr>
        <w:rPr>
          <w:rFonts w:ascii="Gill Sans MT" w:hAnsi="Gill Sans MT"/>
        </w:rPr>
      </w:pPr>
      <w:r w:rsidRPr="00E83DA2">
        <w:rPr>
          <w:rFonts w:ascii="Gill Sans MT" w:hAnsi="Gill Sans MT"/>
        </w:rPr>
        <w:t xml:space="preserve">DIER working with </w:t>
      </w:r>
      <w:proofErr w:type="spellStart"/>
      <w:r w:rsidRPr="00E83DA2">
        <w:rPr>
          <w:rFonts w:ascii="Gill Sans MT" w:hAnsi="Gill Sans MT"/>
        </w:rPr>
        <w:t>Tasrail</w:t>
      </w:r>
      <w:proofErr w:type="spellEnd"/>
      <w:r w:rsidRPr="00E83DA2">
        <w:rPr>
          <w:rFonts w:ascii="Gill Sans MT" w:hAnsi="Gill Sans MT"/>
        </w:rPr>
        <w:t xml:space="preserve"> &amp; </w:t>
      </w:r>
      <w:proofErr w:type="spellStart"/>
      <w:r w:rsidRPr="00E83DA2">
        <w:rPr>
          <w:rFonts w:ascii="Gill Sans MT" w:hAnsi="Gill Sans MT"/>
        </w:rPr>
        <w:t>Tasports</w:t>
      </w:r>
      <w:proofErr w:type="spellEnd"/>
      <w:r w:rsidRPr="00E83DA2">
        <w:rPr>
          <w:rFonts w:ascii="Gill Sans MT" w:hAnsi="Gill Sans MT"/>
        </w:rPr>
        <w:t xml:space="preserve"> to present project to </w:t>
      </w:r>
      <w:r w:rsidR="00463F06">
        <w:rPr>
          <w:rFonts w:ascii="Gill Sans MT" w:hAnsi="Gill Sans MT"/>
        </w:rPr>
        <w:t>Fed Govt for funding approval.</w:t>
      </w:r>
    </w:p>
    <w:p w:rsidR="00756B53" w:rsidRPr="00E83DA2" w:rsidRDefault="00756B53" w:rsidP="00756B53">
      <w:pPr>
        <w:pStyle w:val="ListParagraph"/>
        <w:rPr>
          <w:rFonts w:ascii="Gill Sans MT" w:hAnsi="Gill Sans MT"/>
        </w:rPr>
      </w:pPr>
    </w:p>
    <w:p w:rsidR="00756B53" w:rsidRPr="00A029D6" w:rsidRDefault="00756B53" w:rsidP="00A029D6">
      <w:pPr>
        <w:pStyle w:val="Heading5"/>
      </w:pPr>
      <w:r w:rsidRPr="00A029D6">
        <w:t>Freight movement</w:t>
      </w:r>
    </w:p>
    <w:p w:rsidR="00756B53" w:rsidRPr="00E83DA2" w:rsidRDefault="00756B53" w:rsidP="00756B53">
      <w:pPr>
        <w:jc w:val="both"/>
        <w:rPr>
          <w:rFonts w:ascii="Gill Sans MT" w:hAnsi="Gill Sans MT"/>
          <w:i/>
        </w:rPr>
      </w:pPr>
      <w:r w:rsidRPr="00E83DA2">
        <w:rPr>
          <w:rFonts w:ascii="Gill Sans MT" w:hAnsi="Gill Sans MT"/>
          <w:i/>
        </w:rPr>
        <w:t>General Access &amp; Vehicle Regulations:</w:t>
      </w:r>
    </w:p>
    <w:p w:rsidR="00756B53" w:rsidRPr="00E83DA2" w:rsidRDefault="00756B53" w:rsidP="00A029D6">
      <w:pPr>
        <w:rPr>
          <w:rFonts w:ascii="Gill Sans MT" w:hAnsi="Gill Sans MT"/>
        </w:rPr>
      </w:pPr>
      <w:r w:rsidRPr="00E83DA2">
        <w:rPr>
          <w:rFonts w:ascii="Gill Sans MT" w:hAnsi="Gill Sans MT"/>
        </w:rPr>
        <w:t>Heavy vehicles that use Tasmania’s road network come in a wide range of vehicle types and trailer combinations.   Types of heavy vehicles used on Tasmania’s road network are regulated by government to protect the road infrastructure and ensure safety. These measures dictate the weight and dimensions of different types of heavy vehicles.  Weight limits are generally related to axle combinations and the wear that these cause to road pavements and structures, whereas length limits are related to the amount of road space that different heavy vehicles occupy.</w:t>
      </w:r>
    </w:p>
    <w:p w:rsidR="00756B53" w:rsidRPr="00E83DA2" w:rsidRDefault="00756B53" w:rsidP="00A029D6">
      <w:pPr>
        <w:rPr>
          <w:rFonts w:ascii="Gill Sans MT" w:hAnsi="Gill Sans MT"/>
        </w:rPr>
      </w:pPr>
      <w:r w:rsidRPr="00E83DA2">
        <w:rPr>
          <w:rFonts w:ascii="Gill Sans MT" w:hAnsi="Gill Sans MT"/>
        </w:rPr>
        <w:lastRenderedPageBreak/>
        <w:t>The majority of Tasmania’s heavy vehicle fleet are truck and trailer combinations that are allowed “general access” to Tasmania’s entire road network.  These vehicles must meet regulated mass or dimension limits.  General access vehicles generally have a single trailer, but some general access vehicles have two trailers.  The maximum vehicle combinations for general access vehicles are outlined in Figure 1.</w:t>
      </w:r>
    </w:p>
    <w:tbl>
      <w:tblPr>
        <w:tblW w:w="0" w:type="auto"/>
        <w:tblLook w:val="04A0"/>
      </w:tblPr>
      <w:tblGrid>
        <w:gridCol w:w="5856"/>
        <w:gridCol w:w="2672"/>
      </w:tblGrid>
      <w:tr w:rsidR="00756B53" w:rsidRPr="00E83DA2" w:rsidTr="008D2E39">
        <w:tc>
          <w:tcPr>
            <w:tcW w:w="9242" w:type="dxa"/>
            <w:gridSpan w:val="2"/>
          </w:tcPr>
          <w:p w:rsidR="00756B53" w:rsidRPr="00E83DA2" w:rsidRDefault="00666BF3" w:rsidP="008D2E39">
            <w:pPr>
              <w:jc w:val="both"/>
              <w:rPr>
                <w:rFonts w:ascii="Gill Sans MT" w:hAnsi="Gill Sans MT"/>
                <w:b/>
              </w:rPr>
            </w:pPr>
            <w:r>
              <w:rPr>
                <w:rFonts w:ascii="Gill Sans MT" w:hAnsi="Gill Sans MT"/>
                <w:b/>
                <w:i/>
              </w:rPr>
              <w:t>Figure 24</w:t>
            </w:r>
            <w:r w:rsidR="00A029D6" w:rsidRPr="00A029D6">
              <w:rPr>
                <w:rFonts w:ascii="Gill Sans MT" w:hAnsi="Gill Sans MT"/>
                <w:b/>
                <w:i/>
              </w:rPr>
              <w:t>.</w:t>
            </w:r>
            <w:r w:rsidR="00756B53" w:rsidRPr="00E83DA2">
              <w:rPr>
                <w:rFonts w:ascii="Gill Sans MT" w:hAnsi="Gill Sans MT"/>
                <w:b/>
              </w:rPr>
              <w:t xml:space="preserve"> Maximum General Access Vehicle combinations</w:t>
            </w:r>
          </w:p>
        </w:tc>
      </w:tr>
      <w:tr w:rsidR="00756B53" w:rsidRPr="00E83DA2" w:rsidTr="008D2E39">
        <w:tc>
          <w:tcPr>
            <w:tcW w:w="5856" w:type="dxa"/>
          </w:tcPr>
          <w:p w:rsidR="00756B53" w:rsidRPr="00E83DA2" w:rsidRDefault="00756B53" w:rsidP="008D2E39">
            <w:pPr>
              <w:jc w:val="both"/>
              <w:rPr>
                <w:rFonts w:ascii="Gill Sans MT" w:hAnsi="Gill Sans MT"/>
              </w:rPr>
            </w:pPr>
            <w:r w:rsidRPr="00E83DA2">
              <w:rPr>
                <w:rFonts w:ascii="Gill Sans MT" w:hAnsi="Gill Sans MT"/>
                <w:noProof/>
                <w:lang w:eastAsia="en-AU"/>
              </w:rPr>
              <w:drawing>
                <wp:inline distT="0" distB="0" distL="0" distR="0">
                  <wp:extent cx="2800350" cy="800100"/>
                  <wp:effectExtent l="19050" t="0" r="0" b="0"/>
                  <wp:docPr id="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t="-9089"/>
                          <a:stretch>
                            <a:fillRect/>
                          </a:stretch>
                        </pic:blipFill>
                        <pic:spPr bwMode="auto">
                          <a:xfrm>
                            <a:off x="0" y="0"/>
                            <a:ext cx="2800350" cy="800100"/>
                          </a:xfrm>
                          <a:prstGeom prst="rect">
                            <a:avLst/>
                          </a:prstGeom>
                          <a:noFill/>
                          <a:ln w="9525">
                            <a:noFill/>
                            <a:miter lim="800000"/>
                            <a:headEnd/>
                            <a:tailEnd/>
                          </a:ln>
                        </pic:spPr>
                      </pic:pic>
                    </a:graphicData>
                  </a:graphic>
                </wp:inline>
              </w:drawing>
            </w:r>
          </w:p>
        </w:tc>
        <w:tc>
          <w:tcPr>
            <w:tcW w:w="3386" w:type="dxa"/>
          </w:tcPr>
          <w:p w:rsidR="00756B53" w:rsidRPr="00E83DA2" w:rsidRDefault="00756B53" w:rsidP="008D2E39">
            <w:pPr>
              <w:jc w:val="both"/>
              <w:rPr>
                <w:rFonts w:ascii="Gill Sans MT" w:hAnsi="Gill Sans MT"/>
              </w:rPr>
            </w:pPr>
            <w:r w:rsidRPr="00E83DA2">
              <w:rPr>
                <w:rFonts w:ascii="Gill Sans MT" w:hAnsi="Gill Sans MT"/>
                <w:i/>
              </w:rPr>
              <w:t>6-axle combination</w:t>
            </w:r>
          </w:p>
          <w:p w:rsidR="00756B53" w:rsidRPr="00E83DA2" w:rsidRDefault="00756B53" w:rsidP="008D2E39">
            <w:pPr>
              <w:jc w:val="both"/>
              <w:rPr>
                <w:rFonts w:ascii="Gill Sans MT" w:hAnsi="Gill Sans MT"/>
              </w:rPr>
            </w:pPr>
            <w:r w:rsidRPr="00E83DA2">
              <w:rPr>
                <w:rFonts w:ascii="Gill Sans MT" w:hAnsi="Gill Sans MT"/>
              </w:rPr>
              <w:t>Length 19m, Width 2.5m, Height 4.3m and Mass 42.5t</w:t>
            </w:r>
          </w:p>
          <w:p w:rsidR="00756B53" w:rsidRPr="00E83DA2" w:rsidRDefault="00756B53" w:rsidP="008D2E39">
            <w:pPr>
              <w:jc w:val="both"/>
              <w:rPr>
                <w:rFonts w:ascii="Gill Sans MT" w:hAnsi="Gill Sans MT"/>
              </w:rPr>
            </w:pPr>
          </w:p>
        </w:tc>
      </w:tr>
      <w:tr w:rsidR="00756B53" w:rsidRPr="00E83DA2" w:rsidTr="008D2E39">
        <w:tc>
          <w:tcPr>
            <w:tcW w:w="5856" w:type="dxa"/>
          </w:tcPr>
          <w:p w:rsidR="00756B53" w:rsidRPr="00E83DA2" w:rsidRDefault="00756B53" w:rsidP="008D2E39">
            <w:pPr>
              <w:jc w:val="both"/>
              <w:rPr>
                <w:rFonts w:ascii="Gill Sans MT" w:hAnsi="Gill Sans MT"/>
              </w:rPr>
            </w:pPr>
            <w:r w:rsidRPr="00E83DA2">
              <w:rPr>
                <w:rFonts w:ascii="Gill Sans MT" w:hAnsi="Gill Sans MT"/>
                <w:noProof/>
                <w:lang w:eastAsia="en-AU"/>
              </w:rPr>
              <w:drawing>
                <wp:inline distT="0" distB="0" distL="0" distR="0">
                  <wp:extent cx="3562350" cy="742950"/>
                  <wp:effectExtent l="19050" t="0" r="0" b="0"/>
                  <wp:docPr id="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3562350" cy="742950"/>
                          </a:xfrm>
                          <a:prstGeom prst="rect">
                            <a:avLst/>
                          </a:prstGeom>
                          <a:noFill/>
                          <a:ln w="9525">
                            <a:noFill/>
                            <a:miter lim="800000"/>
                            <a:headEnd/>
                            <a:tailEnd/>
                          </a:ln>
                        </pic:spPr>
                      </pic:pic>
                    </a:graphicData>
                  </a:graphic>
                </wp:inline>
              </w:drawing>
            </w:r>
          </w:p>
        </w:tc>
        <w:tc>
          <w:tcPr>
            <w:tcW w:w="3386" w:type="dxa"/>
          </w:tcPr>
          <w:p w:rsidR="00756B53" w:rsidRPr="00E83DA2" w:rsidRDefault="00756B53" w:rsidP="008D2E39">
            <w:pPr>
              <w:jc w:val="both"/>
              <w:rPr>
                <w:rFonts w:ascii="Gill Sans MT" w:hAnsi="Gill Sans MT"/>
                <w:i/>
              </w:rPr>
            </w:pPr>
            <w:r w:rsidRPr="00E83DA2">
              <w:rPr>
                <w:rFonts w:ascii="Gill Sans MT" w:hAnsi="Gill Sans MT"/>
                <w:i/>
              </w:rPr>
              <w:t>7-axle combination</w:t>
            </w:r>
          </w:p>
          <w:p w:rsidR="00756B53" w:rsidRPr="00E83DA2" w:rsidRDefault="00756B53" w:rsidP="008D2E39">
            <w:pPr>
              <w:jc w:val="both"/>
              <w:rPr>
                <w:rFonts w:ascii="Gill Sans MT" w:hAnsi="Gill Sans MT"/>
              </w:rPr>
            </w:pPr>
            <w:r w:rsidRPr="00E83DA2">
              <w:rPr>
                <w:rFonts w:ascii="Gill Sans MT" w:hAnsi="Gill Sans MT"/>
              </w:rPr>
              <w:t>Length 21m, Width 2.5m, Height 4.3m and Mass 50.0t</w:t>
            </w:r>
          </w:p>
          <w:p w:rsidR="00756B53" w:rsidRPr="00E83DA2" w:rsidRDefault="00756B53" w:rsidP="008D2E39">
            <w:pPr>
              <w:jc w:val="both"/>
              <w:rPr>
                <w:rFonts w:ascii="Gill Sans MT" w:hAnsi="Gill Sans MT"/>
              </w:rPr>
            </w:pPr>
          </w:p>
        </w:tc>
      </w:tr>
    </w:tbl>
    <w:p w:rsidR="00756B53" w:rsidRPr="00E83DA2" w:rsidRDefault="00756B53" w:rsidP="00756B53">
      <w:pPr>
        <w:jc w:val="both"/>
        <w:rPr>
          <w:rFonts w:ascii="Gill Sans MT" w:hAnsi="Gill Sans MT"/>
          <w:i/>
        </w:rPr>
      </w:pPr>
      <w:r w:rsidRPr="00E83DA2">
        <w:rPr>
          <w:rFonts w:ascii="Gill Sans MT" w:hAnsi="Gill Sans MT"/>
          <w:i/>
        </w:rPr>
        <w:t>High Productivity Vehicles and Higher Mass Limit vehicles</w:t>
      </w:r>
    </w:p>
    <w:p w:rsidR="00756B53" w:rsidRPr="00E83DA2" w:rsidRDefault="00756B53" w:rsidP="00A029D6">
      <w:pPr>
        <w:rPr>
          <w:rFonts w:ascii="Gill Sans MT" w:hAnsi="Gill Sans MT"/>
        </w:rPr>
      </w:pPr>
      <w:r w:rsidRPr="00E83DA2">
        <w:rPr>
          <w:rFonts w:ascii="Gill Sans MT" w:hAnsi="Gill Sans MT"/>
        </w:rPr>
        <w:t xml:space="preserve">Some specific types of larger, heavier vehicle combinations are allowed to operate on specified roads across Tasmania, restricted to roads specified in the </w:t>
      </w:r>
      <w:r w:rsidRPr="00E83DA2">
        <w:rPr>
          <w:rFonts w:ascii="Gill Sans MT" w:hAnsi="Gill Sans MT"/>
          <w:i/>
        </w:rPr>
        <w:t>Vehicle and Traffic (Vehicle Operations) Notice 2009</w:t>
      </w:r>
      <w:r w:rsidRPr="00E83DA2">
        <w:rPr>
          <w:rFonts w:ascii="Gill Sans MT" w:hAnsi="Gill Sans MT"/>
        </w:rPr>
        <w:t xml:space="preserve">, or roads defined in individual vehicle permits. </w:t>
      </w:r>
    </w:p>
    <w:p w:rsidR="00756B53" w:rsidRPr="00E83DA2" w:rsidRDefault="00756B53" w:rsidP="00A029D6">
      <w:pPr>
        <w:rPr>
          <w:rFonts w:ascii="Gill Sans MT" w:hAnsi="Gill Sans MT"/>
        </w:rPr>
      </w:pPr>
      <w:r w:rsidRPr="00E83DA2">
        <w:rPr>
          <w:rFonts w:ascii="Gill Sans MT" w:hAnsi="Gill Sans MT"/>
        </w:rPr>
        <w:t xml:space="preserve">There are two main types of vehicles that fall into this category: High Productivity Vehicles (HPV) and Higher Mass Limits vehicles (HML). </w:t>
      </w:r>
    </w:p>
    <w:p w:rsidR="00756B53" w:rsidRPr="00E83DA2" w:rsidRDefault="00756B53" w:rsidP="00A029D6">
      <w:pPr>
        <w:rPr>
          <w:rFonts w:ascii="Gill Sans MT" w:hAnsi="Gill Sans MT"/>
        </w:rPr>
      </w:pPr>
      <w:r w:rsidRPr="00E83DA2">
        <w:rPr>
          <w:rFonts w:ascii="Gill Sans MT" w:hAnsi="Gill Sans MT"/>
        </w:rPr>
        <w:t xml:space="preserve">A </w:t>
      </w:r>
      <w:r w:rsidRPr="00E83DA2">
        <w:rPr>
          <w:rFonts w:ascii="Gill Sans MT" w:hAnsi="Gill Sans MT"/>
          <w:iCs/>
        </w:rPr>
        <w:t xml:space="preserve">High Productivity Vehicle </w:t>
      </w:r>
      <w:r w:rsidRPr="00E83DA2">
        <w:rPr>
          <w:rFonts w:ascii="Gill Sans MT" w:hAnsi="Gill Sans MT"/>
        </w:rPr>
        <w:t>is a vehicle or combination operating under a conditional exemption that exceeds the regulatory mass and dimension limits. Typical HPV combinations are shown in the below diagram.</w:t>
      </w:r>
    </w:p>
    <w:tbl>
      <w:tblPr>
        <w:tblW w:w="0" w:type="auto"/>
        <w:tblLook w:val="04A0"/>
      </w:tblPr>
      <w:tblGrid>
        <w:gridCol w:w="5822"/>
        <w:gridCol w:w="2706"/>
      </w:tblGrid>
      <w:tr w:rsidR="00756B53" w:rsidRPr="00E83DA2" w:rsidTr="008D2E39">
        <w:trPr>
          <w:cantSplit/>
        </w:trPr>
        <w:tc>
          <w:tcPr>
            <w:tcW w:w="9242" w:type="dxa"/>
            <w:gridSpan w:val="2"/>
          </w:tcPr>
          <w:p w:rsidR="00756B53" w:rsidRPr="00E83DA2" w:rsidRDefault="00A029D6" w:rsidP="008D2E39">
            <w:pPr>
              <w:jc w:val="both"/>
              <w:rPr>
                <w:rFonts w:ascii="Gill Sans MT" w:hAnsi="Gill Sans MT"/>
                <w:b/>
              </w:rPr>
            </w:pPr>
            <w:r w:rsidRPr="00A029D6">
              <w:rPr>
                <w:rFonts w:ascii="Gill Sans MT" w:hAnsi="Gill Sans MT"/>
                <w:b/>
                <w:i/>
              </w:rPr>
              <w:t>Figure 2</w:t>
            </w:r>
            <w:r w:rsidR="00666BF3">
              <w:rPr>
                <w:rFonts w:ascii="Gill Sans MT" w:hAnsi="Gill Sans MT"/>
                <w:b/>
                <w:i/>
              </w:rPr>
              <w:t>5</w:t>
            </w:r>
            <w:r w:rsidRPr="00A029D6">
              <w:rPr>
                <w:rFonts w:ascii="Gill Sans MT" w:hAnsi="Gill Sans MT"/>
                <w:b/>
                <w:i/>
              </w:rPr>
              <w:t>.</w:t>
            </w:r>
            <w:r w:rsidR="00756B53" w:rsidRPr="00E83DA2">
              <w:rPr>
                <w:rFonts w:ascii="Gill Sans MT" w:hAnsi="Gill Sans MT"/>
                <w:b/>
              </w:rPr>
              <w:t xml:space="preserve"> High Productivity Vehicle combinations</w:t>
            </w:r>
          </w:p>
        </w:tc>
      </w:tr>
      <w:tr w:rsidR="00756B53" w:rsidRPr="00E83DA2" w:rsidTr="008D2E39">
        <w:trPr>
          <w:cantSplit/>
        </w:trPr>
        <w:tc>
          <w:tcPr>
            <w:tcW w:w="5856" w:type="dxa"/>
          </w:tcPr>
          <w:p w:rsidR="00756B53" w:rsidRPr="00E83DA2" w:rsidRDefault="00756B53" w:rsidP="008D2E39">
            <w:pPr>
              <w:jc w:val="both"/>
              <w:rPr>
                <w:rFonts w:ascii="Gill Sans MT" w:hAnsi="Gill Sans MT"/>
              </w:rPr>
            </w:pPr>
            <w:r w:rsidRPr="00E83DA2">
              <w:rPr>
                <w:rFonts w:ascii="Gill Sans MT" w:hAnsi="Gill Sans MT"/>
                <w:noProof/>
                <w:lang w:eastAsia="en-AU"/>
              </w:rPr>
              <w:drawing>
                <wp:inline distT="0" distB="0" distL="0" distR="0">
                  <wp:extent cx="3495675" cy="733425"/>
                  <wp:effectExtent l="19050" t="0" r="9525" b="0"/>
                  <wp:docPr id="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3502067" cy="734766"/>
                          </a:xfrm>
                          <a:prstGeom prst="rect">
                            <a:avLst/>
                          </a:prstGeom>
                          <a:noFill/>
                          <a:ln w="9525">
                            <a:noFill/>
                            <a:miter lim="800000"/>
                            <a:headEnd/>
                            <a:tailEnd/>
                          </a:ln>
                        </pic:spPr>
                      </pic:pic>
                    </a:graphicData>
                  </a:graphic>
                </wp:inline>
              </w:drawing>
            </w:r>
          </w:p>
        </w:tc>
        <w:tc>
          <w:tcPr>
            <w:tcW w:w="3386" w:type="dxa"/>
          </w:tcPr>
          <w:p w:rsidR="00756B53" w:rsidRPr="00E83DA2" w:rsidRDefault="00756B53" w:rsidP="008D2E39">
            <w:pPr>
              <w:jc w:val="both"/>
              <w:rPr>
                <w:rFonts w:ascii="Gill Sans MT" w:hAnsi="Gill Sans MT"/>
                <w:i/>
              </w:rPr>
            </w:pPr>
            <w:r w:rsidRPr="00E83DA2">
              <w:rPr>
                <w:rFonts w:ascii="Gill Sans MT" w:hAnsi="Gill Sans MT"/>
                <w:i/>
              </w:rPr>
              <w:t>7-axle combination</w:t>
            </w:r>
          </w:p>
          <w:p w:rsidR="00756B53" w:rsidRPr="00E83DA2" w:rsidRDefault="00756B53" w:rsidP="008D2E39">
            <w:pPr>
              <w:jc w:val="both"/>
              <w:rPr>
                <w:rFonts w:ascii="Gill Sans MT" w:hAnsi="Gill Sans MT"/>
              </w:rPr>
            </w:pPr>
            <w:r w:rsidRPr="00E83DA2">
              <w:rPr>
                <w:rFonts w:ascii="Gill Sans MT" w:hAnsi="Gill Sans MT"/>
              </w:rPr>
              <w:t>Length 21m up to 26m, Width 2.5m, Height 4.3m and Mass up to 57.5t</w:t>
            </w:r>
          </w:p>
        </w:tc>
      </w:tr>
      <w:tr w:rsidR="00756B53" w:rsidRPr="00E83DA2" w:rsidTr="008D2E39">
        <w:trPr>
          <w:cantSplit/>
        </w:trPr>
        <w:tc>
          <w:tcPr>
            <w:tcW w:w="5856" w:type="dxa"/>
          </w:tcPr>
          <w:p w:rsidR="00756B53" w:rsidRPr="00E83DA2" w:rsidRDefault="00756B53" w:rsidP="008D2E39">
            <w:pPr>
              <w:jc w:val="both"/>
              <w:rPr>
                <w:rFonts w:ascii="Gill Sans MT" w:hAnsi="Gill Sans MT"/>
              </w:rPr>
            </w:pPr>
            <w:r w:rsidRPr="00E83DA2">
              <w:rPr>
                <w:rFonts w:ascii="Gill Sans MT" w:hAnsi="Gill Sans MT"/>
                <w:noProof/>
                <w:lang w:eastAsia="en-AU"/>
              </w:rPr>
              <w:lastRenderedPageBreak/>
              <w:drawing>
                <wp:inline distT="0" distB="0" distL="0" distR="0">
                  <wp:extent cx="3495675" cy="742950"/>
                  <wp:effectExtent l="19050" t="0" r="9525" b="0"/>
                  <wp:docPr id="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l="7526" r="9689" b="30973"/>
                          <a:stretch>
                            <a:fillRect/>
                          </a:stretch>
                        </pic:blipFill>
                        <pic:spPr bwMode="auto">
                          <a:xfrm>
                            <a:off x="0" y="0"/>
                            <a:ext cx="3495675" cy="742950"/>
                          </a:xfrm>
                          <a:prstGeom prst="rect">
                            <a:avLst/>
                          </a:prstGeom>
                          <a:noFill/>
                          <a:ln w="9525">
                            <a:noFill/>
                            <a:miter lim="800000"/>
                            <a:headEnd/>
                            <a:tailEnd/>
                          </a:ln>
                        </pic:spPr>
                      </pic:pic>
                    </a:graphicData>
                  </a:graphic>
                </wp:inline>
              </w:drawing>
            </w:r>
          </w:p>
        </w:tc>
        <w:tc>
          <w:tcPr>
            <w:tcW w:w="3386" w:type="dxa"/>
          </w:tcPr>
          <w:p w:rsidR="00756B53" w:rsidRPr="00E83DA2" w:rsidRDefault="00756B53" w:rsidP="008D2E39">
            <w:pPr>
              <w:jc w:val="both"/>
              <w:rPr>
                <w:rFonts w:ascii="Gill Sans MT" w:hAnsi="Gill Sans MT"/>
                <w:i/>
              </w:rPr>
            </w:pPr>
            <w:r w:rsidRPr="00E83DA2">
              <w:rPr>
                <w:rFonts w:ascii="Gill Sans MT" w:hAnsi="Gill Sans MT"/>
                <w:i/>
              </w:rPr>
              <w:t>8-axle combination</w:t>
            </w:r>
          </w:p>
          <w:p w:rsidR="00756B53" w:rsidRPr="00E83DA2" w:rsidRDefault="00756B53" w:rsidP="008D2E39">
            <w:pPr>
              <w:jc w:val="both"/>
              <w:rPr>
                <w:rFonts w:ascii="Gill Sans MT" w:hAnsi="Gill Sans MT"/>
              </w:rPr>
            </w:pPr>
            <w:r w:rsidRPr="00E83DA2">
              <w:rPr>
                <w:rFonts w:ascii="Gill Sans MT" w:hAnsi="Gill Sans MT"/>
              </w:rPr>
              <w:t>Length up to 26m, Width 2.5m, Height 4.3m and Mass up to 63t</w:t>
            </w:r>
          </w:p>
          <w:p w:rsidR="00756B53" w:rsidRPr="00E83DA2" w:rsidRDefault="00756B53" w:rsidP="008D2E39">
            <w:pPr>
              <w:jc w:val="both"/>
              <w:rPr>
                <w:rFonts w:ascii="Gill Sans MT" w:hAnsi="Gill Sans MT"/>
              </w:rPr>
            </w:pPr>
          </w:p>
        </w:tc>
      </w:tr>
      <w:tr w:rsidR="00756B53" w:rsidRPr="00E83DA2" w:rsidTr="008D2E39">
        <w:trPr>
          <w:cantSplit/>
        </w:trPr>
        <w:tc>
          <w:tcPr>
            <w:tcW w:w="5856" w:type="dxa"/>
          </w:tcPr>
          <w:p w:rsidR="00756B53" w:rsidRPr="00E83DA2" w:rsidRDefault="00756B53" w:rsidP="008D2E39">
            <w:pPr>
              <w:jc w:val="both"/>
              <w:rPr>
                <w:rFonts w:ascii="Gill Sans MT" w:hAnsi="Gill Sans MT"/>
              </w:rPr>
            </w:pPr>
            <w:r w:rsidRPr="00E83DA2">
              <w:rPr>
                <w:rFonts w:ascii="Gill Sans MT" w:hAnsi="Gill Sans MT"/>
                <w:noProof/>
                <w:lang w:eastAsia="en-AU"/>
              </w:rPr>
              <w:drawing>
                <wp:inline distT="0" distB="0" distL="0" distR="0">
                  <wp:extent cx="3495675" cy="742950"/>
                  <wp:effectExtent l="19050" t="0" r="9525" b="0"/>
                  <wp:docPr id="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l="7339" r="11927" b="30973"/>
                          <a:stretch>
                            <a:fillRect/>
                          </a:stretch>
                        </pic:blipFill>
                        <pic:spPr bwMode="auto">
                          <a:xfrm>
                            <a:off x="0" y="0"/>
                            <a:ext cx="3495675" cy="742950"/>
                          </a:xfrm>
                          <a:prstGeom prst="rect">
                            <a:avLst/>
                          </a:prstGeom>
                          <a:noFill/>
                          <a:ln w="9525">
                            <a:noFill/>
                            <a:miter lim="800000"/>
                            <a:headEnd/>
                            <a:tailEnd/>
                          </a:ln>
                        </pic:spPr>
                      </pic:pic>
                    </a:graphicData>
                  </a:graphic>
                </wp:inline>
              </w:drawing>
            </w:r>
          </w:p>
        </w:tc>
        <w:tc>
          <w:tcPr>
            <w:tcW w:w="3386" w:type="dxa"/>
          </w:tcPr>
          <w:p w:rsidR="00756B53" w:rsidRPr="00E83DA2" w:rsidRDefault="00756B53" w:rsidP="008D2E39">
            <w:pPr>
              <w:jc w:val="both"/>
              <w:rPr>
                <w:rFonts w:ascii="Gill Sans MT" w:hAnsi="Gill Sans MT"/>
                <w:i/>
              </w:rPr>
            </w:pPr>
            <w:r w:rsidRPr="00E83DA2">
              <w:rPr>
                <w:rFonts w:ascii="Gill Sans MT" w:hAnsi="Gill Sans MT"/>
                <w:i/>
              </w:rPr>
              <w:t>9-axle combination</w:t>
            </w:r>
          </w:p>
          <w:p w:rsidR="00756B53" w:rsidRPr="00E83DA2" w:rsidRDefault="00756B53" w:rsidP="008D2E39">
            <w:pPr>
              <w:jc w:val="both"/>
              <w:rPr>
                <w:rFonts w:ascii="Gill Sans MT" w:hAnsi="Gill Sans MT"/>
              </w:rPr>
            </w:pPr>
            <w:r w:rsidRPr="00E83DA2">
              <w:rPr>
                <w:rFonts w:ascii="Gill Sans MT" w:hAnsi="Gill Sans MT"/>
              </w:rPr>
              <w:t>Length up to 26m, Width 2.5m, Height 4.3m and Mass up to 68.5t</w:t>
            </w:r>
          </w:p>
          <w:p w:rsidR="00756B53" w:rsidRPr="00E83DA2" w:rsidRDefault="00756B53" w:rsidP="008D2E39">
            <w:pPr>
              <w:jc w:val="both"/>
              <w:rPr>
                <w:rFonts w:ascii="Gill Sans MT" w:hAnsi="Gill Sans MT"/>
              </w:rPr>
            </w:pPr>
          </w:p>
        </w:tc>
      </w:tr>
    </w:tbl>
    <w:p w:rsidR="00756B53" w:rsidRPr="00E83DA2" w:rsidRDefault="00756B53" w:rsidP="00A029D6">
      <w:pPr>
        <w:rPr>
          <w:rFonts w:ascii="Gill Sans MT" w:hAnsi="Gill Sans MT"/>
        </w:rPr>
      </w:pPr>
      <w:r w:rsidRPr="00E83DA2">
        <w:rPr>
          <w:rFonts w:ascii="Gill Sans MT" w:hAnsi="Gill Sans MT"/>
        </w:rPr>
        <w:t xml:space="preserve">Higher Mass Limits (HML) is a nationally agreed scheme that permits approved heavy vehicles to operate with additional mass on certain types of axle groups, on a restricted road network and subject to specified conditions. HML can apply to anything from a rigid truck to a full High Productivity Vehicle combination.  The maximum vehicle weight under the HML guidelines is 67 tonnes for HPV combinations and </w:t>
      </w:r>
      <w:r w:rsidR="00A029D6" w:rsidRPr="00A029D6">
        <w:rPr>
          <w:rFonts w:ascii="Gill Sans MT" w:hAnsi="Gill Sans MT"/>
        </w:rPr>
        <w:t>57</w:t>
      </w:r>
      <w:r w:rsidRPr="00A029D6">
        <w:rPr>
          <w:rFonts w:ascii="Gill Sans MT" w:hAnsi="Gill Sans MT"/>
        </w:rPr>
        <w:t xml:space="preserve"> tonnes for a General Access combination.</w:t>
      </w:r>
    </w:p>
    <w:p w:rsidR="00756B53" w:rsidRPr="00E83DA2" w:rsidRDefault="00756B53" w:rsidP="00A029D6">
      <w:pPr>
        <w:rPr>
          <w:rFonts w:ascii="Gill Sans MT" w:hAnsi="Gill Sans MT"/>
        </w:rPr>
      </w:pPr>
      <w:r w:rsidRPr="00E83DA2">
        <w:rPr>
          <w:rFonts w:ascii="Gill Sans MT" w:hAnsi="Gill Sans MT"/>
        </w:rPr>
        <w:t>While many roads across the State allow both HPV and HML vehicles, the networks for these vehicle types are different, and if an operator requires access to both networks it is necessary to comply with both sets of operating conditions.</w:t>
      </w:r>
    </w:p>
    <w:p w:rsidR="00756B53" w:rsidRPr="00E83DA2" w:rsidRDefault="00756B53" w:rsidP="00A029D6">
      <w:pPr>
        <w:ind w:left="-284"/>
        <w:jc w:val="both"/>
        <w:rPr>
          <w:rFonts w:ascii="Gill Sans MT" w:hAnsi="Gill Sans MT"/>
        </w:rPr>
      </w:pPr>
      <w:r w:rsidRPr="00E83DA2">
        <w:rPr>
          <w:rFonts w:ascii="Gill Sans MT" w:hAnsi="Gill Sans MT"/>
          <w:noProof/>
          <w:lang w:eastAsia="en-AU"/>
        </w:rPr>
        <w:lastRenderedPageBreak/>
        <w:drawing>
          <wp:inline distT="0" distB="0" distL="0" distR="0">
            <wp:extent cx="5569882" cy="5992644"/>
            <wp:effectExtent l="38100" t="19050" r="11768" b="27156"/>
            <wp:docPr id="87" name="Picture 6" descr="HPV-HML-Quadax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V-HML-Quadaxle.jpg"/>
                    <pic:cNvPicPr/>
                  </pic:nvPicPr>
                  <pic:blipFill>
                    <a:blip r:embed="rId28" cstate="print"/>
                    <a:srcRect l="5696" t="28940" r="6017" b="3771"/>
                    <a:stretch>
                      <a:fillRect/>
                    </a:stretch>
                  </pic:blipFill>
                  <pic:spPr>
                    <a:xfrm>
                      <a:off x="0" y="0"/>
                      <a:ext cx="5569882" cy="5992644"/>
                    </a:xfrm>
                    <a:prstGeom prst="rect">
                      <a:avLst/>
                    </a:prstGeom>
                    <a:ln>
                      <a:solidFill>
                        <a:schemeClr val="tx1"/>
                      </a:solidFill>
                    </a:ln>
                  </pic:spPr>
                </pic:pic>
              </a:graphicData>
            </a:graphic>
          </wp:inline>
        </w:drawing>
      </w:r>
    </w:p>
    <w:p w:rsidR="00A029D6" w:rsidRPr="00A029D6" w:rsidRDefault="00666BF3" w:rsidP="00A029D6">
      <w:pPr>
        <w:pStyle w:val="Caption"/>
        <w:keepNext/>
        <w:jc w:val="both"/>
        <w:rPr>
          <w:rFonts w:ascii="Gill Sans MT" w:hAnsi="Gill Sans MT"/>
          <w:color w:val="auto"/>
          <w:sz w:val="22"/>
          <w:szCs w:val="22"/>
        </w:rPr>
      </w:pPr>
      <w:proofErr w:type="gramStart"/>
      <w:r>
        <w:rPr>
          <w:rFonts w:ascii="Gill Sans MT" w:hAnsi="Gill Sans MT"/>
          <w:i/>
          <w:color w:val="auto"/>
          <w:sz w:val="22"/>
          <w:szCs w:val="22"/>
        </w:rPr>
        <w:t>Figure 26</w:t>
      </w:r>
      <w:r w:rsidR="00A029D6" w:rsidRPr="00A029D6">
        <w:rPr>
          <w:rFonts w:ascii="Gill Sans MT" w:hAnsi="Gill Sans MT"/>
          <w:i/>
          <w:color w:val="auto"/>
          <w:sz w:val="22"/>
          <w:szCs w:val="22"/>
        </w:rPr>
        <w:t>.</w:t>
      </w:r>
      <w:proofErr w:type="gramEnd"/>
      <w:r w:rsidR="00A029D6" w:rsidRPr="00A029D6">
        <w:rPr>
          <w:rFonts w:ascii="Gill Sans MT" w:hAnsi="Gill Sans MT"/>
          <w:color w:val="auto"/>
          <w:sz w:val="22"/>
          <w:szCs w:val="22"/>
        </w:rPr>
        <w:t xml:space="preserve"> Tasmania's higher productivity road vehicle networks</w:t>
      </w:r>
    </w:p>
    <w:p w:rsidR="00756B53" w:rsidRPr="00E83DA2" w:rsidRDefault="00756B53" w:rsidP="00756B53">
      <w:pPr>
        <w:jc w:val="both"/>
        <w:rPr>
          <w:rFonts w:ascii="Gill Sans MT" w:hAnsi="Gill Sans MT"/>
          <w:i/>
        </w:rPr>
      </w:pPr>
      <w:r w:rsidRPr="00E83DA2">
        <w:rPr>
          <w:rFonts w:ascii="Gill Sans MT" w:hAnsi="Gill Sans MT"/>
          <w:i/>
        </w:rPr>
        <w:t xml:space="preserve">Performance Based Standards </w:t>
      </w:r>
    </w:p>
    <w:p w:rsidR="00756B53" w:rsidRPr="00E83DA2" w:rsidRDefault="00756B53" w:rsidP="00A029D6">
      <w:pPr>
        <w:rPr>
          <w:rFonts w:ascii="Gill Sans MT" w:hAnsi="Gill Sans MT"/>
          <w:bCs/>
        </w:rPr>
      </w:pPr>
      <w:r w:rsidRPr="00E83DA2">
        <w:rPr>
          <w:rFonts w:ascii="Gill Sans MT" w:hAnsi="Gill Sans MT"/>
        </w:rPr>
        <w:t xml:space="preserve">Tasmania is in the process of introducing Performance Based Standards for heavy vehicles, following the Australian Transport Council’s (ATC) approval of the PBS framework in late 2007.  </w:t>
      </w:r>
      <w:r w:rsidRPr="00E83DA2">
        <w:rPr>
          <w:rFonts w:ascii="Gill Sans MT" w:hAnsi="Gill Sans MT"/>
          <w:bCs/>
        </w:rPr>
        <w:t xml:space="preserve">Performance Based Standards (PBS) </w:t>
      </w:r>
      <w:proofErr w:type="gramStart"/>
      <w:r w:rsidRPr="00E83DA2">
        <w:rPr>
          <w:rFonts w:ascii="Gill Sans MT" w:hAnsi="Gill Sans MT"/>
          <w:bCs/>
        </w:rPr>
        <w:t>offer</w:t>
      </w:r>
      <w:proofErr w:type="gramEnd"/>
      <w:r w:rsidRPr="00E83DA2">
        <w:rPr>
          <w:rFonts w:ascii="Gill Sans MT" w:hAnsi="Gill Sans MT"/>
          <w:bCs/>
        </w:rPr>
        <w:t xml:space="preserve"> the potential for heavy vehicle operators to achieve higher productivity and safety through innovative vehicle design.  </w:t>
      </w:r>
    </w:p>
    <w:p w:rsidR="00756B53" w:rsidRPr="00E83DA2" w:rsidRDefault="00756B53" w:rsidP="00A029D6">
      <w:pPr>
        <w:rPr>
          <w:rFonts w:ascii="Gill Sans MT" w:hAnsi="Gill Sans MT"/>
        </w:rPr>
      </w:pPr>
      <w:r w:rsidRPr="00E83DA2">
        <w:rPr>
          <w:rFonts w:ascii="Gill Sans MT" w:hAnsi="Gill Sans MT"/>
          <w:bCs/>
        </w:rPr>
        <w:t xml:space="preserve">PBS focuses on how heavy vehicle behaves on the road, through a set of safety, road wear and bridge loading standards.  </w:t>
      </w:r>
      <w:r w:rsidRPr="00E83DA2">
        <w:rPr>
          <w:rFonts w:ascii="Gill Sans MT" w:hAnsi="Gill Sans MT"/>
        </w:rPr>
        <w:t xml:space="preserve">Quad axle vehicles are assessed under the PBS vehicle assessment procedures and are required to meet all PBS safety standards and infrastructure standards except pavement vertical loading and bridge loading standards. Similarly, vehicle length limits must comply with PBS Scheme specifications.  </w:t>
      </w:r>
      <w:r w:rsidRPr="00E83DA2">
        <w:rPr>
          <w:rFonts w:ascii="Gill Sans MT" w:hAnsi="Gill Sans MT"/>
          <w:bCs/>
        </w:rPr>
        <w:t>M</w:t>
      </w:r>
      <w:r w:rsidRPr="00E83DA2">
        <w:rPr>
          <w:rFonts w:ascii="Gill Sans MT" w:hAnsi="Gill Sans MT"/>
        </w:rPr>
        <w:t xml:space="preserve">aximum vehicle length for a </w:t>
      </w:r>
      <w:r w:rsidRPr="00E83DA2">
        <w:rPr>
          <w:rFonts w:ascii="Gill Sans MT" w:hAnsi="Gill Sans MT"/>
        </w:rPr>
        <w:lastRenderedPageBreak/>
        <w:t>heavy vehicle under the PBS or Quad Axle scheme is 26 metres – the same as for High Productivity Vehicles.</w:t>
      </w:r>
    </w:p>
    <w:p w:rsidR="00756B53" w:rsidRPr="00E83DA2" w:rsidRDefault="00756B53" w:rsidP="00A029D6">
      <w:pPr>
        <w:rPr>
          <w:rFonts w:ascii="Gill Sans MT" w:hAnsi="Gill Sans MT"/>
        </w:rPr>
      </w:pPr>
      <w:r w:rsidRPr="00E83DA2">
        <w:rPr>
          <w:rFonts w:ascii="Gill Sans MT" w:hAnsi="Gill Sans MT"/>
        </w:rPr>
        <w:t xml:space="preserve">Quad axle vehicles are one example of a vehicle under the PBS Scheme.  These vehicles are allowed to carry heavier loads than traditional tri-axle combinations, provided these vehicles meet safety, environmental and performance standards.   </w:t>
      </w:r>
    </w:p>
    <w:p w:rsidR="00756B53" w:rsidRPr="00E83DA2" w:rsidRDefault="00756B53" w:rsidP="00A029D6">
      <w:pPr>
        <w:rPr>
          <w:rFonts w:ascii="Gill Sans MT" w:hAnsi="Gill Sans MT"/>
        </w:rPr>
      </w:pPr>
      <w:r w:rsidRPr="00E83DA2">
        <w:rPr>
          <w:rFonts w:ascii="Gill Sans MT" w:hAnsi="Gill Sans MT"/>
        </w:rPr>
        <w:t xml:space="preserve">Tasmania is also in the final stages of allowing quad-axle vehicles to operate on specified roads.  These vehicles are primarily designed to carry heavy containers.  These vehicles are generally B-double combinations that are able to configure to carry the equivalent of two forty foot containers (30 metres in length), and will lead to higher efficiency container transport.  As quad-axles are likely to be predominantly used for container movement, the quad-axle network connects the northern ports (Burnie, Devonport and Bell Bay) and Hobart.  </w:t>
      </w:r>
    </w:p>
    <w:p w:rsidR="00756B53" w:rsidRPr="00A029D6" w:rsidRDefault="00756B53" w:rsidP="00A029D6">
      <w:pPr>
        <w:pStyle w:val="Heading5"/>
      </w:pPr>
      <w:r w:rsidRPr="00A029D6">
        <w:t>Tasmania’s road-rail contestable freight task</w:t>
      </w:r>
    </w:p>
    <w:p w:rsidR="00756B53" w:rsidRPr="00E83DA2" w:rsidRDefault="00756B53" w:rsidP="00A029D6">
      <w:pPr>
        <w:rPr>
          <w:rFonts w:ascii="Gill Sans MT" w:hAnsi="Gill Sans MT"/>
        </w:rPr>
      </w:pPr>
      <w:r w:rsidRPr="00E83DA2">
        <w:rPr>
          <w:rFonts w:ascii="Gill Sans MT" w:hAnsi="Gill Sans MT"/>
        </w:rPr>
        <w:t xml:space="preserve">The contestable freight task is the freight journeys that could be carried by road or rail, and road and rail service providers can compete for carriage of this freight.   While it may seem attractive to move more freight via the rail system for a number of reasons, some freight tasks are not suited to being carried by rail, usually related to freight moving between places without a direct rail link, and to smaller volume freight tasks.  </w:t>
      </w:r>
    </w:p>
    <w:p w:rsidR="00756B53" w:rsidRPr="00E83DA2" w:rsidRDefault="00756B53" w:rsidP="00A029D6">
      <w:pPr>
        <w:rPr>
          <w:rFonts w:ascii="Gill Sans MT" w:hAnsi="Gill Sans MT"/>
        </w:rPr>
      </w:pPr>
      <w:r w:rsidRPr="00E83DA2">
        <w:rPr>
          <w:rFonts w:ascii="Gill Sans MT" w:hAnsi="Gill Sans MT"/>
        </w:rPr>
        <w:t>In considering whether to use road or rail, there are a number of considerations for freight demanders, which include:</w:t>
      </w:r>
    </w:p>
    <w:p w:rsidR="00756B53" w:rsidRPr="00E83DA2" w:rsidRDefault="00756B53" w:rsidP="00A029D6">
      <w:pPr>
        <w:pStyle w:val="ListParagraph"/>
        <w:numPr>
          <w:ilvl w:val="0"/>
          <w:numId w:val="16"/>
        </w:numPr>
        <w:rPr>
          <w:rFonts w:ascii="Gill Sans MT" w:hAnsi="Gill Sans MT"/>
        </w:rPr>
      </w:pPr>
      <w:r w:rsidRPr="00E83DA2">
        <w:rPr>
          <w:rFonts w:ascii="Gill Sans MT" w:hAnsi="Gill Sans MT"/>
        </w:rPr>
        <w:t>relative transport costs of rail and road transport</w:t>
      </w:r>
    </w:p>
    <w:p w:rsidR="00756B53" w:rsidRPr="00E83DA2" w:rsidRDefault="00756B53" w:rsidP="00A029D6">
      <w:pPr>
        <w:pStyle w:val="ListParagraph"/>
        <w:numPr>
          <w:ilvl w:val="0"/>
          <w:numId w:val="16"/>
        </w:numPr>
        <w:rPr>
          <w:rFonts w:ascii="Gill Sans MT" w:hAnsi="Gill Sans MT"/>
        </w:rPr>
      </w:pPr>
      <w:r w:rsidRPr="00E83DA2">
        <w:rPr>
          <w:rFonts w:ascii="Gill Sans MT" w:hAnsi="Gill Sans MT"/>
        </w:rPr>
        <w:t>location and capability of loading facilities</w:t>
      </w:r>
    </w:p>
    <w:p w:rsidR="00756B53" w:rsidRPr="00E83DA2" w:rsidRDefault="00756B53" w:rsidP="00A029D6">
      <w:pPr>
        <w:pStyle w:val="ListParagraph"/>
        <w:numPr>
          <w:ilvl w:val="0"/>
          <w:numId w:val="16"/>
        </w:numPr>
        <w:rPr>
          <w:rFonts w:ascii="Gill Sans MT" w:hAnsi="Gill Sans MT"/>
        </w:rPr>
      </w:pPr>
      <w:r w:rsidRPr="00E83DA2">
        <w:rPr>
          <w:rFonts w:ascii="Gill Sans MT" w:hAnsi="Gill Sans MT"/>
        </w:rPr>
        <w:t>size of the freight task</w:t>
      </w:r>
    </w:p>
    <w:p w:rsidR="00756B53" w:rsidRPr="00E83DA2" w:rsidRDefault="00756B53" w:rsidP="00A029D6">
      <w:pPr>
        <w:pStyle w:val="ListParagraph"/>
        <w:numPr>
          <w:ilvl w:val="0"/>
          <w:numId w:val="16"/>
        </w:numPr>
        <w:rPr>
          <w:rFonts w:ascii="Gill Sans MT" w:hAnsi="Gill Sans MT"/>
        </w:rPr>
      </w:pPr>
      <w:r w:rsidRPr="00E83DA2">
        <w:rPr>
          <w:rFonts w:ascii="Gill Sans MT" w:hAnsi="Gill Sans MT"/>
        </w:rPr>
        <w:t>length of the journey</w:t>
      </w:r>
    </w:p>
    <w:p w:rsidR="00756B53" w:rsidRPr="00E83DA2" w:rsidRDefault="00756B53" w:rsidP="00A029D6">
      <w:pPr>
        <w:pStyle w:val="ListParagraph"/>
        <w:numPr>
          <w:ilvl w:val="0"/>
          <w:numId w:val="16"/>
        </w:numPr>
        <w:rPr>
          <w:rFonts w:ascii="Gill Sans MT" w:hAnsi="Gill Sans MT"/>
        </w:rPr>
      </w:pPr>
      <w:r w:rsidRPr="00E83DA2">
        <w:rPr>
          <w:rFonts w:ascii="Gill Sans MT" w:hAnsi="Gill Sans MT"/>
        </w:rPr>
        <w:t>service characteristics, such as timing, frequency, quality and reliability</w:t>
      </w:r>
    </w:p>
    <w:p w:rsidR="00756B53" w:rsidRPr="00E83DA2" w:rsidRDefault="00756B53" w:rsidP="00A029D6">
      <w:pPr>
        <w:rPr>
          <w:rFonts w:ascii="Gill Sans MT" w:hAnsi="Gill Sans MT"/>
        </w:rPr>
      </w:pPr>
      <w:r w:rsidRPr="00E83DA2">
        <w:rPr>
          <w:rFonts w:ascii="Gill Sans MT" w:hAnsi="Gill Sans MT"/>
        </w:rPr>
        <w:t>Tasmania’s rail network carried around 8% of the state’s freight task in 2008-09.  I</w:t>
      </w:r>
      <w:r w:rsidR="00463F06">
        <w:rPr>
          <w:rFonts w:ascii="Gill Sans MT" w:hAnsi="Gill Sans MT"/>
        </w:rPr>
        <w:t xml:space="preserve">t was estimated that around 3% </w:t>
      </w:r>
      <w:r w:rsidRPr="00E83DA2">
        <w:rPr>
          <w:rFonts w:ascii="Gill Sans MT" w:hAnsi="Gill Sans MT"/>
        </w:rPr>
        <w:t xml:space="preserve">(800 000 tonnes) of the remaining freight task is potentially contestable between road and rail.  Many freight demanders don’t directly choose whether to move their freight via road or rail, but pay for a door to door service with a freight logistics company.  They are concerned with the overall cost of getting their goods to market and ensuring that their goods arrives at their destination on time and in  </w:t>
      </w:r>
    </w:p>
    <w:p w:rsidR="00756B53" w:rsidRPr="00E83DA2" w:rsidRDefault="00756B53" w:rsidP="00A029D6">
      <w:pPr>
        <w:rPr>
          <w:rFonts w:ascii="Gill Sans MT" w:hAnsi="Gill Sans MT"/>
        </w:rPr>
      </w:pPr>
      <w:r w:rsidRPr="00E83DA2">
        <w:rPr>
          <w:rFonts w:ascii="Gill Sans MT" w:hAnsi="Gill Sans MT"/>
        </w:rPr>
        <w:t>Moving the entire contestable task to rail would result in rail’s mode share rising to 10.8% - slightly higher than in 2006.  Rail would also comprise around 20% of overall tonne kilometres travelled across the state, if the entire contestable task moved by rail.  The majority of the contestable task is between the major urban centres, Hobart and Launceston, and one of the three northern ports – Burnie, Devonport and Bell Bay.</w:t>
      </w:r>
    </w:p>
    <w:p w:rsidR="00756B53" w:rsidRPr="00E83DA2" w:rsidRDefault="00756B53" w:rsidP="00A029D6">
      <w:pPr>
        <w:rPr>
          <w:rFonts w:ascii="Gill Sans MT" w:hAnsi="Gill Sans MT"/>
        </w:rPr>
      </w:pPr>
    </w:p>
    <w:p w:rsidR="00756B53" w:rsidRPr="00A029D6" w:rsidRDefault="00756B53" w:rsidP="00A029D6">
      <w:pPr>
        <w:rPr>
          <w:rFonts w:ascii="Gill Sans MT" w:hAnsi="Gill Sans MT"/>
          <w:i/>
        </w:rPr>
      </w:pPr>
      <w:r w:rsidRPr="00A029D6">
        <w:rPr>
          <w:rFonts w:ascii="Gill Sans MT" w:hAnsi="Gill Sans MT"/>
          <w:i/>
        </w:rPr>
        <w:lastRenderedPageBreak/>
        <w:t>Freight task</w:t>
      </w:r>
    </w:p>
    <w:p w:rsidR="00756B53" w:rsidRPr="00E83DA2" w:rsidRDefault="00756B53" w:rsidP="00A029D6">
      <w:pPr>
        <w:rPr>
          <w:rFonts w:ascii="Gill Sans MT" w:hAnsi="Gill Sans MT"/>
        </w:rPr>
      </w:pPr>
      <w:r w:rsidRPr="00E83DA2">
        <w:rPr>
          <w:rFonts w:ascii="Gill Sans MT" w:hAnsi="Gill Sans MT"/>
        </w:rPr>
        <w:t>The bulk of Tasmania’s current freight task is generated by forestry and agriculture, along with construction and mining.  With changes in industry structures, interstate and international markets, the freight task is likely to change significantly in the future.  To better inform future planning, DIER has developed a series of forecasts of the future freight task, based on a number of scenarios for key freight generating industry sectors across Tasmania.</w:t>
      </w:r>
    </w:p>
    <w:p w:rsidR="00756B53" w:rsidRPr="00E83DA2" w:rsidRDefault="00756B53" w:rsidP="00A029D6">
      <w:pPr>
        <w:rPr>
          <w:rFonts w:ascii="Gill Sans MT" w:hAnsi="Gill Sans MT"/>
        </w:rPr>
      </w:pPr>
      <w:r w:rsidRPr="00E83DA2">
        <w:rPr>
          <w:rFonts w:ascii="Gill Sans MT" w:hAnsi="Gill Sans MT"/>
        </w:rPr>
        <w:t>There are two primary sets of forecasts: a base scenario and a high growth scenario.  The base scenario looks at the most likely scenario – growth in the freight task as expected from current expectations of future growth.  The high growth scenario forecasts what the freight task would look like if industry growth is higher than currently predicted.</w:t>
      </w:r>
    </w:p>
    <w:p w:rsidR="00756B53" w:rsidRPr="00E83DA2" w:rsidRDefault="00756B53" w:rsidP="00A029D6">
      <w:pPr>
        <w:rPr>
          <w:rFonts w:ascii="Gill Sans MT" w:hAnsi="Gill Sans MT"/>
        </w:rPr>
      </w:pPr>
      <w:r w:rsidRPr="00E83DA2">
        <w:rPr>
          <w:rFonts w:ascii="Gill Sans MT" w:hAnsi="Gill Sans MT"/>
        </w:rPr>
        <w:t>By 2029, Tasmania’s freight task (excluding forestry) is projected to increase to over 35 million tonnes, under the base scenario.  This represents an increase of around 80% over 20 years, at an annual growth rate of nearly 3%.</w:t>
      </w:r>
    </w:p>
    <w:p w:rsidR="00756B53" w:rsidRPr="00E83DA2" w:rsidRDefault="00756B53" w:rsidP="00A029D6">
      <w:pPr>
        <w:ind w:left="284"/>
        <w:jc w:val="both"/>
        <w:rPr>
          <w:rFonts w:ascii="Gill Sans MT" w:hAnsi="Gill Sans MT"/>
        </w:rPr>
      </w:pPr>
      <w:r w:rsidRPr="00E83DA2">
        <w:rPr>
          <w:rFonts w:ascii="Gill Sans MT" w:hAnsi="Gill Sans MT"/>
          <w:noProof/>
          <w:lang w:eastAsia="en-AU"/>
        </w:rPr>
        <w:drawing>
          <wp:inline distT="0" distB="0" distL="0" distR="0">
            <wp:extent cx="4749165" cy="1940560"/>
            <wp:effectExtent l="19050" t="0" r="0" b="0"/>
            <wp:docPr id="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4749165" cy="1940560"/>
                    </a:xfrm>
                    <a:prstGeom prst="rect">
                      <a:avLst/>
                    </a:prstGeom>
                    <a:noFill/>
                    <a:ln w="9525">
                      <a:noFill/>
                      <a:miter lim="800000"/>
                      <a:headEnd/>
                      <a:tailEnd/>
                    </a:ln>
                  </pic:spPr>
                </pic:pic>
              </a:graphicData>
            </a:graphic>
          </wp:inline>
        </w:drawing>
      </w:r>
    </w:p>
    <w:p w:rsidR="00A029D6" w:rsidRPr="00A029D6" w:rsidRDefault="00666BF3" w:rsidP="00A029D6">
      <w:pPr>
        <w:pStyle w:val="Caption"/>
        <w:keepNext/>
        <w:ind w:firstLine="284"/>
        <w:jc w:val="both"/>
        <w:rPr>
          <w:rFonts w:ascii="Gill Sans MT" w:hAnsi="Gill Sans MT"/>
          <w:color w:val="auto"/>
          <w:sz w:val="22"/>
          <w:szCs w:val="22"/>
        </w:rPr>
      </w:pPr>
      <w:proofErr w:type="gramStart"/>
      <w:r>
        <w:rPr>
          <w:rFonts w:ascii="Gill Sans MT" w:hAnsi="Gill Sans MT"/>
          <w:i/>
          <w:color w:val="auto"/>
          <w:sz w:val="22"/>
          <w:szCs w:val="22"/>
        </w:rPr>
        <w:t>Figure 27</w:t>
      </w:r>
      <w:r w:rsidR="00A029D6" w:rsidRPr="00A029D6">
        <w:rPr>
          <w:rFonts w:ascii="Gill Sans MT" w:hAnsi="Gill Sans MT"/>
          <w:i/>
          <w:color w:val="auto"/>
          <w:sz w:val="22"/>
          <w:szCs w:val="22"/>
        </w:rPr>
        <w:t>.</w:t>
      </w:r>
      <w:proofErr w:type="gramEnd"/>
      <w:r w:rsidR="00A029D6" w:rsidRPr="00A029D6">
        <w:rPr>
          <w:rFonts w:ascii="Gill Sans MT" w:hAnsi="Gill Sans MT"/>
          <w:color w:val="auto"/>
          <w:sz w:val="22"/>
          <w:szCs w:val="22"/>
        </w:rPr>
        <w:t xml:space="preserve"> </w:t>
      </w:r>
      <w:r w:rsidR="00A029D6">
        <w:rPr>
          <w:rFonts w:ascii="Gill Sans MT" w:hAnsi="Gill Sans MT"/>
          <w:color w:val="auto"/>
          <w:sz w:val="22"/>
          <w:szCs w:val="22"/>
        </w:rPr>
        <w:t>Tasmania’s projected freight task 2009-2029.</w:t>
      </w:r>
    </w:p>
    <w:p w:rsidR="00756B53" w:rsidRPr="00E83DA2" w:rsidRDefault="00756B53" w:rsidP="00A029D6">
      <w:pPr>
        <w:rPr>
          <w:rFonts w:ascii="Gill Sans MT" w:hAnsi="Gill Sans MT"/>
        </w:rPr>
      </w:pPr>
      <w:r w:rsidRPr="00E83DA2">
        <w:rPr>
          <w:rFonts w:ascii="Gill Sans MT" w:hAnsi="Gill Sans MT"/>
        </w:rPr>
        <w:t xml:space="preserve">In combination, construction inputs, agricultural products and consumer goods are projected to comprise nearly 80% of the state-wide freight task in 2029.  Much of this growth is in agriculture, with nearly half of the future growth in the freight task projected to come from increased production.  Consumer goods are also forecast to have a large increase, but make up a relatively small proportion of the overall task.  Demand for construction inputs is also expected to continue to increase, as building activity continues across the state. </w:t>
      </w:r>
    </w:p>
    <w:p w:rsidR="00756B53" w:rsidRPr="00E83DA2" w:rsidRDefault="00756B53" w:rsidP="00305E30">
      <w:pPr>
        <w:ind w:left="-851"/>
        <w:jc w:val="both"/>
        <w:rPr>
          <w:rFonts w:ascii="Gill Sans MT" w:hAnsi="Gill Sans MT"/>
        </w:rPr>
      </w:pPr>
      <w:r w:rsidRPr="00E83DA2">
        <w:rPr>
          <w:rFonts w:ascii="Gill Sans MT" w:hAnsi="Gill Sans MT"/>
          <w:noProof/>
          <w:lang w:eastAsia="en-AU"/>
        </w:rPr>
        <w:lastRenderedPageBreak/>
        <w:drawing>
          <wp:inline distT="0" distB="0" distL="0" distR="0">
            <wp:extent cx="6344428" cy="3125326"/>
            <wp:effectExtent l="19050" t="0" r="0" b="0"/>
            <wp:docPr id="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6340127" cy="3123207"/>
                    </a:xfrm>
                    <a:prstGeom prst="rect">
                      <a:avLst/>
                    </a:prstGeom>
                    <a:noFill/>
                    <a:ln w="9525">
                      <a:noFill/>
                      <a:miter lim="800000"/>
                      <a:headEnd/>
                      <a:tailEnd/>
                    </a:ln>
                  </pic:spPr>
                </pic:pic>
              </a:graphicData>
            </a:graphic>
          </wp:inline>
        </w:drawing>
      </w:r>
    </w:p>
    <w:p w:rsidR="00A029D6" w:rsidRPr="00A029D6" w:rsidRDefault="00A029D6" w:rsidP="00A029D6">
      <w:pPr>
        <w:pStyle w:val="Caption"/>
        <w:keepNext/>
        <w:jc w:val="both"/>
        <w:rPr>
          <w:rFonts w:ascii="Gill Sans MT" w:hAnsi="Gill Sans MT"/>
          <w:color w:val="auto"/>
          <w:sz w:val="22"/>
          <w:szCs w:val="22"/>
        </w:rPr>
      </w:pPr>
      <w:proofErr w:type="gramStart"/>
      <w:r w:rsidRPr="00305E30">
        <w:rPr>
          <w:rFonts w:ascii="Gill Sans MT" w:hAnsi="Gill Sans MT"/>
          <w:i/>
          <w:color w:val="auto"/>
          <w:sz w:val="22"/>
          <w:szCs w:val="22"/>
        </w:rPr>
        <w:t xml:space="preserve">Figure </w:t>
      </w:r>
      <w:r w:rsidR="00666BF3">
        <w:rPr>
          <w:rFonts w:ascii="Gill Sans MT" w:hAnsi="Gill Sans MT"/>
          <w:i/>
          <w:color w:val="auto"/>
          <w:sz w:val="22"/>
          <w:szCs w:val="22"/>
        </w:rPr>
        <w:t>28</w:t>
      </w:r>
      <w:r w:rsidR="00305E30" w:rsidRPr="00305E30">
        <w:rPr>
          <w:rFonts w:ascii="Gill Sans MT" w:hAnsi="Gill Sans MT"/>
          <w:i/>
          <w:color w:val="auto"/>
          <w:sz w:val="22"/>
          <w:szCs w:val="22"/>
        </w:rPr>
        <w:t>.</w:t>
      </w:r>
      <w:proofErr w:type="gramEnd"/>
      <w:r w:rsidRPr="00A029D6">
        <w:rPr>
          <w:rFonts w:ascii="Gill Sans MT" w:hAnsi="Gill Sans MT"/>
          <w:color w:val="auto"/>
          <w:sz w:val="22"/>
          <w:szCs w:val="22"/>
        </w:rPr>
        <w:t xml:space="preserve"> </w:t>
      </w:r>
      <w:r w:rsidR="00305E30">
        <w:rPr>
          <w:rFonts w:ascii="Gill Sans MT" w:hAnsi="Gill Sans MT"/>
          <w:color w:val="auto"/>
          <w:sz w:val="22"/>
          <w:szCs w:val="22"/>
        </w:rPr>
        <w:t>Tonne kilometres travelled as proportion of overall freight task, 2009-2029</w:t>
      </w:r>
    </w:p>
    <w:p w:rsidR="00756B53" w:rsidRPr="00E83DA2" w:rsidRDefault="00756B53" w:rsidP="00A029D6">
      <w:pPr>
        <w:rPr>
          <w:rFonts w:ascii="Gill Sans MT" w:hAnsi="Gill Sans MT"/>
        </w:rPr>
      </w:pPr>
      <w:r w:rsidRPr="00E83DA2">
        <w:rPr>
          <w:rFonts w:ascii="Gill Sans MT" w:hAnsi="Gill Sans MT"/>
        </w:rPr>
        <w:t xml:space="preserve">In terms of tonne kilometres travelled, agricultural inputs are projected to comprise a large proportion of the overall freight task.  While other components, such as construction inputs and consumer goods, are significant in terms of tonnage growth, agriculture makes up a large proportion of the overall freight movements, as agricultural products generally make longer freight journeys.  As such, agriculture movements are likely to feature heavily in future freight growth. </w:t>
      </w:r>
    </w:p>
    <w:p w:rsidR="00756B53" w:rsidRPr="00E83DA2" w:rsidRDefault="00756B53" w:rsidP="00A029D6">
      <w:pPr>
        <w:pStyle w:val="Heading5"/>
      </w:pPr>
      <w:r w:rsidRPr="00E83DA2">
        <w:t>Changes in freight task by industry sector</w:t>
      </w:r>
    </w:p>
    <w:p w:rsidR="00756B53" w:rsidRPr="00E83DA2" w:rsidRDefault="00756B53" w:rsidP="00A029D6">
      <w:pPr>
        <w:rPr>
          <w:rFonts w:ascii="Gill Sans MT" w:hAnsi="Gill Sans MT"/>
        </w:rPr>
      </w:pPr>
      <w:r w:rsidRPr="00E83DA2">
        <w:rPr>
          <w:rFonts w:ascii="Gill Sans MT" w:hAnsi="Gill Sans MT"/>
        </w:rPr>
        <w:t>Different industry sectors use the freight network differently.  For example, bulk movement of raw product to processing facilities, and benefit from access to larger vehicles that can carry higher volumes per trip.  On the other hand, many agricultural products are made in small quantities, and need to move to market quickly, and benefit from improved access to interstate and international markets.  As such, it is important that the freight network is planned to accommodate a range of varying uses.</w:t>
      </w:r>
    </w:p>
    <w:p w:rsidR="00756B53" w:rsidRPr="00E83DA2" w:rsidRDefault="00756B53" w:rsidP="00A029D6">
      <w:pPr>
        <w:rPr>
          <w:rFonts w:ascii="Gill Sans MT" w:hAnsi="Gill Sans MT"/>
          <w:i/>
        </w:rPr>
      </w:pPr>
      <w:r w:rsidRPr="00E83DA2">
        <w:rPr>
          <w:rFonts w:ascii="Gill Sans MT" w:hAnsi="Gill Sans MT"/>
          <w:i/>
        </w:rPr>
        <w:t>Agriculture</w:t>
      </w:r>
    </w:p>
    <w:p w:rsidR="00756B53" w:rsidRPr="00E83DA2" w:rsidRDefault="00756B53" w:rsidP="00A029D6">
      <w:pPr>
        <w:rPr>
          <w:rFonts w:ascii="Gill Sans MT" w:hAnsi="Gill Sans MT"/>
        </w:rPr>
      </w:pPr>
      <w:r w:rsidRPr="00E83DA2">
        <w:rPr>
          <w:rFonts w:ascii="Gill Sans MT" w:hAnsi="Gill Sans MT"/>
        </w:rPr>
        <w:t xml:space="preserve">The agriculture industry in Tasmania has two major freight components – movement of product from the farm gate to processors, and movement of processed goods from processors to market.  Farm gate movements are widely dispersed across Tasmania, and often peak during different seasons.  Movements from processors to market are more focussed on key corridors to major ports and urban centres.  </w:t>
      </w:r>
    </w:p>
    <w:p w:rsidR="00756B53" w:rsidRPr="00E83DA2" w:rsidRDefault="00756B53" w:rsidP="00A029D6">
      <w:pPr>
        <w:rPr>
          <w:rFonts w:ascii="Gill Sans MT" w:hAnsi="Gill Sans MT"/>
        </w:rPr>
      </w:pPr>
      <w:r w:rsidRPr="00E83DA2">
        <w:rPr>
          <w:rFonts w:ascii="Gill Sans MT" w:hAnsi="Gill Sans MT"/>
        </w:rPr>
        <w:t xml:space="preserve">The majority of current agricultural production is in the north-west and north, and these regions are likely to expand their productive capacity and produce higher volumes of agricultural products.  However, most processors </w:t>
      </w:r>
      <w:r w:rsidRPr="00E83DA2">
        <w:rPr>
          <w:rFonts w:ascii="Gill Sans MT" w:hAnsi="Gill Sans MT"/>
        </w:rPr>
        <w:lastRenderedPageBreak/>
        <w:t>are located in the north-west, and this trend is likely to continue into the future.</w:t>
      </w:r>
    </w:p>
    <w:p w:rsidR="00756B53" w:rsidRPr="00E83DA2" w:rsidRDefault="00756B53" w:rsidP="00A029D6">
      <w:pPr>
        <w:spacing w:after="0"/>
        <w:rPr>
          <w:rFonts w:ascii="Gill Sans MT" w:hAnsi="Gill Sans MT"/>
        </w:rPr>
      </w:pPr>
      <w:r w:rsidRPr="00E83DA2">
        <w:rPr>
          <w:rFonts w:ascii="Gill Sans MT" w:hAnsi="Gill Sans MT"/>
        </w:rPr>
        <w:t>Most of the agriculture task moves on the road network, and as such, roads in the north and north-west are likely to experience the greatest increases in agricultural freight.  These roads include:</w:t>
      </w:r>
    </w:p>
    <w:p w:rsidR="00756B53" w:rsidRPr="00E83DA2" w:rsidRDefault="00756B53" w:rsidP="00A029D6">
      <w:pPr>
        <w:pStyle w:val="ListParagraph"/>
        <w:numPr>
          <w:ilvl w:val="0"/>
          <w:numId w:val="17"/>
        </w:numPr>
        <w:rPr>
          <w:rFonts w:ascii="Gill Sans MT" w:hAnsi="Gill Sans MT"/>
        </w:rPr>
      </w:pPr>
      <w:r w:rsidRPr="00E83DA2">
        <w:rPr>
          <w:rFonts w:ascii="Gill Sans MT" w:hAnsi="Gill Sans MT"/>
        </w:rPr>
        <w:t>Bass Highway – Smithton to Illawarra Main Road</w:t>
      </w:r>
    </w:p>
    <w:p w:rsidR="00756B53" w:rsidRPr="00E83DA2" w:rsidRDefault="00756B53" w:rsidP="00A029D6">
      <w:pPr>
        <w:pStyle w:val="ListParagraph"/>
        <w:numPr>
          <w:ilvl w:val="0"/>
          <w:numId w:val="17"/>
        </w:numPr>
        <w:rPr>
          <w:rFonts w:ascii="Gill Sans MT" w:hAnsi="Gill Sans MT"/>
        </w:rPr>
      </w:pPr>
      <w:r w:rsidRPr="00E83DA2">
        <w:rPr>
          <w:rFonts w:ascii="Gill Sans MT" w:hAnsi="Gill Sans MT"/>
        </w:rPr>
        <w:t>Bridport Main Road, Frankford Main Road, Birralee Main Road and Batman Hwy – linking the north-east to processors in the north-west</w:t>
      </w:r>
    </w:p>
    <w:p w:rsidR="00756B53" w:rsidRPr="00E83DA2" w:rsidRDefault="00756B53" w:rsidP="00A029D6">
      <w:pPr>
        <w:pStyle w:val="ListParagraph"/>
        <w:numPr>
          <w:ilvl w:val="0"/>
          <w:numId w:val="17"/>
        </w:numPr>
        <w:rPr>
          <w:rFonts w:ascii="Gill Sans MT" w:hAnsi="Gill Sans MT"/>
        </w:rPr>
      </w:pPr>
      <w:r w:rsidRPr="00E83DA2">
        <w:rPr>
          <w:rFonts w:ascii="Gill Sans MT" w:hAnsi="Gill Sans MT"/>
        </w:rPr>
        <w:t>Midland Highway – moving agricultural products from southern Tasmania to the northern ports.</w:t>
      </w:r>
    </w:p>
    <w:tbl>
      <w:tblPr>
        <w:tblStyle w:val="MediumShading1-Accent11"/>
        <w:tblW w:w="0" w:type="auto"/>
        <w:tblLook w:val="04A0"/>
      </w:tblPr>
      <w:tblGrid>
        <w:gridCol w:w="2371"/>
        <w:gridCol w:w="2769"/>
        <w:gridCol w:w="3388"/>
      </w:tblGrid>
      <w:tr w:rsidR="00756B53" w:rsidRPr="00E83DA2" w:rsidTr="005312C9">
        <w:trPr>
          <w:cnfStyle w:val="100000000000"/>
        </w:trPr>
        <w:tc>
          <w:tcPr>
            <w:cnfStyle w:val="001000000000"/>
            <w:tcW w:w="2371" w:type="dxa"/>
          </w:tcPr>
          <w:p w:rsidR="00756B53" w:rsidRPr="00E83DA2" w:rsidRDefault="00756B53" w:rsidP="008D2E39">
            <w:pPr>
              <w:rPr>
                <w:rFonts w:ascii="Gill Sans MT" w:hAnsi="Gill Sans MT"/>
              </w:rPr>
            </w:pPr>
            <w:r w:rsidRPr="00E83DA2">
              <w:rPr>
                <w:rFonts w:ascii="Gill Sans MT" w:hAnsi="Gill Sans MT"/>
              </w:rPr>
              <w:t>Sector/Task</w:t>
            </w:r>
          </w:p>
        </w:tc>
        <w:tc>
          <w:tcPr>
            <w:tcW w:w="2769" w:type="dxa"/>
          </w:tcPr>
          <w:p w:rsidR="00756B53" w:rsidRPr="00E83DA2" w:rsidRDefault="00756B53" w:rsidP="008D2E39">
            <w:pPr>
              <w:cnfStyle w:val="100000000000"/>
              <w:rPr>
                <w:rFonts w:ascii="Gill Sans MT" w:hAnsi="Gill Sans MT"/>
              </w:rPr>
            </w:pPr>
            <w:r w:rsidRPr="00E83DA2">
              <w:rPr>
                <w:rFonts w:ascii="Gill Sans MT" w:hAnsi="Gill Sans MT"/>
              </w:rPr>
              <w:t>Area</w:t>
            </w:r>
          </w:p>
        </w:tc>
        <w:tc>
          <w:tcPr>
            <w:tcW w:w="3388" w:type="dxa"/>
          </w:tcPr>
          <w:p w:rsidR="00756B53" w:rsidRPr="00E83DA2" w:rsidRDefault="00756B53" w:rsidP="008D2E39">
            <w:pPr>
              <w:cnfStyle w:val="100000000000"/>
              <w:rPr>
                <w:rFonts w:ascii="Gill Sans MT" w:hAnsi="Gill Sans MT"/>
              </w:rPr>
            </w:pPr>
            <w:r w:rsidRPr="00E83DA2">
              <w:rPr>
                <w:rFonts w:ascii="Gill Sans MT" w:hAnsi="Gill Sans MT"/>
              </w:rPr>
              <w:t xml:space="preserve">Drivers </w:t>
            </w:r>
          </w:p>
        </w:tc>
      </w:tr>
      <w:tr w:rsidR="00756B53" w:rsidRPr="00E83DA2" w:rsidTr="005312C9">
        <w:trPr>
          <w:cnfStyle w:val="000000100000"/>
        </w:trPr>
        <w:tc>
          <w:tcPr>
            <w:cnfStyle w:val="001000000000"/>
            <w:tcW w:w="2371" w:type="dxa"/>
          </w:tcPr>
          <w:p w:rsidR="00756B53" w:rsidRPr="00E83DA2" w:rsidRDefault="00756B53" w:rsidP="008D2E39">
            <w:pPr>
              <w:rPr>
                <w:rFonts w:ascii="Gill Sans MT" w:hAnsi="Gill Sans MT"/>
              </w:rPr>
            </w:pPr>
            <w:r w:rsidRPr="00E83DA2">
              <w:rPr>
                <w:rFonts w:ascii="Gill Sans MT" w:hAnsi="Gill Sans MT"/>
              </w:rPr>
              <w:t>Agriculture: Dairy</w:t>
            </w:r>
          </w:p>
          <w:p w:rsidR="00756B53" w:rsidRPr="00E83DA2" w:rsidRDefault="00756B53" w:rsidP="008D2E39">
            <w:pPr>
              <w:rPr>
                <w:rFonts w:ascii="Gill Sans MT" w:hAnsi="Gill Sans MT"/>
              </w:rPr>
            </w:pPr>
            <w:r w:rsidRPr="00E83DA2">
              <w:rPr>
                <w:rFonts w:ascii="Gill Sans MT" w:hAnsi="Gill Sans MT"/>
              </w:rPr>
              <w:t>Meat products</w:t>
            </w:r>
          </w:p>
          <w:p w:rsidR="00756B53" w:rsidRPr="00E83DA2" w:rsidRDefault="00756B53" w:rsidP="008D2E39">
            <w:pPr>
              <w:rPr>
                <w:rFonts w:ascii="Gill Sans MT" w:hAnsi="Gill Sans MT"/>
              </w:rPr>
            </w:pPr>
            <w:r w:rsidRPr="00E83DA2">
              <w:rPr>
                <w:rFonts w:ascii="Gill Sans MT" w:hAnsi="Gill Sans MT"/>
              </w:rPr>
              <w:t>Vegetables</w:t>
            </w:r>
          </w:p>
          <w:p w:rsidR="00756B53" w:rsidRPr="00E83DA2" w:rsidRDefault="00756B53" w:rsidP="008D2E39">
            <w:pPr>
              <w:rPr>
                <w:rFonts w:ascii="Gill Sans MT" w:hAnsi="Gill Sans MT"/>
              </w:rPr>
            </w:pPr>
            <w:r w:rsidRPr="00E83DA2">
              <w:rPr>
                <w:rFonts w:ascii="Gill Sans MT" w:hAnsi="Gill Sans MT"/>
              </w:rPr>
              <w:t>Viticulture</w:t>
            </w:r>
          </w:p>
        </w:tc>
        <w:tc>
          <w:tcPr>
            <w:tcW w:w="2769" w:type="dxa"/>
          </w:tcPr>
          <w:p w:rsidR="00756B53" w:rsidRPr="00E83DA2" w:rsidRDefault="00756B53" w:rsidP="008D2E39">
            <w:pPr>
              <w:cnfStyle w:val="000000100000"/>
              <w:rPr>
                <w:rFonts w:ascii="Gill Sans MT" w:hAnsi="Gill Sans MT"/>
              </w:rPr>
            </w:pPr>
            <w:r w:rsidRPr="00E83DA2">
              <w:rPr>
                <w:rFonts w:ascii="Gill Sans MT" w:hAnsi="Gill Sans MT"/>
              </w:rPr>
              <w:t>North/North east</w:t>
            </w:r>
          </w:p>
        </w:tc>
        <w:tc>
          <w:tcPr>
            <w:tcW w:w="3388" w:type="dxa"/>
          </w:tcPr>
          <w:p w:rsidR="00756B53" w:rsidRPr="00E83DA2" w:rsidRDefault="00756B53" w:rsidP="008D2E39">
            <w:pPr>
              <w:cnfStyle w:val="000000100000"/>
              <w:rPr>
                <w:rFonts w:ascii="Gill Sans MT" w:hAnsi="Gill Sans MT"/>
              </w:rPr>
            </w:pPr>
            <w:r w:rsidRPr="00E83DA2">
              <w:rPr>
                <w:rFonts w:ascii="Gill Sans MT" w:hAnsi="Gill Sans MT"/>
              </w:rPr>
              <w:t>Interstate and international demand for products</w:t>
            </w:r>
          </w:p>
          <w:p w:rsidR="00756B53" w:rsidRPr="00E83DA2" w:rsidRDefault="00756B53" w:rsidP="008D2E39">
            <w:pPr>
              <w:cnfStyle w:val="000000100000"/>
              <w:rPr>
                <w:rFonts w:ascii="Gill Sans MT" w:hAnsi="Gill Sans MT"/>
              </w:rPr>
            </w:pPr>
            <w:r w:rsidRPr="00E83DA2">
              <w:rPr>
                <w:rFonts w:ascii="Gill Sans MT" w:hAnsi="Gill Sans MT"/>
              </w:rPr>
              <w:t>Investment in irrigation infrastructure increasing amount of production</w:t>
            </w:r>
          </w:p>
        </w:tc>
      </w:tr>
      <w:tr w:rsidR="00756B53" w:rsidRPr="00E83DA2" w:rsidTr="005312C9">
        <w:trPr>
          <w:cnfStyle w:val="000000010000"/>
        </w:trPr>
        <w:tc>
          <w:tcPr>
            <w:cnfStyle w:val="001000000000"/>
            <w:tcW w:w="2371" w:type="dxa"/>
          </w:tcPr>
          <w:p w:rsidR="00756B53" w:rsidRPr="00E83DA2" w:rsidRDefault="00756B53" w:rsidP="008D2E39">
            <w:pPr>
              <w:rPr>
                <w:rFonts w:ascii="Gill Sans MT" w:hAnsi="Gill Sans MT"/>
              </w:rPr>
            </w:pPr>
            <w:r w:rsidRPr="00E83DA2">
              <w:rPr>
                <w:rFonts w:ascii="Gill Sans MT" w:hAnsi="Gill Sans MT"/>
              </w:rPr>
              <w:t>Consumer goods</w:t>
            </w:r>
          </w:p>
          <w:p w:rsidR="00756B53" w:rsidRPr="00E83DA2" w:rsidRDefault="00756B53" w:rsidP="008D2E39">
            <w:pPr>
              <w:rPr>
                <w:rFonts w:ascii="Gill Sans MT" w:hAnsi="Gill Sans MT"/>
              </w:rPr>
            </w:pPr>
            <w:r w:rsidRPr="00E83DA2">
              <w:rPr>
                <w:rFonts w:ascii="Gill Sans MT" w:hAnsi="Gill Sans MT"/>
              </w:rPr>
              <w:t>Bulk goods</w:t>
            </w:r>
          </w:p>
          <w:p w:rsidR="00756B53" w:rsidRPr="00E83DA2" w:rsidRDefault="00756B53" w:rsidP="008D2E39">
            <w:pPr>
              <w:rPr>
                <w:rFonts w:ascii="Gill Sans MT" w:hAnsi="Gill Sans MT"/>
              </w:rPr>
            </w:pPr>
            <w:r w:rsidRPr="00E83DA2">
              <w:rPr>
                <w:rFonts w:ascii="Gill Sans MT" w:hAnsi="Gill Sans MT"/>
              </w:rPr>
              <w:t>Petroleum and other fuels</w:t>
            </w:r>
          </w:p>
        </w:tc>
        <w:tc>
          <w:tcPr>
            <w:tcW w:w="2769" w:type="dxa"/>
          </w:tcPr>
          <w:p w:rsidR="00756B53" w:rsidRPr="00E83DA2" w:rsidRDefault="00756B53" w:rsidP="008D2E39">
            <w:pPr>
              <w:cnfStyle w:val="000000010000"/>
              <w:rPr>
                <w:rFonts w:ascii="Gill Sans MT" w:hAnsi="Gill Sans MT"/>
              </w:rPr>
            </w:pPr>
            <w:r w:rsidRPr="00E83DA2">
              <w:rPr>
                <w:rFonts w:ascii="Gill Sans MT" w:hAnsi="Gill Sans MT"/>
              </w:rPr>
              <w:t>Launceston</w:t>
            </w:r>
          </w:p>
        </w:tc>
        <w:tc>
          <w:tcPr>
            <w:tcW w:w="3388" w:type="dxa"/>
          </w:tcPr>
          <w:p w:rsidR="00756B53" w:rsidRPr="00E83DA2" w:rsidRDefault="00756B53" w:rsidP="008D2E39">
            <w:pPr>
              <w:cnfStyle w:val="000000010000"/>
              <w:rPr>
                <w:rFonts w:ascii="Gill Sans MT" w:hAnsi="Gill Sans MT"/>
              </w:rPr>
            </w:pPr>
            <w:r w:rsidRPr="00E83DA2">
              <w:rPr>
                <w:rFonts w:ascii="Gill Sans MT" w:hAnsi="Gill Sans MT"/>
              </w:rPr>
              <w:t>Increasing population</w:t>
            </w:r>
          </w:p>
          <w:p w:rsidR="00756B53" w:rsidRPr="00E83DA2" w:rsidRDefault="00756B53" w:rsidP="008D2E39">
            <w:pPr>
              <w:cnfStyle w:val="000000010000"/>
              <w:rPr>
                <w:rFonts w:ascii="Gill Sans MT" w:hAnsi="Gill Sans MT"/>
              </w:rPr>
            </w:pPr>
            <w:r w:rsidRPr="00E83DA2">
              <w:rPr>
                <w:rFonts w:ascii="Gill Sans MT" w:hAnsi="Gill Sans MT"/>
              </w:rPr>
              <w:t>Increasing consumption of goods</w:t>
            </w:r>
          </w:p>
          <w:p w:rsidR="00756B53" w:rsidRPr="00E83DA2" w:rsidRDefault="00756B53" w:rsidP="008D2E39">
            <w:pPr>
              <w:cnfStyle w:val="000000010000"/>
              <w:rPr>
                <w:rFonts w:ascii="Gill Sans MT" w:hAnsi="Gill Sans MT"/>
              </w:rPr>
            </w:pPr>
            <w:r w:rsidRPr="00E83DA2">
              <w:rPr>
                <w:rFonts w:ascii="Gill Sans MT" w:hAnsi="Gill Sans MT"/>
              </w:rPr>
              <w:t>Increasing industry activity (eg agriculture)</w:t>
            </w:r>
          </w:p>
        </w:tc>
      </w:tr>
      <w:tr w:rsidR="00756B53" w:rsidRPr="00E83DA2" w:rsidTr="005312C9">
        <w:trPr>
          <w:cnfStyle w:val="000000100000"/>
        </w:trPr>
        <w:tc>
          <w:tcPr>
            <w:cnfStyle w:val="001000000000"/>
            <w:tcW w:w="2371" w:type="dxa"/>
          </w:tcPr>
          <w:p w:rsidR="00756B53" w:rsidRPr="00E83DA2" w:rsidRDefault="00756B53" w:rsidP="008D2E39">
            <w:pPr>
              <w:rPr>
                <w:rFonts w:ascii="Gill Sans MT" w:hAnsi="Gill Sans MT"/>
              </w:rPr>
            </w:pPr>
            <w:r w:rsidRPr="00E83DA2">
              <w:rPr>
                <w:rFonts w:ascii="Gill Sans MT" w:hAnsi="Gill Sans MT"/>
              </w:rPr>
              <w:t xml:space="preserve">Coal </w:t>
            </w:r>
          </w:p>
        </w:tc>
        <w:tc>
          <w:tcPr>
            <w:tcW w:w="2769" w:type="dxa"/>
          </w:tcPr>
          <w:p w:rsidR="00756B53" w:rsidRPr="00E83DA2" w:rsidRDefault="00756B53" w:rsidP="008D2E39">
            <w:pPr>
              <w:cnfStyle w:val="000000100000"/>
              <w:rPr>
                <w:rFonts w:ascii="Gill Sans MT" w:hAnsi="Gill Sans MT"/>
              </w:rPr>
            </w:pPr>
            <w:r w:rsidRPr="00E83DA2">
              <w:rPr>
                <w:rFonts w:ascii="Gill Sans MT" w:hAnsi="Gill Sans MT"/>
              </w:rPr>
              <w:t>Fingal valley</w:t>
            </w:r>
          </w:p>
        </w:tc>
        <w:tc>
          <w:tcPr>
            <w:tcW w:w="3388" w:type="dxa"/>
          </w:tcPr>
          <w:p w:rsidR="00756B53" w:rsidRPr="00E83DA2" w:rsidRDefault="00756B53" w:rsidP="008D2E39">
            <w:pPr>
              <w:cnfStyle w:val="000000100000"/>
              <w:rPr>
                <w:rFonts w:ascii="Gill Sans MT" w:hAnsi="Gill Sans MT"/>
              </w:rPr>
            </w:pPr>
            <w:r w:rsidRPr="00E83DA2">
              <w:rPr>
                <w:rFonts w:ascii="Gill Sans MT" w:hAnsi="Gill Sans MT"/>
              </w:rPr>
              <w:t>Local demand for coal associated with manufacturing activity</w:t>
            </w:r>
          </w:p>
          <w:p w:rsidR="00756B53" w:rsidRPr="00E83DA2" w:rsidRDefault="00756B53" w:rsidP="008D2E39">
            <w:pPr>
              <w:cnfStyle w:val="000000100000"/>
              <w:rPr>
                <w:rFonts w:ascii="Gill Sans MT" w:hAnsi="Gill Sans MT"/>
              </w:rPr>
            </w:pPr>
            <w:r w:rsidRPr="00E83DA2">
              <w:rPr>
                <w:rFonts w:ascii="Gill Sans MT" w:hAnsi="Gill Sans MT"/>
              </w:rPr>
              <w:t>Potential for international export out of Bell Bay port</w:t>
            </w:r>
          </w:p>
        </w:tc>
      </w:tr>
      <w:tr w:rsidR="00756B53" w:rsidRPr="00E83DA2" w:rsidTr="005312C9">
        <w:trPr>
          <w:cnfStyle w:val="000000010000"/>
        </w:trPr>
        <w:tc>
          <w:tcPr>
            <w:cnfStyle w:val="001000000000"/>
            <w:tcW w:w="2371" w:type="dxa"/>
          </w:tcPr>
          <w:p w:rsidR="00756B53" w:rsidRPr="00E83DA2" w:rsidRDefault="00756B53" w:rsidP="008D2E39">
            <w:pPr>
              <w:rPr>
                <w:rFonts w:ascii="Gill Sans MT" w:hAnsi="Gill Sans MT"/>
              </w:rPr>
            </w:pPr>
            <w:r w:rsidRPr="00E83DA2">
              <w:rPr>
                <w:rFonts w:ascii="Gill Sans MT" w:hAnsi="Gill Sans MT"/>
              </w:rPr>
              <w:t>Mineral processing</w:t>
            </w:r>
          </w:p>
        </w:tc>
        <w:tc>
          <w:tcPr>
            <w:tcW w:w="2769" w:type="dxa"/>
          </w:tcPr>
          <w:p w:rsidR="00756B53" w:rsidRPr="00E83DA2" w:rsidRDefault="00756B53" w:rsidP="008D2E39">
            <w:pPr>
              <w:cnfStyle w:val="000000010000"/>
              <w:rPr>
                <w:rFonts w:ascii="Gill Sans MT" w:hAnsi="Gill Sans MT"/>
              </w:rPr>
            </w:pPr>
            <w:r w:rsidRPr="00E83DA2">
              <w:rPr>
                <w:rFonts w:ascii="Gill Sans MT" w:hAnsi="Gill Sans MT"/>
              </w:rPr>
              <w:t>North</w:t>
            </w:r>
          </w:p>
        </w:tc>
        <w:tc>
          <w:tcPr>
            <w:tcW w:w="3388" w:type="dxa"/>
          </w:tcPr>
          <w:p w:rsidR="00756B53" w:rsidRPr="00E83DA2" w:rsidRDefault="00756B53" w:rsidP="008D2E39">
            <w:pPr>
              <w:cnfStyle w:val="000000010000"/>
              <w:rPr>
                <w:rFonts w:ascii="Gill Sans MT" w:hAnsi="Gill Sans MT"/>
              </w:rPr>
            </w:pPr>
            <w:r w:rsidRPr="00E83DA2">
              <w:rPr>
                <w:rFonts w:ascii="Gill Sans MT" w:hAnsi="Gill Sans MT"/>
              </w:rPr>
              <w:t>Generally working at operational capacity</w:t>
            </w:r>
          </w:p>
          <w:p w:rsidR="00756B53" w:rsidRPr="00E83DA2" w:rsidRDefault="00756B53" w:rsidP="008D2E39">
            <w:pPr>
              <w:cnfStyle w:val="000000010000"/>
              <w:rPr>
                <w:rFonts w:ascii="Gill Sans MT" w:hAnsi="Gill Sans MT"/>
              </w:rPr>
            </w:pPr>
            <w:r w:rsidRPr="00E83DA2">
              <w:rPr>
                <w:rFonts w:ascii="Gill Sans MT" w:hAnsi="Gill Sans MT"/>
              </w:rPr>
              <w:t>International demand for commodities and competitiveness of Tasmanian operations determine continued operation or possible expansion</w:t>
            </w:r>
          </w:p>
        </w:tc>
      </w:tr>
      <w:tr w:rsidR="00756B53" w:rsidRPr="00E83DA2" w:rsidTr="005312C9">
        <w:trPr>
          <w:cnfStyle w:val="000000100000"/>
        </w:trPr>
        <w:tc>
          <w:tcPr>
            <w:cnfStyle w:val="001000000000"/>
            <w:tcW w:w="2371" w:type="dxa"/>
          </w:tcPr>
          <w:p w:rsidR="00756B53" w:rsidRPr="00E83DA2" w:rsidRDefault="00756B53" w:rsidP="008D2E39">
            <w:pPr>
              <w:rPr>
                <w:rFonts w:ascii="Gill Sans MT" w:hAnsi="Gill Sans MT"/>
              </w:rPr>
            </w:pPr>
            <w:r w:rsidRPr="00E83DA2">
              <w:rPr>
                <w:rFonts w:ascii="Gill Sans MT" w:hAnsi="Gill Sans MT"/>
              </w:rPr>
              <w:t>Construction: Quarried materials</w:t>
            </w:r>
          </w:p>
          <w:p w:rsidR="00756B53" w:rsidRPr="00E83DA2" w:rsidRDefault="00756B53" w:rsidP="008D2E39">
            <w:pPr>
              <w:rPr>
                <w:rFonts w:ascii="Gill Sans MT" w:hAnsi="Gill Sans MT"/>
              </w:rPr>
            </w:pPr>
            <w:r w:rsidRPr="00E83DA2">
              <w:rPr>
                <w:rFonts w:ascii="Gill Sans MT" w:hAnsi="Gill Sans MT"/>
              </w:rPr>
              <w:t>Concrete</w:t>
            </w:r>
          </w:p>
        </w:tc>
        <w:tc>
          <w:tcPr>
            <w:tcW w:w="2769" w:type="dxa"/>
          </w:tcPr>
          <w:p w:rsidR="00756B53" w:rsidRPr="00E83DA2" w:rsidRDefault="00756B53" w:rsidP="008D2E39">
            <w:pPr>
              <w:cnfStyle w:val="000000100000"/>
              <w:rPr>
                <w:rFonts w:ascii="Gill Sans MT" w:hAnsi="Gill Sans MT"/>
              </w:rPr>
            </w:pPr>
            <w:r w:rsidRPr="00E83DA2">
              <w:rPr>
                <w:rFonts w:ascii="Gill Sans MT" w:hAnsi="Gill Sans MT"/>
              </w:rPr>
              <w:t>Launceston/intra-regional</w:t>
            </w:r>
          </w:p>
        </w:tc>
        <w:tc>
          <w:tcPr>
            <w:tcW w:w="3388" w:type="dxa"/>
          </w:tcPr>
          <w:p w:rsidR="00756B53" w:rsidRPr="00E83DA2" w:rsidRDefault="00756B53" w:rsidP="008D2E39">
            <w:pPr>
              <w:cnfStyle w:val="000000100000"/>
              <w:rPr>
                <w:rFonts w:ascii="Gill Sans MT" w:hAnsi="Gill Sans MT"/>
              </w:rPr>
            </w:pPr>
            <w:r w:rsidRPr="00E83DA2">
              <w:rPr>
                <w:rFonts w:ascii="Gill Sans MT" w:hAnsi="Gill Sans MT"/>
              </w:rPr>
              <w:t>Increasing construction activity across Tasmania</w:t>
            </w:r>
          </w:p>
        </w:tc>
      </w:tr>
      <w:tr w:rsidR="00756B53" w:rsidRPr="00E83DA2" w:rsidTr="005312C9">
        <w:trPr>
          <w:cnfStyle w:val="000000010000"/>
        </w:trPr>
        <w:tc>
          <w:tcPr>
            <w:cnfStyle w:val="001000000000"/>
            <w:tcW w:w="2371" w:type="dxa"/>
          </w:tcPr>
          <w:p w:rsidR="00756B53" w:rsidRPr="00E83DA2" w:rsidRDefault="00756B53" w:rsidP="008D2E39">
            <w:pPr>
              <w:rPr>
                <w:rFonts w:ascii="Gill Sans MT" w:hAnsi="Gill Sans MT"/>
              </w:rPr>
            </w:pPr>
            <w:r w:rsidRPr="00E83DA2">
              <w:rPr>
                <w:rFonts w:ascii="Gill Sans MT" w:hAnsi="Gill Sans MT"/>
              </w:rPr>
              <w:t>Newsprint/Paper</w:t>
            </w:r>
          </w:p>
          <w:p w:rsidR="00756B53" w:rsidRPr="00E83DA2" w:rsidRDefault="00756B53" w:rsidP="008D2E39">
            <w:pPr>
              <w:rPr>
                <w:rFonts w:ascii="Gill Sans MT" w:hAnsi="Gill Sans MT"/>
              </w:rPr>
            </w:pPr>
          </w:p>
        </w:tc>
        <w:tc>
          <w:tcPr>
            <w:tcW w:w="2769" w:type="dxa"/>
          </w:tcPr>
          <w:p w:rsidR="00756B53" w:rsidRPr="00E83DA2" w:rsidRDefault="00756B53" w:rsidP="008D2E39">
            <w:pPr>
              <w:cnfStyle w:val="000000010000"/>
              <w:rPr>
                <w:rFonts w:ascii="Gill Sans MT" w:hAnsi="Gill Sans MT"/>
              </w:rPr>
            </w:pPr>
            <w:r w:rsidRPr="00E83DA2">
              <w:rPr>
                <w:rFonts w:ascii="Gill Sans MT" w:hAnsi="Gill Sans MT"/>
              </w:rPr>
              <w:t>North east</w:t>
            </w:r>
          </w:p>
        </w:tc>
        <w:tc>
          <w:tcPr>
            <w:tcW w:w="3388" w:type="dxa"/>
          </w:tcPr>
          <w:p w:rsidR="00756B53" w:rsidRPr="00E83DA2" w:rsidRDefault="00756B53" w:rsidP="008D2E39">
            <w:pPr>
              <w:cnfStyle w:val="000000010000"/>
              <w:rPr>
                <w:rFonts w:ascii="Gill Sans MT" w:hAnsi="Gill Sans MT"/>
              </w:rPr>
            </w:pPr>
            <w:r w:rsidRPr="00E83DA2">
              <w:rPr>
                <w:rFonts w:ascii="Gill Sans MT" w:hAnsi="Gill Sans MT"/>
              </w:rPr>
              <w:t>Increasing production</w:t>
            </w:r>
          </w:p>
        </w:tc>
      </w:tr>
      <w:tr w:rsidR="00756B53" w:rsidRPr="00E83DA2" w:rsidTr="005312C9">
        <w:trPr>
          <w:cnfStyle w:val="000000100000"/>
        </w:trPr>
        <w:tc>
          <w:tcPr>
            <w:cnfStyle w:val="001000000000"/>
            <w:tcW w:w="2371" w:type="dxa"/>
          </w:tcPr>
          <w:p w:rsidR="00756B53" w:rsidRPr="00E83DA2" w:rsidRDefault="00756B53" w:rsidP="008D2E39">
            <w:pPr>
              <w:rPr>
                <w:rFonts w:ascii="Gill Sans MT" w:hAnsi="Gill Sans MT"/>
              </w:rPr>
            </w:pPr>
            <w:r w:rsidRPr="00E83DA2">
              <w:rPr>
                <w:rFonts w:ascii="Gill Sans MT" w:hAnsi="Gill Sans MT"/>
              </w:rPr>
              <w:t>Woodchips</w:t>
            </w:r>
          </w:p>
        </w:tc>
        <w:tc>
          <w:tcPr>
            <w:tcW w:w="2769" w:type="dxa"/>
          </w:tcPr>
          <w:p w:rsidR="00756B53" w:rsidRPr="00E83DA2" w:rsidRDefault="00756B53" w:rsidP="008D2E39">
            <w:pPr>
              <w:cnfStyle w:val="000000100000"/>
              <w:rPr>
                <w:rFonts w:ascii="Gill Sans MT" w:hAnsi="Gill Sans MT"/>
              </w:rPr>
            </w:pPr>
            <w:r w:rsidRPr="00E83DA2">
              <w:rPr>
                <w:rFonts w:ascii="Gill Sans MT" w:hAnsi="Gill Sans MT"/>
              </w:rPr>
              <w:t>North</w:t>
            </w:r>
          </w:p>
        </w:tc>
        <w:tc>
          <w:tcPr>
            <w:tcW w:w="3388" w:type="dxa"/>
          </w:tcPr>
          <w:p w:rsidR="00756B53" w:rsidRPr="00E83DA2" w:rsidRDefault="00756B53" w:rsidP="008D2E39">
            <w:pPr>
              <w:cnfStyle w:val="000000100000"/>
              <w:rPr>
                <w:rFonts w:ascii="Gill Sans MT" w:hAnsi="Gill Sans MT"/>
              </w:rPr>
            </w:pPr>
            <w:r w:rsidRPr="00E83DA2">
              <w:rPr>
                <w:rFonts w:ascii="Gill Sans MT" w:hAnsi="Gill Sans MT"/>
              </w:rPr>
              <w:t>Increasing production</w:t>
            </w:r>
          </w:p>
        </w:tc>
      </w:tr>
      <w:tr w:rsidR="00756B53" w:rsidRPr="00E83DA2" w:rsidTr="005312C9">
        <w:trPr>
          <w:cnfStyle w:val="000000010000"/>
        </w:trPr>
        <w:tc>
          <w:tcPr>
            <w:cnfStyle w:val="001000000000"/>
            <w:tcW w:w="2371" w:type="dxa"/>
          </w:tcPr>
          <w:p w:rsidR="00756B53" w:rsidRPr="00E83DA2" w:rsidRDefault="00756B53" w:rsidP="008D2E39">
            <w:pPr>
              <w:rPr>
                <w:rFonts w:ascii="Gill Sans MT" w:hAnsi="Gill Sans MT"/>
              </w:rPr>
            </w:pPr>
            <w:r w:rsidRPr="00E83DA2">
              <w:rPr>
                <w:rFonts w:ascii="Gill Sans MT" w:hAnsi="Gill Sans MT"/>
              </w:rPr>
              <w:t>Milled hardwood</w:t>
            </w:r>
          </w:p>
        </w:tc>
        <w:tc>
          <w:tcPr>
            <w:tcW w:w="2769" w:type="dxa"/>
          </w:tcPr>
          <w:p w:rsidR="00756B53" w:rsidRPr="00E83DA2" w:rsidRDefault="005312C9" w:rsidP="008D2E39">
            <w:pPr>
              <w:cnfStyle w:val="000000010000"/>
              <w:rPr>
                <w:rFonts w:ascii="Gill Sans MT" w:hAnsi="Gill Sans MT"/>
              </w:rPr>
            </w:pPr>
            <w:r>
              <w:rPr>
                <w:rFonts w:ascii="Gill Sans MT" w:hAnsi="Gill Sans MT"/>
              </w:rPr>
              <w:t>North</w:t>
            </w:r>
          </w:p>
        </w:tc>
        <w:tc>
          <w:tcPr>
            <w:tcW w:w="3388" w:type="dxa"/>
          </w:tcPr>
          <w:p w:rsidR="00756B53" w:rsidRPr="00E83DA2" w:rsidRDefault="00756B53" w:rsidP="008D2E39">
            <w:pPr>
              <w:cnfStyle w:val="000000010000"/>
              <w:rPr>
                <w:rFonts w:ascii="Gill Sans MT" w:hAnsi="Gill Sans MT"/>
              </w:rPr>
            </w:pPr>
            <w:r w:rsidRPr="00E83DA2">
              <w:rPr>
                <w:rFonts w:ascii="Gill Sans MT" w:hAnsi="Gill Sans MT"/>
              </w:rPr>
              <w:t>Increasing production</w:t>
            </w:r>
          </w:p>
        </w:tc>
      </w:tr>
      <w:tr w:rsidR="00756B53" w:rsidRPr="00E83DA2" w:rsidTr="005312C9">
        <w:trPr>
          <w:cnfStyle w:val="000000100000"/>
        </w:trPr>
        <w:tc>
          <w:tcPr>
            <w:cnfStyle w:val="001000000000"/>
            <w:tcW w:w="2371" w:type="dxa"/>
          </w:tcPr>
          <w:p w:rsidR="00756B53" w:rsidRPr="00E83DA2" w:rsidRDefault="00756B53" w:rsidP="008D2E39">
            <w:pPr>
              <w:rPr>
                <w:rFonts w:ascii="Gill Sans MT" w:hAnsi="Gill Sans MT"/>
              </w:rPr>
            </w:pPr>
            <w:r w:rsidRPr="00E83DA2">
              <w:rPr>
                <w:rFonts w:ascii="Gill Sans MT" w:hAnsi="Gill Sans MT"/>
              </w:rPr>
              <w:t>Milled softwood</w:t>
            </w:r>
          </w:p>
        </w:tc>
        <w:tc>
          <w:tcPr>
            <w:tcW w:w="2769" w:type="dxa"/>
          </w:tcPr>
          <w:p w:rsidR="00756B53" w:rsidRPr="00E83DA2" w:rsidRDefault="00756B53" w:rsidP="008D2E39">
            <w:pPr>
              <w:cnfStyle w:val="000000100000"/>
              <w:rPr>
                <w:rFonts w:ascii="Gill Sans MT" w:hAnsi="Gill Sans MT"/>
              </w:rPr>
            </w:pPr>
            <w:r w:rsidRPr="00E83DA2">
              <w:rPr>
                <w:rFonts w:ascii="Gill Sans MT" w:hAnsi="Gill Sans MT"/>
              </w:rPr>
              <w:t>North east to Bell Bay</w:t>
            </w:r>
          </w:p>
        </w:tc>
        <w:tc>
          <w:tcPr>
            <w:tcW w:w="3388" w:type="dxa"/>
          </w:tcPr>
          <w:p w:rsidR="00756B53" w:rsidRPr="00E83DA2" w:rsidRDefault="00756B53" w:rsidP="008D2E39">
            <w:pPr>
              <w:cnfStyle w:val="000000100000"/>
              <w:rPr>
                <w:rFonts w:ascii="Gill Sans MT" w:hAnsi="Gill Sans MT"/>
              </w:rPr>
            </w:pPr>
            <w:r w:rsidRPr="00E83DA2">
              <w:rPr>
                <w:rFonts w:ascii="Gill Sans MT" w:hAnsi="Gill Sans MT"/>
              </w:rPr>
              <w:t>Increasing production</w:t>
            </w:r>
          </w:p>
        </w:tc>
      </w:tr>
    </w:tbl>
    <w:p w:rsidR="005312C9" w:rsidRPr="00A029D6" w:rsidRDefault="00666BF3" w:rsidP="005312C9">
      <w:pPr>
        <w:pStyle w:val="Caption"/>
        <w:keepNext/>
        <w:jc w:val="both"/>
        <w:rPr>
          <w:rFonts w:ascii="Gill Sans MT" w:hAnsi="Gill Sans MT"/>
          <w:color w:val="auto"/>
          <w:sz w:val="22"/>
          <w:szCs w:val="22"/>
        </w:rPr>
      </w:pPr>
      <w:proofErr w:type="gramStart"/>
      <w:r>
        <w:rPr>
          <w:rFonts w:ascii="Gill Sans MT" w:hAnsi="Gill Sans MT"/>
          <w:i/>
          <w:color w:val="auto"/>
          <w:sz w:val="22"/>
          <w:szCs w:val="22"/>
        </w:rPr>
        <w:t>Figure 29</w:t>
      </w:r>
      <w:r w:rsidR="005312C9" w:rsidRPr="00305E30">
        <w:rPr>
          <w:rFonts w:ascii="Gill Sans MT" w:hAnsi="Gill Sans MT"/>
          <w:i/>
          <w:color w:val="auto"/>
          <w:sz w:val="22"/>
          <w:szCs w:val="22"/>
        </w:rPr>
        <w:t>.</w:t>
      </w:r>
      <w:proofErr w:type="gramEnd"/>
      <w:r w:rsidR="005312C9" w:rsidRPr="00A029D6">
        <w:rPr>
          <w:rFonts w:ascii="Gill Sans MT" w:hAnsi="Gill Sans MT"/>
          <w:color w:val="auto"/>
          <w:sz w:val="22"/>
          <w:szCs w:val="22"/>
        </w:rPr>
        <w:t xml:space="preserve"> </w:t>
      </w:r>
      <w:r w:rsidR="005312C9">
        <w:rPr>
          <w:rFonts w:ascii="Gill Sans MT" w:hAnsi="Gill Sans MT"/>
          <w:color w:val="auto"/>
          <w:sz w:val="22"/>
          <w:szCs w:val="22"/>
        </w:rPr>
        <w:t xml:space="preserve">Likely growth and </w:t>
      </w:r>
      <w:r w:rsidR="00463F06">
        <w:rPr>
          <w:rFonts w:ascii="Gill Sans MT" w:hAnsi="Gill Sans MT"/>
          <w:color w:val="auto"/>
          <w:sz w:val="22"/>
          <w:szCs w:val="22"/>
        </w:rPr>
        <w:t>drivers for the Northern Region</w:t>
      </w:r>
    </w:p>
    <w:p w:rsidR="007C4D68" w:rsidRDefault="007C4D68" w:rsidP="00756B53">
      <w:pPr>
        <w:rPr>
          <w:rFonts w:ascii="Gill Sans MT" w:hAnsi="Gill Sans MT"/>
          <w:b/>
        </w:rPr>
      </w:pPr>
    </w:p>
    <w:p w:rsidR="007C4D68" w:rsidRDefault="007C4D68" w:rsidP="00756B53">
      <w:pPr>
        <w:rPr>
          <w:rFonts w:ascii="Gill Sans MT" w:hAnsi="Gill Sans MT"/>
          <w:b/>
        </w:rPr>
      </w:pPr>
    </w:p>
    <w:p w:rsidR="007C4D68" w:rsidRDefault="007C4D68" w:rsidP="00756B53">
      <w:pPr>
        <w:rPr>
          <w:rFonts w:ascii="Gill Sans MT" w:hAnsi="Gill Sans MT"/>
          <w:b/>
        </w:rPr>
      </w:pPr>
    </w:p>
    <w:p w:rsidR="00756B53" w:rsidRPr="00E83DA2" w:rsidRDefault="00756B53" w:rsidP="00756B53">
      <w:pPr>
        <w:rPr>
          <w:rFonts w:ascii="Gill Sans MT" w:hAnsi="Gill Sans MT"/>
          <w:b/>
        </w:rPr>
      </w:pPr>
      <w:r w:rsidRPr="00E83DA2">
        <w:rPr>
          <w:rFonts w:ascii="Gill Sans MT" w:hAnsi="Gill Sans MT"/>
          <w:b/>
        </w:rPr>
        <w:lastRenderedPageBreak/>
        <w:t>Changes in the freight task on the Principal Freight Network</w:t>
      </w:r>
    </w:p>
    <w:p w:rsidR="00756B53" w:rsidRPr="00E83DA2" w:rsidRDefault="00756B53" w:rsidP="005312C9">
      <w:pPr>
        <w:rPr>
          <w:rFonts w:ascii="Gill Sans MT" w:hAnsi="Gill Sans MT"/>
        </w:rPr>
      </w:pPr>
      <w:r w:rsidRPr="00E83DA2">
        <w:rPr>
          <w:rFonts w:ascii="Gill Sans MT" w:hAnsi="Gill Sans MT"/>
        </w:rPr>
        <w:t>With the largest change in the freight task being the increase in agricultural freight, road corridors in the state’s key agricultural regions experience the most significant changes in freight volumes.  While there are a number of regional roads with significant increases in projected freight volumes, the key inter-regional corridors experience some of the largest increases in freight.  For example, the Bass Highway is projected to nearly double its freight volumes in 2029.</w:t>
      </w:r>
    </w:p>
    <w:p w:rsidR="00756B53" w:rsidRPr="00E83DA2" w:rsidRDefault="00756B53" w:rsidP="005312C9">
      <w:pPr>
        <w:rPr>
          <w:rFonts w:ascii="Gill Sans MT" w:hAnsi="Gill Sans MT"/>
        </w:rPr>
      </w:pPr>
      <w:r w:rsidRPr="00E83DA2">
        <w:rPr>
          <w:rFonts w:ascii="Gill Sans MT" w:hAnsi="Gill Sans MT"/>
        </w:rPr>
        <w:t>While the Bass Highway has the largest projected increase in freight, other key inter-regional corridors are projected to have significant growth in freight volumes, including Midland Highway and East Tamar Highway.</w:t>
      </w:r>
    </w:p>
    <w:tbl>
      <w:tblPr>
        <w:tblStyle w:val="MediumShading1-Accent11"/>
        <w:tblW w:w="9322" w:type="dxa"/>
        <w:tblInd w:w="-318" w:type="dxa"/>
        <w:tblLook w:val="04A0"/>
      </w:tblPr>
      <w:tblGrid>
        <w:gridCol w:w="2282"/>
        <w:gridCol w:w="2715"/>
        <w:gridCol w:w="4325"/>
      </w:tblGrid>
      <w:tr w:rsidR="00756B53" w:rsidRPr="00E83DA2" w:rsidTr="005312C9">
        <w:trPr>
          <w:cnfStyle w:val="100000000000"/>
          <w:cantSplit/>
          <w:tblHeader/>
        </w:trPr>
        <w:tc>
          <w:tcPr>
            <w:cnfStyle w:val="001000000000"/>
            <w:tcW w:w="2282" w:type="dxa"/>
          </w:tcPr>
          <w:p w:rsidR="00756B53" w:rsidRPr="00E83DA2" w:rsidRDefault="00756B53" w:rsidP="008D2E39">
            <w:pPr>
              <w:rPr>
                <w:rFonts w:ascii="Gill Sans MT" w:hAnsi="Gill Sans MT"/>
                <w:i/>
              </w:rPr>
            </w:pPr>
            <w:r w:rsidRPr="00E83DA2">
              <w:rPr>
                <w:rFonts w:ascii="Gill Sans MT" w:hAnsi="Gill Sans MT"/>
                <w:i/>
              </w:rPr>
              <w:t>Corridor name</w:t>
            </w:r>
          </w:p>
        </w:tc>
        <w:tc>
          <w:tcPr>
            <w:tcW w:w="2715" w:type="dxa"/>
          </w:tcPr>
          <w:p w:rsidR="00756B53" w:rsidRPr="00E83DA2" w:rsidRDefault="00756B53" w:rsidP="008D2E39">
            <w:pPr>
              <w:cnfStyle w:val="100000000000"/>
              <w:rPr>
                <w:rFonts w:ascii="Gill Sans MT" w:hAnsi="Gill Sans MT"/>
                <w:i/>
              </w:rPr>
            </w:pPr>
            <w:r w:rsidRPr="00E83DA2">
              <w:rPr>
                <w:rFonts w:ascii="Gill Sans MT" w:hAnsi="Gill Sans MT"/>
                <w:i/>
              </w:rPr>
              <w:t>Projected volumes</w:t>
            </w:r>
          </w:p>
        </w:tc>
        <w:tc>
          <w:tcPr>
            <w:tcW w:w="4325" w:type="dxa"/>
          </w:tcPr>
          <w:p w:rsidR="00756B53" w:rsidRPr="00E83DA2" w:rsidRDefault="00756B53" w:rsidP="008D2E39">
            <w:pPr>
              <w:cnfStyle w:val="100000000000"/>
              <w:rPr>
                <w:rFonts w:ascii="Gill Sans MT" w:hAnsi="Gill Sans MT"/>
                <w:i/>
              </w:rPr>
            </w:pPr>
            <w:r w:rsidRPr="00E83DA2">
              <w:rPr>
                <w:rFonts w:ascii="Gill Sans MT" w:hAnsi="Gill Sans MT"/>
                <w:i/>
              </w:rPr>
              <w:t>Key corridor characteristics</w:t>
            </w:r>
          </w:p>
        </w:tc>
      </w:tr>
      <w:tr w:rsidR="00756B53" w:rsidRPr="00E83DA2" w:rsidTr="005312C9">
        <w:trPr>
          <w:cnfStyle w:val="000000100000"/>
          <w:cantSplit/>
        </w:trPr>
        <w:tc>
          <w:tcPr>
            <w:cnfStyle w:val="001000000000"/>
            <w:tcW w:w="2282" w:type="dxa"/>
          </w:tcPr>
          <w:p w:rsidR="00756B53" w:rsidRPr="00E83DA2" w:rsidRDefault="00756B53" w:rsidP="008D2E39">
            <w:pPr>
              <w:rPr>
                <w:rFonts w:ascii="Gill Sans MT" w:hAnsi="Gill Sans MT"/>
              </w:rPr>
            </w:pPr>
            <w:r w:rsidRPr="00E83DA2">
              <w:rPr>
                <w:rFonts w:ascii="Gill Sans MT" w:hAnsi="Gill Sans MT"/>
              </w:rPr>
              <w:t>Bass Highway:</w:t>
            </w:r>
            <w:r w:rsidRPr="00E83DA2">
              <w:rPr>
                <w:rFonts w:ascii="Gill Sans MT" w:hAnsi="Gill Sans MT"/>
              </w:rPr>
              <w:br/>
            </w:r>
            <w:r w:rsidRPr="00E83DA2">
              <w:rPr>
                <w:rFonts w:ascii="Gill Sans MT" w:hAnsi="Gill Sans MT"/>
                <w:b w:val="0"/>
                <w:i/>
              </w:rPr>
              <w:t>Burnie to Illawarra Main Road</w:t>
            </w:r>
          </w:p>
        </w:tc>
        <w:tc>
          <w:tcPr>
            <w:tcW w:w="2715" w:type="dxa"/>
          </w:tcPr>
          <w:p w:rsidR="00756B53" w:rsidRPr="00E83DA2" w:rsidRDefault="00756B53" w:rsidP="008D2E39">
            <w:pPr>
              <w:cnfStyle w:val="000000100000"/>
              <w:rPr>
                <w:rFonts w:ascii="Gill Sans MT" w:hAnsi="Gill Sans MT"/>
              </w:rPr>
            </w:pPr>
            <w:r w:rsidRPr="00E83DA2">
              <w:rPr>
                <w:rFonts w:ascii="Gill Sans MT" w:hAnsi="Gill Sans MT"/>
              </w:rPr>
              <w:t>2009 – 3.56 MT to 4.39 MT</w:t>
            </w:r>
          </w:p>
          <w:p w:rsidR="00756B53" w:rsidRPr="00E83DA2" w:rsidRDefault="00756B53" w:rsidP="008D2E39">
            <w:pPr>
              <w:cnfStyle w:val="000000100000"/>
              <w:rPr>
                <w:rFonts w:ascii="Gill Sans MT" w:hAnsi="Gill Sans MT"/>
              </w:rPr>
            </w:pPr>
            <w:r w:rsidRPr="00E83DA2">
              <w:rPr>
                <w:rFonts w:ascii="Gill Sans MT" w:hAnsi="Gill Sans MT"/>
              </w:rPr>
              <w:t>2029 – 6.59 MT to 8.62 MT</w:t>
            </w:r>
          </w:p>
        </w:tc>
        <w:tc>
          <w:tcPr>
            <w:tcW w:w="4325" w:type="dxa"/>
          </w:tcPr>
          <w:p w:rsidR="00756B53" w:rsidRPr="00E83DA2" w:rsidRDefault="00756B53" w:rsidP="008D2E39">
            <w:pPr>
              <w:pStyle w:val="ListParagraph"/>
              <w:numPr>
                <w:ilvl w:val="0"/>
                <w:numId w:val="18"/>
              </w:numPr>
              <w:ind w:left="390"/>
              <w:cnfStyle w:val="000000100000"/>
              <w:rPr>
                <w:rFonts w:ascii="Gill Sans MT" w:hAnsi="Gill Sans MT"/>
              </w:rPr>
            </w:pPr>
            <w:r w:rsidRPr="00E83DA2">
              <w:rPr>
                <w:rFonts w:ascii="Gill Sans MT" w:hAnsi="Gill Sans MT"/>
              </w:rPr>
              <w:t>Inter-regional movement between north/ north-west and southern Tasmania</w:t>
            </w:r>
          </w:p>
          <w:p w:rsidR="00756B53" w:rsidRPr="00E83DA2" w:rsidRDefault="00756B53" w:rsidP="008D2E39">
            <w:pPr>
              <w:pStyle w:val="ListParagraph"/>
              <w:numPr>
                <w:ilvl w:val="0"/>
                <w:numId w:val="18"/>
              </w:numPr>
              <w:ind w:left="390"/>
              <w:cnfStyle w:val="000000100000"/>
              <w:rPr>
                <w:rFonts w:ascii="Gill Sans MT" w:hAnsi="Gill Sans MT"/>
              </w:rPr>
            </w:pPr>
            <w:r w:rsidRPr="00E83DA2">
              <w:rPr>
                <w:rFonts w:ascii="Gill Sans MT" w:hAnsi="Gill Sans MT"/>
              </w:rPr>
              <w:t>Intra-regional movement within the north-west</w:t>
            </w:r>
          </w:p>
          <w:p w:rsidR="00756B53" w:rsidRPr="00E83DA2" w:rsidRDefault="00756B53" w:rsidP="008D2E39">
            <w:pPr>
              <w:pStyle w:val="ListParagraph"/>
              <w:numPr>
                <w:ilvl w:val="0"/>
                <w:numId w:val="18"/>
              </w:numPr>
              <w:ind w:left="390"/>
              <w:cnfStyle w:val="000000100000"/>
              <w:rPr>
                <w:rFonts w:ascii="Gill Sans MT" w:hAnsi="Gill Sans MT"/>
              </w:rPr>
            </w:pPr>
            <w:r w:rsidRPr="00E83DA2">
              <w:rPr>
                <w:rFonts w:ascii="Gill Sans MT" w:hAnsi="Gill Sans MT"/>
              </w:rPr>
              <w:t>Key link to northern ports for southern Tasmania</w:t>
            </w:r>
          </w:p>
          <w:p w:rsidR="00756B53" w:rsidRPr="00E83DA2" w:rsidRDefault="00756B53" w:rsidP="008D2E39">
            <w:pPr>
              <w:pStyle w:val="ListParagraph"/>
              <w:numPr>
                <w:ilvl w:val="0"/>
                <w:numId w:val="18"/>
              </w:numPr>
              <w:ind w:left="390"/>
              <w:cnfStyle w:val="000000100000"/>
              <w:rPr>
                <w:rFonts w:ascii="Gill Sans MT" w:hAnsi="Gill Sans MT"/>
              </w:rPr>
            </w:pPr>
            <w:r w:rsidRPr="00E83DA2">
              <w:rPr>
                <w:rFonts w:ascii="Gill Sans MT" w:hAnsi="Gill Sans MT"/>
              </w:rPr>
              <w:t>Mostly used for agricultural freight, consumer goods and forestry</w:t>
            </w:r>
          </w:p>
        </w:tc>
      </w:tr>
      <w:tr w:rsidR="00756B53" w:rsidRPr="00E83DA2" w:rsidTr="005312C9">
        <w:trPr>
          <w:cnfStyle w:val="000000010000"/>
          <w:cantSplit/>
        </w:trPr>
        <w:tc>
          <w:tcPr>
            <w:cnfStyle w:val="001000000000"/>
            <w:tcW w:w="2282" w:type="dxa"/>
          </w:tcPr>
          <w:p w:rsidR="00756B53" w:rsidRPr="00E83DA2" w:rsidRDefault="00756B53" w:rsidP="008D2E39">
            <w:pPr>
              <w:rPr>
                <w:rFonts w:ascii="Gill Sans MT" w:hAnsi="Gill Sans MT"/>
              </w:rPr>
            </w:pPr>
            <w:r w:rsidRPr="00E83DA2">
              <w:rPr>
                <w:rFonts w:ascii="Gill Sans MT" w:hAnsi="Gill Sans MT"/>
              </w:rPr>
              <w:t xml:space="preserve">Midland Highway: </w:t>
            </w:r>
            <w:r w:rsidRPr="00E83DA2">
              <w:rPr>
                <w:rFonts w:ascii="Gill Sans MT" w:hAnsi="Gill Sans MT"/>
              </w:rPr>
              <w:br/>
            </w:r>
            <w:r w:rsidRPr="00E83DA2">
              <w:rPr>
                <w:rFonts w:ascii="Gill Sans MT" w:hAnsi="Gill Sans MT"/>
                <w:b w:val="0"/>
                <w:i/>
              </w:rPr>
              <w:t>Bridgewater to Launceston</w:t>
            </w:r>
          </w:p>
        </w:tc>
        <w:tc>
          <w:tcPr>
            <w:tcW w:w="2715" w:type="dxa"/>
          </w:tcPr>
          <w:p w:rsidR="00756B53" w:rsidRPr="00E83DA2" w:rsidRDefault="00756B53" w:rsidP="008D2E39">
            <w:pPr>
              <w:cnfStyle w:val="000000010000"/>
              <w:rPr>
                <w:rFonts w:ascii="Gill Sans MT" w:hAnsi="Gill Sans MT"/>
              </w:rPr>
            </w:pPr>
            <w:r w:rsidRPr="00E83DA2">
              <w:rPr>
                <w:rFonts w:ascii="Gill Sans MT" w:hAnsi="Gill Sans MT"/>
              </w:rPr>
              <w:t>2009 – 2.49 MT to 3.01 MT</w:t>
            </w:r>
          </w:p>
          <w:p w:rsidR="00756B53" w:rsidRPr="00E83DA2" w:rsidRDefault="00756B53" w:rsidP="008D2E39">
            <w:pPr>
              <w:cnfStyle w:val="000000010000"/>
              <w:rPr>
                <w:rFonts w:ascii="Gill Sans MT" w:hAnsi="Gill Sans MT"/>
              </w:rPr>
            </w:pPr>
            <w:r w:rsidRPr="00E83DA2">
              <w:rPr>
                <w:rFonts w:ascii="Gill Sans MT" w:hAnsi="Gill Sans MT"/>
              </w:rPr>
              <w:t>2029 – 4.55 MT</w:t>
            </w:r>
          </w:p>
        </w:tc>
        <w:tc>
          <w:tcPr>
            <w:tcW w:w="4325" w:type="dxa"/>
          </w:tcPr>
          <w:p w:rsidR="00756B53" w:rsidRPr="00E83DA2" w:rsidRDefault="00756B53" w:rsidP="008D2E39">
            <w:pPr>
              <w:pStyle w:val="ListParagraph"/>
              <w:numPr>
                <w:ilvl w:val="0"/>
                <w:numId w:val="18"/>
              </w:numPr>
              <w:ind w:left="390"/>
              <w:cnfStyle w:val="000000010000"/>
              <w:rPr>
                <w:rFonts w:ascii="Gill Sans MT" w:hAnsi="Gill Sans MT"/>
              </w:rPr>
            </w:pPr>
            <w:r w:rsidRPr="00E83DA2">
              <w:rPr>
                <w:rFonts w:ascii="Gill Sans MT" w:hAnsi="Gill Sans MT"/>
              </w:rPr>
              <w:t>Inter-regional movement between north/ north-west and southern Tasmania</w:t>
            </w:r>
          </w:p>
          <w:p w:rsidR="00756B53" w:rsidRPr="00E83DA2" w:rsidRDefault="00756B53" w:rsidP="008D2E39">
            <w:pPr>
              <w:pStyle w:val="ListParagraph"/>
              <w:numPr>
                <w:ilvl w:val="0"/>
                <w:numId w:val="18"/>
              </w:numPr>
              <w:ind w:left="390"/>
              <w:cnfStyle w:val="000000010000"/>
              <w:rPr>
                <w:rFonts w:ascii="Gill Sans MT" w:hAnsi="Gill Sans MT"/>
              </w:rPr>
            </w:pPr>
            <w:r w:rsidRPr="00E83DA2">
              <w:rPr>
                <w:rFonts w:ascii="Gill Sans MT" w:hAnsi="Gill Sans MT"/>
              </w:rPr>
              <w:t>Key link to northern ports for southern Tasmania</w:t>
            </w:r>
          </w:p>
          <w:p w:rsidR="00756B53" w:rsidRPr="00E83DA2" w:rsidRDefault="00756B53" w:rsidP="008D2E39">
            <w:pPr>
              <w:pStyle w:val="ListParagraph"/>
              <w:numPr>
                <w:ilvl w:val="0"/>
                <w:numId w:val="18"/>
              </w:numPr>
              <w:ind w:left="390"/>
              <w:cnfStyle w:val="000000010000"/>
              <w:rPr>
                <w:rFonts w:ascii="Gill Sans MT" w:hAnsi="Gill Sans MT"/>
              </w:rPr>
            </w:pPr>
            <w:r w:rsidRPr="00E83DA2">
              <w:rPr>
                <w:rFonts w:ascii="Gill Sans MT" w:hAnsi="Gill Sans MT"/>
              </w:rPr>
              <w:t>Mostly used for consumer goods, agricultural freight and forestry</w:t>
            </w:r>
          </w:p>
        </w:tc>
      </w:tr>
      <w:tr w:rsidR="00756B53" w:rsidRPr="00E83DA2" w:rsidTr="005312C9">
        <w:trPr>
          <w:cnfStyle w:val="000000100000"/>
          <w:cantSplit/>
        </w:trPr>
        <w:tc>
          <w:tcPr>
            <w:cnfStyle w:val="001000000000"/>
            <w:tcW w:w="2282" w:type="dxa"/>
          </w:tcPr>
          <w:p w:rsidR="00756B53" w:rsidRPr="00E83DA2" w:rsidRDefault="00756B53" w:rsidP="008D2E39">
            <w:pPr>
              <w:rPr>
                <w:rFonts w:ascii="Gill Sans MT" w:hAnsi="Gill Sans MT"/>
              </w:rPr>
            </w:pPr>
            <w:r w:rsidRPr="00E83DA2">
              <w:rPr>
                <w:rFonts w:ascii="Gill Sans MT" w:hAnsi="Gill Sans MT"/>
              </w:rPr>
              <w:t xml:space="preserve">East Tamar Highway: </w:t>
            </w:r>
            <w:r w:rsidRPr="00E83DA2">
              <w:rPr>
                <w:rFonts w:ascii="Gill Sans MT" w:hAnsi="Gill Sans MT"/>
              </w:rPr>
              <w:br/>
            </w:r>
            <w:r w:rsidRPr="00E83DA2">
              <w:rPr>
                <w:rFonts w:ascii="Gill Sans MT" w:hAnsi="Gill Sans MT"/>
                <w:b w:val="0"/>
                <w:i/>
              </w:rPr>
              <w:t>Launceston to Bell Bay</w:t>
            </w:r>
          </w:p>
        </w:tc>
        <w:tc>
          <w:tcPr>
            <w:tcW w:w="2715" w:type="dxa"/>
          </w:tcPr>
          <w:p w:rsidR="00756B53" w:rsidRPr="00E83DA2" w:rsidRDefault="00756B53" w:rsidP="008D2E39">
            <w:pPr>
              <w:cnfStyle w:val="000000100000"/>
              <w:rPr>
                <w:rFonts w:ascii="Gill Sans MT" w:hAnsi="Gill Sans MT"/>
              </w:rPr>
            </w:pPr>
            <w:r w:rsidRPr="00E83DA2">
              <w:rPr>
                <w:rFonts w:ascii="Gill Sans MT" w:hAnsi="Gill Sans MT"/>
              </w:rPr>
              <w:t>2009 – 3.25 MT</w:t>
            </w:r>
          </w:p>
          <w:p w:rsidR="00756B53" w:rsidRPr="00E83DA2" w:rsidRDefault="00756B53" w:rsidP="008D2E39">
            <w:pPr>
              <w:cnfStyle w:val="000000100000"/>
              <w:rPr>
                <w:rFonts w:ascii="Gill Sans MT" w:hAnsi="Gill Sans MT"/>
              </w:rPr>
            </w:pPr>
            <w:r w:rsidRPr="00E83DA2">
              <w:rPr>
                <w:rFonts w:ascii="Gill Sans MT" w:hAnsi="Gill Sans MT"/>
              </w:rPr>
              <w:t>2029 – 4.53 MT</w:t>
            </w:r>
          </w:p>
        </w:tc>
        <w:tc>
          <w:tcPr>
            <w:tcW w:w="4325" w:type="dxa"/>
          </w:tcPr>
          <w:p w:rsidR="00756B53" w:rsidRPr="00E83DA2" w:rsidRDefault="00756B53" w:rsidP="008D2E39">
            <w:pPr>
              <w:pStyle w:val="ListParagraph"/>
              <w:numPr>
                <w:ilvl w:val="0"/>
                <w:numId w:val="18"/>
              </w:numPr>
              <w:ind w:left="390"/>
              <w:cnfStyle w:val="000000100000"/>
              <w:rPr>
                <w:rFonts w:ascii="Gill Sans MT" w:hAnsi="Gill Sans MT"/>
              </w:rPr>
            </w:pPr>
            <w:r w:rsidRPr="00E83DA2">
              <w:rPr>
                <w:rFonts w:ascii="Gill Sans MT" w:hAnsi="Gill Sans MT"/>
              </w:rPr>
              <w:t>Inter-regional and intra-regional movement to Bell Bay port</w:t>
            </w:r>
          </w:p>
          <w:p w:rsidR="00756B53" w:rsidRPr="00E83DA2" w:rsidRDefault="00756B53" w:rsidP="008D2E39">
            <w:pPr>
              <w:pStyle w:val="ListParagraph"/>
              <w:numPr>
                <w:ilvl w:val="0"/>
                <w:numId w:val="18"/>
              </w:numPr>
              <w:ind w:left="390"/>
              <w:cnfStyle w:val="000000100000"/>
              <w:rPr>
                <w:rFonts w:ascii="Gill Sans MT" w:hAnsi="Gill Sans MT"/>
              </w:rPr>
            </w:pPr>
            <w:r w:rsidRPr="00E83DA2">
              <w:rPr>
                <w:rFonts w:ascii="Gill Sans MT" w:hAnsi="Gill Sans MT"/>
              </w:rPr>
              <w:t>Mostly used for forestry, agriculture and construction</w:t>
            </w:r>
          </w:p>
        </w:tc>
      </w:tr>
    </w:tbl>
    <w:p w:rsidR="005312C9" w:rsidRPr="00A029D6" w:rsidRDefault="00666BF3" w:rsidP="005312C9">
      <w:pPr>
        <w:pStyle w:val="Caption"/>
        <w:keepNext/>
        <w:jc w:val="both"/>
        <w:rPr>
          <w:rFonts w:ascii="Gill Sans MT" w:hAnsi="Gill Sans MT"/>
          <w:color w:val="auto"/>
          <w:sz w:val="22"/>
          <w:szCs w:val="22"/>
        </w:rPr>
      </w:pPr>
      <w:proofErr w:type="gramStart"/>
      <w:r>
        <w:rPr>
          <w:rFonts w:ascii="Gill Sans MT" w:hAnsi="Gill Sans MT"/>
          <w:i/>
          <w:color w:val="auto"/>
          <w:sz w:val="22"/>
          <w:szCs w:val="22"/>
        </w:rPr>
        <w:t>Figure 30</w:t>
      </w:r>
      <w:r w:rsidR="005312C9" w:rsidRPr="00305E30">
        <w:rPr>
          <w:rFonts w:ascii="Gill Sans MT" w:hAnsi="Gill Sans MT"/>
          <w:i/>
          <w:color w:val="auto"/>
          <w:sz w:val="22"/>
          <w:szCs w:val="22"/>
        </w:rPr>
        <w:t>.</w:t>
      </w:r>
      <w:proofErr w:type="gramEnd"/>
      <w:r w:rsidR="005312C9" w:rsidRPr="00A029D6">
        <w:rPr>
          <w:rFonts w:ascii="Gill Sans MT" w:hAnsi="Gill Sans MT"/>
          <w:color w:val="auto"/>
          <w:sz w:val="22"/>
          <w:szCs w:val="22"/>
        </w:rPr>
        <w:t xml:space="preserve"> </w:t>
      </w:r>
      <w:r w:rsidR="005312C9">
        <w:rPr>
          <w:rFonts w:ascii="Gill Sans MT" w:hAnsi="Gill Sans MT"/>
          <w:color w:val="auto"/>
          <w:sz w:val="22"/>
          <w:szCs w:val="22"/>
        </w:rPr>
        <w:t>Projected freight volumes on key inter-regional corridors in the Northern Reg</w:t>
      </w:r>
      <w:r w:rsidR="00463F06">
        <w:rPr>
          <w:rFonts w:ascii="Gill Sans MT" w:hAnsi="Gill Sans MT"/>
          <w:color w:val="auto"/>
          <w:sz w:val="22"/>
          <w:szCs w:val="22"/>
        </w:rPr>
        <w:t>ion – Principal Freight Network</w:t>
      </w:r>
    </w:p>
    <w:p w:rsidR="00756B53" w:rsidRDefault="00756B53" w:rsidP="005312C9">
      <w:pPr>
        <w:rPr>
          <w:rFonts w:ascii="Gill Sans MT" w:hAnsi="Gill Sans MT"/>
        </w:rPr>
      </w:pPr>
      <w:r w:rsidRPr="00E83DA2">
        <w:rPr>
          <w:rFonts w:ascii="Gill Sans MT" w:hAnsi="Gill Sans MT"/>
        </w:rPr>
        <w:br/>
        <w:t xml:space="preserve">Regional links on the Principal Freight Network are also projected to have a large increase in freight volumes.  The Frankford-Birralee-Batman route and Bridport Main Road are forecast to have increased volumes, mostly associated with increased agricultural production.  </w:t>
      </w:r>
    </w:p>
    <w:p w:rsidR="005312C9" w:rsidRDefault="005312C9" w:rsidP="00756B53">
      <w:pPr>
        <w:jc w:val="both"/>
        <w:rPr>
          <w:rFonts w:ascii="Gill Sans MT" w:hAnsi="Gill Sans MT"/>
        </w:rPr>
      </w:pPr>
    </w:p>
    <w:p w:rsidR="005312C9" w:rsidRDefault="005312C9" w:rsidP="00756B53">
      <w:pPr>
        <w:jc w:val="both"/>
        <w:rPr>
          <w:rFonts w:ascii="Gill Sans MT" w:hAnsi="Gill Sans MT"/>
        </w:rPr>
      </w:pPr>
    </w:p>
    <w:p w:rsidR="005312C9" w:rsidRDefault="005312C9" w:rsidP="00756B53">
      <w:pPr>
        <w:jc w:val="both"/>
        <w:rPr>
          <w:rFonts w:ascii="Gill Sans MT" w:hAnsi="Gill Sans MT"/>
        </w:rPr>
      </w:pPr>
    </w:p>
    <w:p w:rsidR="005312C9" w:rsidRPr="00E83DA2" w:rsidRDefault="005312C9" w:rsidP="00756B53">
      <w:pPr>
        <w:jc w:val="both"/>
        <w:rPr>
          <w:rFonts w:ascii="Gill Sans MT" w:hAnsi="Gill Sans MT"/>
        </w:rPr>
      </w:pPr>
    </w:p>
    <w:tbl>
      <w:tblPr>
        <w:tblStyle w:val="MediumShading1-Accent11"/>
        <w:tblW w:w="9322" w:type="dxa"/>
        <w:tblInd w:w="-318" w:type="dxa"/>
        <w:tblLook w:val="04A0"/>
      </w:tblPr>
      <w:tblGrid>
        <w:gridCol w:w="2310"/>
        <w:gridCol w:w="2310"/>
        <w:gridCol w:w="4702"/>
      </w:tblGrid>
      <w:tr w:rsidR="00756B53" w:rsidRPr="00E83DA2" w:rsidTr="005312C9">
        <w:trPr>
          <w:cnfStyle w:val="100000000000"/>
        </w:trPr>
        <w:tc>
          <w:tcPr>
            <w:cnfStyle w:val="001000000000"/>
            <w:tcW w:w="2310" w:type="dxa"/>
          </w:tcPr>
          <w:p w:rsidR="00756B53" w:rsidRPr="00E83DA2" w:rsidRDefault="00756B53" w:rsidP="008D2E39">
            <w:pPr>
              <w:rPr>
                <w:rFonts w:ascii="Gill Sans MT" w:hAnsi="Gill Sans MT"/>
                <w:i/>
              </w:rPr>
            </w:pPr>
            <w:r w:rsidRPr="00E83DA2">
              <w:rPr>
                <w:rFonts w:ascii="Gill Sans MT" w:hAnsi="Gill Sans MT"/>
                <w:i/>
              </w:rPr>
              <w:lastRenderedPageBreak/>
              <w:t>Corridor name</w:t>
            </w:r>
          </w:p>
        </w:tc>
        <w:tc>
          <w:tcPr>
            <w:tcW w:w="2310" w:type="dxa"/>
          </w:tcPr>
          <w:p w:rsidR="00756B53" w:rsidRPr="00E83DA2" w:rsidRDefault="00756B53" w:rsidP="008D2E39">
            <w:pPr>
              <w:cnfStyle w:val="100000000000"/>
              <w:rPr>
                <w:rFonts w:ascii="Gill Sans MT" w:hAnsi="Gill Sans MT"/>
                <w:i/>
              </w:rPr>
            </w:pPr>
            <w:r w:rsidRPr="00E83DA2">
              <w:rPr>
                <w:rFonts w:ascii="Gill Sans MT" w:hAnsi="Gill Sans MT"/>
                <w:i/>
              </w:rPr>
              <w:t>Projected volumes</w:t>
            </w:r>
          </w:p>
        </w:tc>
        <w:tc>
          <w:tcPr>
            <w:tcW w:w="4702" w:type="dxa"/>
          </w:tcPr>
          <w:p w:rsidR="00756B53" w:rsidRPr="00E83DA2" w:rsidRDefault="00756B53" w:rsidP="008D2E39">
            <w:pPr>
              <w:cnfStyle w:val="100000000000"/>
              <w:rPr>
                <w:rFonts w:ascii="Gill Sans MT" w:hAnsi="Gill Sans MT"/>
                <w:i/>
              </w:rPr>
            </w:pPr>
            <w:r w:rsidRPr="00E83DA2">
              <w:rPr>
                <w:rFonts w:ascii="Gill Sans MT" w:hAnsi="Gill Sans MT"/>
                <w:i/>
              </w:rPr>
              <w:t>Key corridor characteristics</w:t>
            </w:r>
          </w:p>
        </w:tc>
      </w:tr>
      <w:tr w:rsidR="00756B53" w:rsidRPr="00E83DA2" w:rsidTr="005312C9">
        <w:trPr>
          <w:cnfStyle w:val="000000100000"/>
        </w:trPr>
        <w:tc>
          <w:tcPr>
            <w:cnfStyle w:val="001000000000"/>
            <w:tcW w:w="2310" w:type="dxa"/>
          </w:tcPr>
          <w:p w:rsidR="00756B53" w:rsidRPr="00E83DA2" w:rsidRDefault="00756B53" w:rsidP="008D2E39">
            <w:pPr>
              <w:rPr>
                <w:rFonts w:ascii="Gill Sans MT" w:hAnsi="Gill Sans MT"/>
              </w:rPr>
            </w:pPr>
            <w:r w:rsidRPr="00E83DA2">
              <w:rPr>
                <w:rFonts w:ascii="Gill Sans MT" w:hAnsi="Gill Sans MT"/>
              </w:rPr>
              <w:t>Frankford-Birralee-Batman</w:t>
            </w:r>
          </w:p>
        </w:tc>
        <w:tc>
          <w:tcPr>
            <w:tcW w:w="2310" w:type="dxa"/>
          </w:tcPr>
          <w:p w:rsidR="00756B53" w:rsidRPr="00E83DA2" w:rsidRDefault="00756B53" w:rsidP="008D2E39">
            <w:pPr>
              <w:cnfStyle w:val="000000100000"/>
              <w:rPr>
                <w:rFonts w:ascii="Gill Sans MT" w:hAnsi="Gill Sans MT"/>
              </w:rPr>
            </w:pPr>
            <w:r w:rsidRPr="00E83DA2">
              <w:rPr>
                <w:rFonts w:ascii="Gill Sans MT" w:hAnsi="Gill Sans MT"/>
              </w:rPr>
              <w:t xml:space="preserve">2009 – 1.69 MT </w:t>
            </w:r>
          </w:p>
          <w:p w:rsidR="00756B53" w:rsidRPr="00E83DA2" w:rsidRDefault="00756B53" w:rsidP="008D2E39">
            <w:pPr>
              <w:cnfStyle w:val="000000100000"/>
              <w:rPr>
                <w:rFonts w:ascii="Gill Sans MT" w:hAnsi="Gill Sans MT"/>
              </w:rPr>
            </w:pPr>
            <w:r w:rsidRPr="00E83DA2">
              <w:rPr>
                <w:rFonts w:ascii="Gill Sans MT" w:hAnsi="Gill Sans MT"/>
              </w:rPr>
              <w:t>2029 – 2.64 MT</w:t>
            </w:r>
          </w:p>
        </w:tc>
        <w:tc>
          <w:tcPr>
            <w:tcW w:w="4702" w:type="dxa"/>
          </w:tcPr>
          <w:p w:rsidR="00756B53" w:rsidRPr="00E83DA2" w:rsidRDefault="00756B53" w:rsidP="008D2E39">
            <w:pPr>
              <w:pStyle w:val="ListParagraph"/>
              <w:numPr>
                <w:ilvl w:val="0"/>
                <w:numId w:val="18"/>
              </w:numPr>
              <w:ind w:left="390"/>
              <w:cnfStyle w:val="000000100000"/>
              <w:rPr>
                <w:rFonts w:ascii="Gill Sans MT" w:hAnsi="Gill Sans MT"/>
              </w:rPr>
            </w:pPr>
            <w:r w:rsidRPr="00E83DA2">
              <w:rPr>
                <w:rFonts w:ascii="Gill Sans MT" w:hAnsi="Gill Sans MT"/>
              </w:rPr>
              <w:t>Inter-regional movement of agriculture freight from north-east</w:t>
            </w:r>
          </w:p>
          <w:p w:rsidR="00756B53" w:rsidRPr="00E83DA2" w:rsidRDefault="00756B53" w:rsidP="008D2E39">
            <w:pPr>
              <w:pStyle w:val="ListParagraph"/>
              <w:numPr>
                <w:ilvl w:val="0"/>
                <w:numId w:val="18"/>
              </w:numPr>
              <w:ind w:left="390"/>
              <w:cnfStyle w:val="000000100000"/>
              <w:rPr>
                <w:rFonts w:ascii="Gill Sans MT" w:hAnsi="Gill Sans MT"/>
              </w:rPr>
            </w:pPr>
            <w:r w:rsidRPr="00E83DA2">
              <w:rPr>
                <w:rFonts w:ascii="Gill Sans MT" w:hAnsi="Gill Sans MT"/>
              </w:rPr>
              <w:t xml:space="preserve">Connects north-east to north west </w:t>
            </w:r>
          </w:p>
        </w:tc>
      </w:tr>
      <w:tr w:rsidR="00756B53" w:rsidRPr="00E83DA2" w:rsidTr="005312C9">
        <w:trPr>
          <w:cnfStyle w:val="000000010000"/>
        </w:trPr>
        <w:tc>
          <w:tcPr>
            <w:cnfStyle w:val="001000000000"/>
            <w:tcW w:w="2310" w:type="dxa"/>
          </w:tcPr>
          <w:p w:rsidR="00756B53" w:rsidRPr="00E83DA2" w:rsidRDefault="00756B53" w:rsidP="008D2E39">
            <w:pPr>
              <w:rPr>
                <w:rFonts w:ascii="Gill Sans MT" w:hAnsi="Gill Sans MT"/>
              </w:rPr>
            </w:pPr>
            <w:r w:rsidRPr="00E83DA2">
              <w:rPr>
                <w:rFonts w:ascii="Gill Sans MT" w:hAnsi="Gill Sans MT"/>
              </w:rPr>
              <w:t>Bridport Main Road</w:t>
            </w:r>
          </w:p>
        </w:tc>
        <w:tc>
          <w:tcPr>
            <w:tcW w:w="2310" w:type="dxa"/>
          </w:tcPr>
          <w:p w:rsidR="00756B53" w:rsidRPr="00E83DA2" w:rsidRDefault="00756B53" w:rsidP="008D2E39">
            <w:pPr>
              <w:cnfStyle w:val="000000010000"/>
              <w:rPr>
                <w:rFonts w:ascii="Gill Sans MT" w:hAnsi="Gill Sans MT"/>
              </w:rPr>
            </w:pPr>
            <w:r w:rsidRPr="00E83DA2">
              <w:rPr>
                <w:rFonts w:ascii="Gill Sans MT" w:hAnsi="Gill Sans MT"/>
              </w:rPr>
              <w:t xml:space="preserve">2009 – 1.39 MT </w:t>
            </w:r>
          </w:p>
          <w:p w:rsidR="00756B53" w:rsidRPr="00E83DA2" w:rsidRDefault="00756B53" w:rsidP="008D2E39">
            <w:pPr>
              <w:cnfStyle w:val="000000010000"/>
              <w:rPr>
                <w:rFonts w:ascii="Gill Sans MT" w:hAnsi="Gill Sans MT"/>
              </w:rPr>
            </w:pPr>
            <w:r w:rsidRPr="00E83DA2">
              <w:rPr>
                <w:rFonts w:ascii="Gill Sans MT" w:hAnsi="Gill Sans MT"/>
              </w:rPr>
              <w:t>2029 – 1.85 MT</w:t>
            </w:r>
          </w:p>
        </w:tc>
        <w:tc>
          <w:tcPr>
            <w:tcW w:w="4702" w:type="dxa"/>
          </w:tcPr>
          <w:p w:rsidR="00756B53" w:rsidRPr="00E83DA2" w:rsidRDefault="00756B53" w:rsidP="008D2E39">
            <w:pPr>
              <w:pStyle w:val="ListParagraph"/>
              <w:numPr>
                <w:ilvl w:val="0"/>
                <w:numId w:val="18"/>
              </w:numPr>
              <w:ind w:left="390"/>
              <w:cnfStyle w:val="000000010000"/>
              <w:rPr>
                <w:rFonts w:ascii="Gill Sans MT" w:hAnsi="Gill Sans MT"/>
              </w:rPr>
            </w:pPr>
            <w:r w:rsidRPr="00E83DA2">
              <w:rPr>
                <w:rFonts w:ascii="Gill Sans MT" w:hAnsi="Gill Sans MT"/>
              </w:rPr>
              <w:t>Intra-regional movement of forestry freight to Bell Bay area</w:t>
            </w:r>
          </w:p>
          <w:p w:rsidR="00756B53" w:rsidRPr="00E83DA2" w:rsidRDefault="00756B53" w:rsidP="008D2E39">
            <w:pPr>
              <w:pStyle w:val="ListParagraph"/>
              <w:numPr>
                <w:ilvl w:val="0"/>
                <w:numId w:val="18"/>
              </w:numPr>
              <w:ind w:left="390"/>
              <w:cnfStyle w:val="000000010000"/>
              <w:rPr>
                <w:rFonts w:ascii="Gill Sans MT" w:hAnsi="Gill Sans MT"/>
              </w:rPr>
            </w:pPr>
            <w:r w:rsidRPr="00E83DA2">
              <w:rPr>
                <w:rFonts w:ascii="Gill Sans MT" w:hAnsi="Gill Sans MT"/>
              </w:rPr>
              <w:t>Inter-regional movement of agriculture freight from north-east to north-west</w:t>
            </w:r>
          </w:p>
        </w:tc>
      </w:tr>
      <w:tr w:rsidR="00756B53" w:rsidRPr="00E83DA2" w:rsidTr="005312C9">
        <w:trPr>
          <w:cnfStyle w:val="000000100000"/>
        </w:trPr>
        <w:tc>
          <w:tcPr>
            <w:cnfStyle w:val="001000000000"/>
            <w:tcW w:w="2310" w:type="dxa"/>
          </w:tcPr>
          <w:p w:rsidR="00756B53" w:rsidRPr="00E83DA2" w:rsidRDefault="00756B53" w:rsidP="008D2E39">
            <w:pPr>
              <w:rPr>
                <w:rFonts w:ascii="Gill Sans MT" w:hAnsi="Gill Sans MT"/>
              </w:rPr>
            </w:pPr>
            <w:r w:rsidRPr="00E83DA2">
              <w:rPr>
                <w:rFonts w:ascii="Gill Sans MT" w:hAnsi="Gill Sans MT"/>
              </w:rPr>
              <w:t>Esk Main Road:</w:t>
            </w:r>
          </w:p>
          <w:p w:rsidR="00756B53" w:rsidRPr="00E83DA2" w:rsidRDefault="00756B53" w:rsidP="008D2E39">
            <w:pPr>
              <w:rPr>
                <w:rFonts w:ascii="Gill Sans MT" w:hAnsi="Gill Sans MT"/>
                <w:b w:val="0"/>
                <w:i/>
              </w:rPr>
            </w:pPr>
            <w:r w:rsidRPr="00E83DA2">
              <w:rPr>
                <w:rFonts w:ascii="Gill Sans MT" w:hAnsi="Gill Sans MT"/>
                <w:b w:val="0"/>
                <w:i/>
              </w:rPr>
              <w:t>St Marys to Midland Highway</w:t>
            </w:r>
          </w:p>
        </w:tc>
        <w:tc>
          <w:tcPr>
            <w:tcW w:w="2310" w:type="dxa"/>
          </w:tcPr>
          <w:p w:rsidR="00756B53" w:rsidRPr="00E83DA2" w:rsidRDefault="00756B53" w:rsidP="008D2E39">
            <w:pPr>
              <w:cnfStyle w:val="000000100000"/>
              <w:rPr>
                <w:rFonts w:ascii="Gill Sans MT" w:hAnsi="Gill Sans MT"/>
              </w:rPr>
            </w:pPr>
            <w:r w:rsidRPr="00E83DA2">
              <w:rPr>
                <w:rFonts w:ascii="Gill Sans MT" w:hAnsi="Gill Sans MT"/>
              </w:rPr>
              <w:t>2009 – 0.62 MT</w:t>
            </w:r>
          </w:p>
          <w:p w:rsidR="00756B53" w:rsidRPr="00E83DA2" w:rsidRDefault="00756B53" w:rsidP="008D2E39">
            <w:pPr>
              <w:cnfStyle w:val="000000100000"/>
              <w:rPr>
                <w:rFonts w:ascii="Gill Sans MT" w:hAnsi="Gill Sans MT"/>
              </w:rPr>
            </w:pPr>
            <w:r w:rsidRPr="00E83DA2">
              <w:rPr>
                <w:rFonts w:ascii="Gill Sans MT" w:hAnsi="Gill Sans MT"/>
              </w:rPr>
              <w:t>2029 – 0.96 MT</w:t>
            </w:r>
          </w:p>
        </w:tc>
        <w:tc>
          <w:tcPr>
            <w:tcW w:w="4702" w:type="dxa"/>
          </w:tcPr>
          <w:p w:rsidR="00756B53" w:rsidRPr="00E83DA2" w:rsidRDefault="00756B53" w:rsidP="008D2E39">
            <w:pPr>
              <w:pStyle w:val="ListParagraph"/>
              <w:numPr>
                <w:ilvl w:val="0"/>
                <w:numId w:val="18"/>
              </w:numPr>
              <w:ind w:left="390"/>
              <w:cnfStyle w:val="000000100000"/>
              <w:rPr>
                <w:rFonts w:ascii="Gill Sans MT" w:hAnsi="Gill Sans MT"/>
              </w:rPr>
            </w:pPr>
            <w:r w:rsidRPr="00E83DA2">
              <w:rPr>
                <w:rFonts w:ascii="Gill Sans MT" w:hAnsi="Gill Sans MT"/>
              </w:rPr>
              <w:t>Movement of coal, forestry and agriculture products</w:t>
            </w:r>
          </w:p>
        </w:tc>
      </w:tr>
    </w:tbl>
    <w:p w:rsidR="005312C9" w:rsidRPr="00A029D6" w:rsidRDefault="00756B53" w:rsidP="005312C9">
      <w:pPr>
        <w:pStyle w:val="Caption"/>
        <w:keepNext/>
        <w:jc w:val="both"/>
        <w:rPr>
          <w:rFonts w:ascii="Gill Sans MT" w:hAnsi="Gill Sans MT"/>
          <w:color w:val="auto"/>
          <w:sz w:val="22"/>
          <w:szCs w:val="22"/>
        </w:rPr>
      </w:pPr>
      <w:r w:rsidRPr="00E83DA2">
        <w:rPr>
          <w:rFonts w:ascii="Gill Sans MT" w:hAnsi="Gill Sans MT"/>
        </w:rPr>
        <w:t xml:space="preserve"> </w:t>
      </w:r>
      <w:proofErr w:type="gramStart"/>
      <w:r w:rsidR="00666BF3">
        <w:rPr>
          <w:rFonts w:ascii="Gill Sans MT" w:hAnsi="Gill Sans MT"/>
          <w:i/>
          <w:color w:val="auto"/>
          <w:sz w:val="22"/>
          <w:szCs w:val="22"/>
        </w:rPr>
        <w:t>Figure 31</w:t>
      </w:r>
      <w:r w:rsidR="005312C9" w:rsidRPr="00305E30">
        <w:rPr>
          <w:rFonts w:ascii="Gill Sans MT" w:hAnsi="Gill Sans MT"/>
          <w:i/>
          <w:color w:val="auto"/>
          <w:sz w:val="22"/>
          <w:szCs w:val="22"/>
        </w:rPr>
        <w:t>.</w:t>
      </w:r>
      <w:proofErr w:type="gramEnd"/>
      <w:r w:rsidR="005312C9" w:rsidRPr="00A029D6">
        <w:rPr>
          <w:rFonts w:ascii="Gill Sans MT" w:hAnsi="Gill Sans MT"/>
          <w:color w:val="auto"/>
          <w:sz w:val="22"/>
          <w:szCs w:val="22"/>
        </w:rPr>
        <w:t xml:space="preserve"> </w:t>
      </w:r>
      <w:r w:rsidR="005312C9">
        <w:rPr>
          <w:rFonts w:ascii="Gill Sans MT" w:hAnsi="Gill Sans MT"/>
          <w:color w:val="auto"/>
          <w:sz w:val="22"/>
          <w:szCs w:val="22"/>
        </w:rPr>
        <w:t>Projected freight volumes on regional corridors in the Northern Reg</w:t>
      </w:r>
      <w:r w:rsidR="00463F06">
        <w:rPr>
          <w:rFonts w:ascii="Gill Sans MT" w:hAnsi="Gill Sans MT"/>
          <w:color w:val="auto"/>
          <w:sz w:val="22"/>
          <w:szCs w:val="22"/>
        </w:rPr>
        <w:t>ion – Principal Freight Network</w:t>
      </w:r>
    </w:p>
    <w:p w:rsidR="00756B53" w:rsidRPr="00E83DA2" w:rsidRDefault="00756B53" w:rsidP="00756B53">
      <w:pPr>
        <w:pStyle w:val="Heading2"/>
      </w:pPr>
      <w:bookmarkStart w:id="86" w:name="_Toc332033595"/>
      <w:bookmarkStart w:id="87" w:name="_Toc332114096"/>
      <w:bookmarkStart w:id="88" w:name="_Toc332115671"/>
      <w:bookmarkStart w:id="89" w:name="_Toc332115762"/>
      <w:r w:rsidRPr="00E83DA2">
        <w:t>Ports</w:t>
      </w:r>
      <w:bookmarkEnd w:id="86"/>
      <w:bookmarkEnd w:id="87"/>
      <w:bookmarkEnd w:id="88"/>
      <w:bookmarkEnd w:id="89"/>
    </w:p>
    <w:p w:rsidR="00756B53" w:rsidRPr="00E83DA2" w:rsidRDefault="00756B53" w:rsidP="005312C9">
      <w:pPr>
        <w:rPr>
          <w:rFonts w:ascii="Gill Sans MT" w:hAnsi="Gill Sans MT"/>
        </w:rPr>
      </w:pPr>
      <w:r w:rsidRPr="00E83DA2">
        <w:rPr>
          <w:rFonts w:ascii="Gill Sans MT" w:hAnsi="Gill Sans MT"/>
        </w:rPr>
        <w:t>Ports are Tasmania’s key link to international and interstate export markets.  As an island state with an economy focused around exports, the performance of ports is a particularly critical part of Tasmania’s transport network.   There is a shipping component to most import and export freight tasks, so the reliability, capacity, efficiency and frequency of shipping services and the efficiency of port and intermodal infrastructure and operations are a significant factor in industry competitiveness.   The majority of freight is moved through the northern ports, with Bell Bay historically having the largest throughput.</w:t>
      </w:r>
    </w:p>
    <w:p w:rsidR="00756B53" w:rsidRPr="00E83DA2" w:rsidRDefault="00756B53" w:rsidP="005312C9">
      <w:pPr>
        <w:rPr>
          <w:rFonts w:ascii="Gill Sans MT" w:hAnsi="Gill Sans MT"/>
        </w:rPr>
      </w:pPr>
      <w:r w:rsidRPr="00E83DA2">
        <w:rPr>
          <w:rFonts w:ascii="Gill Sans MT" w:hAnsi="Gill Sans MT"/>
        </w:rPr>
        <w:t>Both air and sea port infrastructure is adequate for the current demand, and strategic planning for the State’s ports, focusing particularly on the ports of Bell Bay and Burnie, will help to determine how to best meet predicted growth in the Tasmanian freight task in the future.</w:t>
      </w:r>
    </w:p>
    <w:p w:rsidR="00756B53" w:rsidRPr="00E83DA2" w:rsidRDefault="00756B53" w:rsidP="005312C9">
      <w:pPr>
        <w:rPr>
          <w:rFonts w:ascii="Gill Sans MT" w:hAnsi="Gill Sans MT"/>
        </w:rPr>
      </w:pPr>
      <w:r w:rsidRPr="00E83DA2">
        <w:rPr>
          <w:rFonts w:ascii="Gill Sans MT" w:hAnsi="Gill Sans MT"/>
        </w:rPr>
        <w:t>The Bass Straight Passenger Vehicle Equalisation Scheme and the Tasmanian Freight Equalisation Scheme provide financial assistance to reduce transport disadvantage associated with moving goods across Bass Strait.</w:t>
      </w:r>
    </w:p>
    <w:p w:rsidR="00756B53" w:rsidRPr="00E83DA2" w:rsidRDefault="00756B53" w:rsidP="005312C9">
      <w:pPr>
        <w:rPr>
          <w:rFonts w:ascii="Gill Sans MT" w:hAnsi="Gill Sans MT"/>
        </w:rPr>
      </w:pPr>
      <w:r w:rsidRPr="00E83DA2">
        <w:rPr>
          <w:rFonts w:ascii="Gill Sans MT" w:hAnsi="Gill Sans MT"/>
        </w:rPr>
        <w:t xml:space="preserve">The </w:t>
      </w:r>
      <w:r w:rsidRPr="00E83DA2">
        <w:rPr>
          <w:rFonts w:ascii="Gill Sans MT" w:hAnsi="Gill Sans MT"/>
          <w:i/>
        </w:rPr>
        <w:t>National Ports Strategy</w:t>
      </w:r>
      <w:r w:rsidRPr="00E83DA2">
        <w:rPr>
          <w:rFonts w:ascii="Gill Sans MT" w:hAnsi="Gill Sans MT"/>
        </w:rPr>
        <w:t xml:space="preserve"> has been developed by Infrastructure Australia and the National Transport Commission.  The strategy focuses on improving the efficiency of port related freight movements.  While the specific actions under the strategy relate mostly to larger ports, the themes of improved efficiency and co-ordinated planning are still relevant in Tasmania.</w:t>
      </w:r>
    </w:p>
    <w:p w:rsidR="00756B53" w:rsidRPr="00E83DA2" w:rsidRDefault="00756B53" w:rsidP="005312C9">
      <w:pPr>
        <w:rPr>
          <w:rFonts w:ascii="Gill Sans MT" w:hAnsi="Gill Sans MT"/>
        </w:rPr>
      </w:pPr>
      <w:proofErr w:type="spellStart"/>
      <w:r w:rsidRPr="00E83DA2">
        <w:rPr>
          <w:rFonts w:ascii="Gill Sans MT" w:hAnsi="Gill Sans MT"/>
        </w:rPr>
        <w:t>TasPorts</w:t>
      </w:r>
      <w:proofErr w:type="spellEnd"/>
      <w:r w:rsidRPr="00E83DA2">
        <w:rPr>
          <w:rFonts w:ascii="Gill Sans MT" w:hAnsi="Gill Sans MT"/>
        </w:rPr>
        <w:t xml:space="preserve"> developed a 10 Year Infrastructure Plan in 2011, to prioritise maintenance and renewal tasks. </w:t>
      </w:r>
    </w:p>
    <w:p w:rsidR="00756B53" w:rsidRPr="00E83DA2" w:rsidRDefault="00756B53" w:rsidP="005312C9">
      <w:pPr>
        <w:rPr>
          <w:rFonts w:ascii="Gill Sans MT" w:hAnsi="Gill Sans MT"/>
        </w:rPr>
      </w:pPr>
      <w:r w:rsidRPr="00E83DA2">
        <w:rPr>
          <w:rFonts w:ascii="Gill Sans MT" w:hAnsi="Gill Sans MT"/>
        </w:rPr>
        <w:t xml:space="preserve">The Bell Bay Intermodal Expansion Project is listed on Infrastructure Australia’s priority pipeline as a project of real potential.  In the short term, expansion is planned for Burnie Port, while further expansion at Bell Bay is part of the long term strategy for increasing the capacity of the northern ports.  While the Ports are owned by the Tasmanian Government, customers and freight and logistics companies have a strong influence on how freight moves, whether it is moved by road or rail, and which port is used.  It is important to understand </w:t>
      </w:r>
      <w:r w:rsidRPr="00E83DA2">
        <w:rPr>
          <w:rFonts w:ascii="Gill Sans MT" w:hAnsi="Gill Sans MT"/>
        </w:rPr>
        <w:lastRenderedPageBreak/>
        <w:t xml:space="preserve">how commercial decisions are made which affect the future of the Northern Ports.  </w:t>
      </w:r>
    </w:p>
    <w:p w:rsidR="00756B53" w:rsidRPr="00E83DA2" w:rsidRDefault="00756B53" w:rsidP="00756B53">
      <w:pPr>
        <w:rPr>
          <w:rFonts w:ascii="Gill Sans MT" w:hAnsi="Gill Sans MT"/>
          <w:b/>
          <w:i/>
        </w:rPr>
      </w:pPr>
      <w:r w:rsidRPr="00E83DA2">
        <w:rPr>
          <w:rFonts w:ascii="Gill Sans MT" w:hAnsi="Gill Sans MT"/>
          <w:b/>
          <w:i/>
        </w:rPr>
        <w:t>Port of Melbourne Corporation Port Licence Fee</w:t>
      </w:r>
    </w:p>
    <w:p w:rsidR="00756B53" w:rsidRPr="00E83DA2" w:rsidRDefault="00756B53" w:rsidP="00756B53">
      <w:pPr>
        <w:rPr>
          <w:rFonts w:ascii="Gill Sans MT" w:hAnsi="Gill Sans MT"/>
        </w:rPr>
      </w:pPr>
      <w:r w:rsidRPr="00E83DA2">
        <w:rPr>
          <w:rFonts w:ascii="Gill Sans MT" w:hAnsi="Gill Sans MT"/>
        </w:rPr>
        <w:t>The Victorian Government legislated in February 2012 to impose a $75 million Port Licence Fee on the Port of Melbourne Corporation.  This new cost will be passed onto its customers.  Tasmanian shipping provides approximately 20% of the Port of Melbourne’s total revenue tonnage, meaning that Tasmanian shippers will be significantly affected by increased port fees.  Given that all international freight from Tasmania now has to travel through a mainland port before leaving Australia, this is an additional cost to shippers.  The Tasmanian Government has secured lower charges than were originally proposed for a number of services for the benefit of Tasmanian shippers.</w:t>
      </w:r>
    </w:p>
    <w:p w:rsidR="00756B53" w:rsidRPr="00E83DA2" w:rsidRDefault="00756B53" w:rsidP="00756B53">
      <w:pPr>
        <w:rPr>
          <w:rFonts w:ascii="Gill Sans MT" w:hAnsi="Gill Sans MT"/>
          <w:b/>
          <w:i/>
        </w:rPr>
      </w:pPr>
      <w:r w:rsidRPr="00E83DA2">
        <w:rPr>
          <w:rFonts w:ascii="Gill Sans MT" w:hAnsi="Gill Sans MT"/>
          <w:b/>
          <w:i/>
        </w:rPr>
        <w:t>Australian Government Assistance Package for Tasmanian Exporters</w:t>
      </w:r>
    </w:p>
    <w:p w:rsidR="00756B53" w:rsidRPr="00E83DA2" w:rsidRDefault="00756B53" w:rsidP="005312C9">
      <w:pPr>
        <w:shd w:val="clear" w:color="auto" w:fill="FFFFFF"/>
        <w:spacing w:after="100" w:afterAutospacing="1"/>
        <w:rPr>
          <w:rFonts w:ascii="Gill Sans MT" w:hAnsi="Gill Sans MT"/>
          <w:lang w:eastAsia="en-AU"/>
        </w:rPr>
      </w:pPr>
      <w:r w:rsidRPr="00E83DA2">
        <w:rPr>
          <w:rFonts w:ascii="Gill Sans MT" w:hAnsi="Gill Sans MT"/>
          <w:lang w:eastAsia="en-AU"/>
        </w:rPr>
        <w:t xml:space="preserve">On 22 March 2012 the Federal Minister for Infrastructure and Transport, the </w:t>
      </w:r>
      <w:r w:rsidRPr="00E83DA2">
        <w:rPr>
          <w:rFonts w:ascii="Gill Sans MT" w:hAnsi="Gill Sans MT"/>
          <w:lang w:eastAsia="en-AU"/>
        </w:rPr>
        <w:br/>
        <w:t xml:space="preserve">Hon Anthony Albanese MP, announced that the Australian Government would provide a one-off $20 million funding package to assist Tasmanian exporters to access their international markets. </w:t>
      </w:r>
    </w:p>
    <w:p w:rsidR="00756B53" w:rsidRPr="00E83DA2" w:rsidRDefault="00756B53" w:rsidP="005312C9">
      <w:pPr>
        <w:shd w:val="clear" w:color="auto" w:fill="FFFFFF"/>
        <w:spacing w:before="100" w:beforeAutospacing="1" w:after="100" w:afterAutospacing="1"/>
        <w:rPr>
          <w:rFonts w:ascii="Gill Sans MT" w:hAnsi="Gill Sans MT"/>
          <w:lang w:eastAsia="en-AU"/>
        </w:rPr>
      </w:pPr>
      <w:r w:rsidRPr="00E83DA2">
        <w:rPr>
          <w:rFonts w:ascii="Gill Sans MT" w:hAnsi="Gill Sans MT"/>
          <w:lang w:eastAsia="en-AU"/>
        </w:rPr>
        <w:t xml:space="preserve">DIER is responsible for the management and administration of the assistance package, on behalf of the Tasmanian Government. </w:t>
      </w:r>
    </w:p>
    <w:p w:rsidR="00756B53" w:rsidRPr="00E83DA2" w:rsidRDefault="00756B53" w:rsidP="005312C9">
      <w:pPr>
        <w:shd w:val="clear" w:color="auto" w:fill="FFFFFF"/>
        <w:spacing w:before="100" w:beforeAutospacing="1" w:after="100" w:afterAutospacing="1"/>
        <w:rPr>
          <w:rFonts w:ascii="Gill Sans MT" w:hAnsi="Gill Sans MT"/>
          <w:lang w:eastAsia="en-AU"/>
        </w:rPr>
      </w:pPr>
      <w:r w:rsidRPr="00E83DA2">
        <w:rPr>
          <w:rFonts w:ascii="Gill Sans MT" w:hAnsi="Gill Sans MT"/>
          <w:lang w:eastAsia="en-AU"/>
        </w:rPr>
        <w:t xml:space="preserve">The funding is being used to provide immediate and direct financial assistance to exporters, invest in critical infrastructure improvements and assist with longer-term strategic planning and freight logistics coordination. </w:t>
      </w:r>
    </w:p>
    <w:p w:rsidR="00756B53" w:rsidRPr="00E83DA2" w:rsidRDefault="00756B53" w:rsidP="005312C9">
      <w:pPr>
        <w:shd w:val="clear" w:color="auto" w:fill="FFFFFF"/>
        <w:spacing w:before="100" w:beforeAutospacing="1" w:after="100" w:afterAutospacing="1"/>
        <w:rPr>
          <w:rFonts w:ascii="Gill Sans MT" w:hAnsi="Gill Sans MT"/>
          <w:lang w:eastAsia="en-AU"/>
        </w:rPr>
      </w:pPr>
      <w:r w:rsidRPr="00E83DA2">
        <w:rPr>
          <w:rFonts w:ascii="Gill Sans MT" w:hAnsi="Gill Sans MT"/>
          <w:lang w:eastAsia="en-AU"/>
        </w:rPr>
        <w:t xml:space="preserve">$14.5 million has been allocated to a one-off grant program – the </w:t>
      </w:r>
      <w:r w:rsidRPr="00E83DA2">
        <w:rPr>
          <w:rFonts w:ascii="Gill Sans MT" w:hAnsi="Gill Sans MT"/>
          <w:i/>
          <w:lang w:eastAsia="en-AU"/>
        </w:rPr>
        <w:t>Tasmanian Shipping Transition Assistance</w:t>
      </w:r>
      <w:r w:rsidRPr="00E83DA2">
        <w:rPr>
          <w:rFonts w:ascii="Gill Sans MT" w:hAnsi="Gill Sans MT"/>
          <w:lang w:eastAsia="en-AU"/>
        </w:rPr>
        <w:t xml:space="preserve"> </w:t>
      </w:r>
      <w:r w:rsidRPr="00E83DA2">
        <w:rPr>
          <w:rFonts w:ascii="Gill Sans MT" w:hAnsi="Gill Sans MT"/>
          <w:i/>
          <w:lang w:eastAsia="en-AU"/>
        </w:rPr>
        <w:t>Fund</w:t>
      </w:r>
      <w:r w:rsidRPr="00E83DA2">
        <w:rPr>
          <w:rFonts w:ascii="Gill Sans MT" w:hAnsi="Gill Sans MT"/>
          <w:lang w:eastAsia="en-AU"/>
        </w:rPr>
        <w:t xml:space="preserve"> - to help reduce the financial impact of increasing shipping costs for Tasmanian exporters, particularly those businesses that were directly impacted by the cessation in April 2011 of the AAA direct international container service from the Bell Bay Port. </w:t>
      </w:r>
    </w:p>
    <w:p w:rsidR="00756B53" w:rsidRPr="00E83DA2" w:rsidRDefault="00756B53" w:rsidP="005312C9">
      <w:pPr>
        <w:shd w:val="clear" w:color="auto" w:fill="FFFFFF"/>
        <w:spacing w:before="100" w:beforeAutospacing="1" w:after="100" w:afterAutospacing="1"/>
        <w:rPr>
          <w:rFonts w:ascii="Gill Sans MT" w:hAnsi="Gill Sans MT"/>
          <w:lang w:eastAsia="en-AU"/>
        </w:rPr>
      </w:pPr>
      <w:r w:rsidRPr="00E83DA2">
        <w:rPr>
          <w:rFonts w:ascii="Gill Sans MT" w:hAnsi="Gill Sans MT"/>
          <w:lang w:eastAsia="en-AU"/>
        </w:rPr>
        <w:t>The core objective of the Fund is to help individual companies with the costs of transition measures already undertaken and/or the implementation of strategies that will help them maintain their competitiveness in accessing international markets on an ongoing basis.</w:t>
      </w:r>
    </w:p>
    <w:p w:rsidR="00756B53" w:rsidRPr="00E83DA2" w:rsidRDefault="00463F06" w:rsidP="005312C9">
      <w:pPr>
        <w:shd w:val="clear" w:color="auto" w:fill="FFFFFF"/>
        <w:spacing w:before="100" w:beforeAutospacing="1" w:after="100" w:afterAutospacing="1"/>
        <w:rPr>
          <w:rFonts w:ascii="Gill Sans MT" w:hAnsi="Gill Sans MT"/>
          <w:lang w:eastAsia="en-AU"/>
        </w:rPr>
      </w:pPr>
      <w:r>
        <w:rPr>
          <w:rFonts w:ascii="Gill Sans MT" w:hAnsi="Gill Sans MT"/>
          <w:lang w:eastAsia="en-AU"/>
        </w:rPr>
        <w:t xml:space="preserve">Grant </w:t>
      </w:r>
      <w:r w:rsidR="00756B53" w:rsidRPr="00E83DA2">
        <w:rPr>
          <w:rFonts w:ascii="Gill Sans MT" w:hAnsi="Gill Sans MT"/>
          <w:lang w:eastAsia="en-AU"/>
        </w:rPr>
        <w:t>payments to successful eligible applicants w</w:t>
      </w:r>
      <w:r>
        <w:rPr>
          <w:rFonts w:ascii="Gill Sans MT" w:hAnsi="Gill Sans MT"/>
          <w:lang w:eastAsia="en-AU"/>
        </w:rPr>
        <w:t>ere progressed in</w:t>
      </w:r>
      <w:r w:rsidR="00756B53" w:rsidRPr="00E83DA2">
        <w:rPr>
          <w:rFonts w:ascii="Gill Sans MT" w:hAnsi="Gill Sans MT"/>
          <w:lang w:eastAsia="en-AU"/>
        </w:rPr>
        <w:t xml:space="preserve"> October 2012.  </w:t>
      </w:r>
    </w:p>
    <w:p w:rsidR="00756B53" w:rsidRPr="00E83DA2" w:rsidRDefault="00756B53" w:rsidP="005312C9">
      <w:pPr>
        <w:rPr>
          <w:rFonts w:ascii="Gill Sans MT" w:hAnsi="Gill Sans MT"/>
        </w:rPr>
      </w:pPr>
      <w:r w:rsidRPr="00E83DA2">
        <w:rPr>
          <w:rFonts w:ascii="Gill Sans MT" w:hAnsi="Gill Sans MT"/>
        </w:rPr>
        <w:t xml:space="preserve">Global trends such as larger ships and larger containers mean that it is difficult for Tasmania to continue to be serviced directly by international shipping lines.  All international freight now moves through mainland ports, primarily the Port of Melbourne.    </w:t>
      </w:r>
    </w:p>
    <w:p w:rsidR="00756B53" w:rsidRPr="00E83DA2" w:rsidRDefault="00756B53" w:rsidP="00756B53">
      <w:pPr>
        <w:pStyle w:val="Heading4"/>
      </w:pPr>
      <w:r w:rsidRPr="00E83DA2">
        <w:lastRenderedPageBreak/>
        <w:t>Sea Ports</w:t>
      </w:r>
    </w:p>
    <w:p w:rsidR="00756B53" w:rsidRPr="00E83DA2" w:rsidRDefault="00756B53" w:rsidP="00756B53">
      <w:pPr>
        <w:rPr>
          <w:rFonts w:ascii="Gill Sans MT" w:hAnsi="Gill Sans MT"/>
        </w:rPr>
      </w:pPr>
      <w:r w:rsidRPr="00E83DA2">
        <w:rPr>
          <w:rFonts w:ascii="Gill Sans MT" w:hAnsi="Gill Sans MT"/>
        </w:rPr>
        <w:t>The Port of Launceston handled the highest overall tonnage of all ports in 2010/11 at just over 4 million tonnes (30% of the State’s total freight) and is a major container and bulk goods port. It is located 48km north of Launceston at Bell Bay, on the eastern bank of the Tamar River near George Town.   The port has good road and rail access from the north east and south. The Bell Bay industrial area is a key location for metal manufacturing and forestry freight processing, and the port moves significant volumes of freight associated with these industries.  Recent changes to shipping arrangements at Bell Bay have resulted in a substantial decline in container movements since 2009-10.</w:t>
      </w:r>
    </w:p>
    <w:p w:rsidR="00756B53" w:rsidRPr="00E83DA2" w:rsidRDefault="00756B53" w:rsidP="005312C9">
      <w:pPr>
        <w:rPr>
          <w:rFonts w:ascii="Gill Sans MT" w:hAnsi="Gill Sans MT"/>
        </w:rPr>
      </w:pPr>
      <w:r w:rsidRPr="00E83DA2">
        <w:rPr>
          <w:rFonts w:ascii="Gill Sans MT" w:hAnsi="Gill Sans MT"/>
        </w:rPr>
        <w:t>Tasmania’s container freight task has grown by 40% from 2001/02 to 2010/11.  During this time, Bell Bay’s container throughput has risen some years but overall has decreased by 2%.  Overall, Tasmania’s sea freight task has decreased by 7% during this time, while Bell Bay’s total throughput decreased by 15%.</w:t>
      </w:r>
    </w:p>
    <w:p w:rsidR="00756B53" w:rsidRPr="00E83DA2" w:rsidRDefault="00756B53" w:rsidP="005312C9">
      <w:pPr>
        <w:rPr>
          <w:rFonts w:ascii="Gill Sans MT" w:hAnsi="Gill Sans MT"/>
        </w:rPr>
      </w:pPr>
      <w:r w:rsidRPr="00E83DA2">
        <w:rPr>
          <w:rFonts w:ascii="Gill Sans MT" w:hAnsi="Gill Sans MT"/>
        </w:rPr>
        <w:t>While Bell Bay Port expansion is now a longer term project, there are some works planned for areas around the port to improve safety and efficiency including:</w:t>
      </w:r>
    </w:p>
    <w:p w:rsidR="00756B53" w:rsidRPr="00E83DA2" w:rsidRDefault="00756B53" w:rsidP="005312C9">
      <w:pPr>
        <w:pStyle w:val="ListParagraph"/>
        <w:numPr>
          <w:ilvl w:val="0"/>
          <w:numId w:val="18"/>
        </w:numPr>
        <w:ind w:left="426"/>
        <w:rPr>
          <w:rFonts w:ascii="Gill Sans MT" w:hAnsi="Gill Sans MT"/>
        </w:rPr>
      </w:pPr>
      <w:r w:rsidRPr="00E83DA2">
        <w:rPr>
          <w:rFonts w:ascii="Gill Sans MT" w:hAnsi="Gill Sans MT" w:cs="Arial"/>
          <w:lang w:val="en-US"/>
        </w:rPr>
        <w:t xml:space="preserve">Bell Bay Intermodal $9.1 million ($5.2 million from Australian Government and $3.92 from State Government) for improvements to </w:t>
      </w:r>
      <w:r w:rsidRPr="00E83DA2">
        <w:rPr>
          <w:rFonts w:ascii="Gill Sans MT" w:hAnsi="Gill Sans MT" w:cs="Arial"/>
        </w:rPr>
        <w:t>hardstand at George Town rail yards and</w:t>
      </w:r>
      <w:r w:rsidRPr="00E83DA2">
        <w:rPr>
          <w:rFonts w:ascii="Gill Sans MT" w:hAnsi="Gill Sans MT" w:cs="Arial"/>
          <w:color w:val="FF0000"/>
        </w:rPr>
        <w:t xml:space="preserve"> </w:t>
      </w:r>
      <w:r w:rsidRPr="00E83DA2">
        <w:rPr>
          <w:rFonts w:ascii="Gill Sans MT" w:hAnsi="Gill Sans MT" w:cs="Arial"/>
        </w:rPr>
        <w:t xml:space="preserve">upgrading of freight road access to rail yards will improve efficiency and rail access to wharf area.  This is a </w:t>
      </w:r>
      <w:r w:rsidRPr="00E83DA2">
        <w:rPr>
          <w:rFonts w:ascii="Gill Sans MT" w:hAnsi="Gill Sans MT" w:cs="Arial"/>
          <w:lang w:val="en-US"/>
        </w:rPr>
        <w:t xml:space="preserve">joint project between the Australian and State Governments, </w:t>
      </w:r>
      <w:proofErr w:type="spellStart"/>
      <w:r w:rsidRPr="00E83DA2">
        <w:rPr>
          <w:rFonts w:ascii="Gill Sans MT" w:hAnsi="Gill Sans MT" w:cs="Arial"/>
          <w:lang w:val="en-US"/>
        </w:rPr>
        <w:t>TasRail</w:t>
      </w:r>
      <w:proofErr w:type="spellEnd"/>
      <w:r w:rsidRPr="00E83DA2">
        <w:rPr>
          <w:rFonts w:ascii="Gill Sans MT" w:hAnsi="Gill Sans MT" w:cs="Arial"/>
          <w:lang w:val="en-US"/>
        </w:rPr>
        <w:t xml:space="preserve"> and </w:t>
      </w:r>
      <w:proofErr w:type="spellStart"/>
      <w:r w:rsidRPr="00E83DA2">
        <w:rPr>
          <w:rFonts w:ascii="Gill Sans MT" w:hAnsi="Gill Sans MT" w:cs="Arial"/>
          <w:lang w:val="en-US"/>
        </w:rPr>
        <w:t>TasPorts</w:t>
      </w:r>
      <w:proofErr w:type="spellEnd"/>
      <w:r w:rsidRPr="00E83DA2">
        <w:rPr>
          <w:rFonts w:ascii="Gill Sans MT" w:hAnsi="Gill Sans MT" w:cs="Arial"/>
          <w:lang w:val="en-US"/>
        </w:rPr>
        <w:t xml:space="preserve">.  </w:t>
      </w:r>
      <w:r w:rsidR="0063219B">
        <w:rPr>
          <w:rFonts w:ascii="Gill Sans MT" w:hAnsi="Gill Sans MT" w:cs="Arial"/>
          <w:lang w:val="en-US"/>
        </w:rPr>
        <w:t>The</w:t>
      </w:r>
      <w:r w:rsidRPr="00E83DA2">
        <w:rPr>
          <w:rFonts w:ascii="Gill Sans MT" w:hAnsi="Gill Sans MT" w:cs="Arial"/>
          <w:lang w:val="en-US"/>
        </w:rPr>
        <w:t xml:space="preserve"> Australian Government </w:t>
      </w:r>
      <w:proofErr w:type="gramStart"/>
      <w:r w:rsidR="0063219B">
        <w:rPr>
          <w:rFonts w:ascii="Gill Sans MT" w:hAnsi="Gill Sans MT" w:cs="Arial"/>
          <w:lang w:val="en-US"/>
        </w:rPr>
        <w:t>are</w:t>
      </w:r>
      <w:proofErr w:type="gramEnd"/>
      <w:r w:rsidR="0063219B">
        <w:rPr>
          <w:rFonts w:ascii="Gill Sans MT" w:hAnsi="Gill Sans MT" w:cs="Arial"/>
          <w:lang w:val="en-US"/>
        </w:rPr>
        <w:t xml:space="preserve"> considering this proposal but have some concerns about the low cost benefit ratio.  Approval </w:t>
      </w:r>
      <w:r w:rsidRPr="00E83DA2">
        <w:rPr>
          <w:rFonts w:ascii="Gill Sans MT" w:hAnsi="Gill Sans MT" w:cs="Arial"/>
          <w:lang w:val="en-US"/>
        </w:rPr>
        <w:t xml:space="preserve">will be required </w:t>
      </w:r>
      <w:r w:rsidR="0063219B">
        <w:rPr>
          <w:rFonts w:ascii="Gill Sans MT" w:hAnsi="Gill Sans MT" w:cs="Arial"/>
          <w:lang w:val="en-US"/>
        </w:rPr>
        <w:t>in order to commence</w:t>
      </w:r>
      <w:r w:rsidRPr="00E83DA2">
        <w:rPr>
          <w:rFonts w:ascii="Gill Sans MT" w:hAnsi="Gill Sans MT" w:cs="Arial"/>
          <w:lang w:val="en-US"/>
        </w:rPr>
        <w:t xml:space="preserve"> the project.</w:t>
      </w:r>
    </w:p>
    <w:p w:rsidR="00756B53" w:rsidRPr="00E83DA2" w:rsidRDefault="00756B53" w:rsidP="005312C9">
      <w:pPr>
        <w:pStyle w:val="ListParagraph"/>
        <w:numPr>
          <w:ilvl w:val="0"/>
          <w:numId w:val="18"/>
        </w:numPr>
        <w:ind w:left="426"/>
        <w:rPr>
          <w:rFonts w:ascii="Gill Sans MT" w:hAnsi="Gill Sans MT" w:cs="Arial"/>
          <w:lang w:val="en-US"/>
        </w:rPr>
      </w:pPr>
      <w:r w:rsidRPr="00E83DA2">
        <w:rPr>
          <w:rFonts w:ascii="Gill Sans MT" w:hAnsi="Gill Sans MT" w:cs="Arial"/>
          <w:lang w:val="en-US"/>
        </w:rPr>
        <w:t xml:space="preserve">Bell Bay Main Road $1 million (Community Roads Package) for traffic safety and efficiency improvements at the Mobil Road and </w:t>
      </w:r>
      <w:proofErr w:type="spellStart"/>
      <w:r w:rsidRPr="00E83DA2">
        <w:rPr>
          <w:rFonts w:ascii="Gill Sans MT" w:hAnsi="Gill Sans MT" w:cs="Arial"/>
          <w:lang w:val="en-US"/>
        </w:rPr>
        <w:t>Temco</w:t>
      </w:r>
      <w:proofErr w:type="spellEnd"/>
      <w:r w:rsidRPr="00E83DA2">
        <w:rPr>
          <w:rFonts w:ascii="Gill Sans MT" w:hAnsi="Gill Sans MT" w:cs="Arial"/>
          <w:lang w:val="en-US"/>
        </w:rPr>
        <w:t xml:space="preserve"> Road junctions with Bell Bay Main Road for heavy vehicles. Detailed planning and design commenced in 2011-12. Construction is scheduled to commence in 2012-13.</w:t>
      </w:r>
    </w:p>
    <w:p w:rsidR="00756B53" w:rsidRPr="00E83DA2" w:rsidRDefault="00756B53" w:rsidP="005312C9">
      <w:pPr>
        <w:pStyle w:val="Heading5"/>
      </w:pPr>
      <w:r w:rsidRPr="00E83DA2">
        <w:t>Bridport/Lady Barron Port</w:t>
      </w:r>
    </w:p>
    <w:p w:rsidR="00756B53" w:rsidRPr="00E83DA2" w:rsidRDefault="00756B53" w:rsidP="00756B53">
      <w:pPr>
        <w:rPr>
          <w:rFonts w:ascii="Gill Sans MT" w:hAnsi="Gill Sans MT"/>
        </w:rPr>
      </w:pPr>
      <w:r w:rsidRPr="00E83DA2">
        <w:rPr>
          <w:rFonts w:ascii="Gill Sans MT" w:hAnsi="Gill Sans MT"/>
        </w:rPr>
        <w:t xml:space="preserve">Ports at Bridport and Lady Barron provide an important connection to Flinders Island. Regular freight movements are carried between these points, consisting predominantly of agricultural exports from Lady Barron, with general import items to the island.  </w:t>
      </w:r>
      <w:bookmarkStart w:id="90" w:name="OLE_LINK18"/>
      <w:bookmarkStart w:id="91" w:name="OLE_LINK19"/>
      <w:r w:rsidRPr="00E83DA2">
        <w:rPr>
          <w:rFonts w:ascii="Gill Sans MT" w:hAnsi="Gill Sans MT"/>
        </w:rPr>
        <w:t>Development at Lady Barron Port valued at $1.6million is due to start in late 2012 with work focusing on:</w:t>
      </w:r>
    </w:p>
    <w:p w:rsidR="00756B53" w:rsidRPr="00E83DA2" w:rsidRDefault="00756B53" w:rsidP="005312C9">
      <w:pPr>
        <w:pStyle w:val="ListParagraph"/>
        <w:numPr>
          <w:ilvl w:val="0"/>
          <w:numId w:val="18"/>
        </w:numPr>
        <w:ind w:left="426"/>
        <w:rPr>
          <w:rFonts w:ascii="Gill Sans MT" w:hAnsi="Gill Sans MT"/>
        </w:rPr>
      </w:pPr>
      <w:r w:rsidRPr="00E83DA2">
        <w:rPr>
          <w:rFonts w:ascii="Gill Sans MT" w:hAnsi="Gill Sans MT"/>
        </w:rPr>
        <w:t>Increasing the operational capacity and efficiency of port operations</w:t>
      </w:r>
    </w:p>
    <w:p w:rsidR="00756B53" w:rsidRPr="00E83DA2" w:rsidRDefault="00756B53" w:rsidP="005312C9">
      <w:pPr>
        <w:pStyle w:val="ListParagraph"/>
        <w:numPr>
          <w:ilvl w:val="0"/>
          <w:numId w:val="18"/>
        </w:numPr>
        <w:ind w:left="426"/>
        <w:rPr>
          <w:rFonts w:ascii="Gill Sans MT" w:hAnsi="Gill Sans MT"/>
        </w:rPr>
      </w:pPr>
      <w:r w:rsidRPr="00E83DA2">
        <w:rPr>
          <w:rFonts w:ascii="Gill Sans MT" w:hAnsi="Gill Sans MT"/>
        </w:rPr>
        <w:t>Improving the level of safety for users of the port and the adjoining facilities for segregating the public usage areas from the port operations</w:t>
      </w:r>
    </w:p>
    <w:bookmarkEnd w:id="90"/>
    <w:bookmarkEnd w:id="91"/>
    <w:p w:rsidR="007C4D68" w:rsidRDefault="007C4D68" w:rsidP="00756B53">
      <w:pPr>
        <w:rPr>
          <w:rFonts w:ascii="Gill Sans MT" w:hAnsi="Gill Sans MT"/>
        </w:rPr>
      </w:pPr>
    </w:p>
    <w:p w:rsidR="007C4D68" w:rsidRDefault="007C4D68" w:rsidP="00756B53">
      <w:pPr>
        <w:rPr>
          <w:rFonts w:ascii="Gill Sans MT" w:hAnsi="Gill Sans MT"/>
        </w:rPr>
      </w:pPr>
    </w:p>
    <w:p w:rsidR="00756B53" w:rsidRPr="00E83DA2" w:rsidRDefault="00756B53" w:rsidP="00756B53">
      <w:pPr>
        <w:rPr>
          <w:rFonts w:ascii="Gill Sans MT" w:hAnsi="Gill Sans MT"/>
        </w:rPr>
      </w:pPr>
      <w:r w:rsidRPr="00E83DA2">
        <w:rPr>
          <w:rFonts w:ascii="Gill Sans MT" w:hAnsi="Gill Sans MT"/>
        </w:rPr>
        <w:t>Work will include:</w:t>
      </w:r>
    </w:p>
    <w:p w:rsidR="00756B53" w:rsidRPr="00E83DA2" w:rsidRDefault="00756B53" w:rsidP="005312C9">
      <w:pPr>
        <w:pStyle w:val="ListParagraph"/>
        <w:numPr>
          <w:ilvl w:val="0"/>
          <w:numId w:val="45"/>
        </w:numPr>
        <w:ind w:left="426"/>
        <w:rPr>
          <w:rFonts w:ascii="Gill Sans MT" w:hAnsi="Gill Sans MT"/>
        </w:rPr>
      </w:pPr>
      <w:r w:rsidRPr="00E83DA2">
        <w:rPr>
          <w:rFonts w:ascii="Gill Sans MT" w:hAnsi="Gill Sans MT"/>
        </w:rPr>
        <w:t>Construction of additional sheep and cattle pens with realignment of existing stock rase and a new multi-purpose ramp</w:t>
      </w:r>
    </w:p>
    <w:p w:rsidR="00756B53" w:rsidRPr="00E83DA2" w:rsidRDefault="00756B53" w:rsidP="005312C9">
      <w:pPr>
        <w:pStyle w:val="ListParagraph"/>
        <w:numPr>
          <w:ilvl w:val="0"/>
          <w:numId w:val="45"/>
        </w:numPr>
        <w:ind w:left="426"/>
        <w:rPr>
          <w:rFonts w:ascii="Gill Sans MT" w:hAnsi="Gill Sans MT"/>
        </w:rPr>
      </w:pPr>
      <w:r w:rsidRPr="00E83DA2">
        <w:rPr>
          <w:rFonts w:ascii="Gill Sans MT" w:hAnsi="Gill Sans MT"/>
        </w:rPr>
        <w:t>Demolition of western fish processing building and construction of new public access road to the boat ramp</w:t>
      </w:r>
    </w:p>
    <w:p w:rsidR="00756B53" w:rsidRPr="00E83DA2" w:rsidRDefault="00756B53" w:rsidP="005312C9">
      <w:pPr>
        <w:pStyle w:val="ListParagraph"/>
        <w:numPr>
          <w:ilvl w:val="0"/>
          <w:numId w:val="45"/>
        </w:numPr>
        <w:ind w:left="426"/>
        <w:rPr>
          <w:rFonts w:ascii="Gill Sans MT" w:hAnsi="Gill Sans MT"/>
        </w:rPr>
      </w:pPr>
      <w:r w:rsidRPr="00E83DA2">
        <w:rPr>
          <w:rFonts w:ascii="Gill Sans MT" w:hAnsi="Gill Sans MT"/>
        </w:rPr>
        <w:t>Provision of new underground power and the installation of new fold down light poles in the port</w:t>
      </w:r>
    </w:p>
    <w:p w:rsidR="00756B53" w:rsidRDefault="00756B53" w:rsidP="005312C9">
      <w:pPr>
        <w:pStyle w:val="ListParagraph"/>
        <w:numPr>
          <w:ilvl w:val="0"/>
          <w:numId w:val="45"/>
        </w:numPr>
        <w:ind w:left="426"/>
        <w:rPr>
          <w:rFonts w:ascii="Gill Sans MT" w:hAnsi="Gill Sans MT"/>
        </w:rPr>
      </w:pPr>
      <w:r w:rsidRPr="00E83DA2">
        <w:rPr>
          <w:rFonts w:ascii="Gill Sans MT" w:hAnsi="Gill Sans MT"/>
        </w:rPr>
        <w:t>Provision of transit area with dedicated parking area for the public to pick up and drop off goods</w:t>
      </w:r>
    </w:p>
    <w:p w:rsidR="005312C9" w:rsidRPr="00E83DA2" w:rsidRDefault="005312C9" w:rsidP="005312C9">
      <w:pPr>
        <w:pStyle w:val="ListParagraph"/>
        <w:numPr>
          <w:ilvl w:val="0"/>
          <w:numId w:val="45"/>
        </w:numPr>
        <w:ind w:left="426"/>
        <w:rPr>
          <w:rFonts w:ascii="Gill Sans MT" w:hAnsi="Gill Sans MT"/>
        </w:rPr>
      </w:pPr>
      <w:r>
        <w:rPr>
          <w:rFonts w:ascii="Gill Sans MT" w:hAnsi="Gill Sans MT"/>
        </w:rPr>
        <w:t>Expansion of the northern and southern marshalling/container areas</w:t>
      </w:r>
    </w:p>
    <w:tbl>
      <w:tblPr>
        <w:tblpPr w:leftFromText="180" w:rightFromText="180" w:vertAnchor="text" w:horzAnchor="margin" w:tblpY="391"/>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851"/>
        <w:gridCol w:w="4820"/>
      </w:tblGrid>
      <w:tr w:rsidR="005312C9" w:rsidRPr="00E83DA2" w:rsidTr="005312C9">
        <w:trPr>
          <w:cantSplit/>
          <w:tblHeader/>
        </w:trPr>
        <w:tc>
          <w:tcPr>
            <w:tcW w:w="1260" w:type="dxa"/>
            <w:tcBorders>
              <w:top w:val="single" w:sz="4" w:space="0" w:color="auto"/>
              <w:left w:val="nil"/>
              <w:bottom w:val="single" w:sz="4" w:space="0" w:color="auto"/>
              <w:right w:val="nil"/>
            </w:tcBorders>
            <w:shd w:val="clear" w:color="auto" w:fill="F3F3F3"/>
          </w:tcPr>
          <w:p w:rsidR="005312C9" w:rsidRPr="00E83DA2" w:rsidRDefault="005312C9" w:rsidP="005312C9">
            <w:pPr>
              <w:spacing w:after="120"/>
              <w:jc w:val="both"/>
              <w:rPr>
                <w:rFonts w:ascii="Gill Sans MT" w:hAnsi="Gill Sans MT" w:cs="Arial"/>
                <w:b/>
                <w:bCs/>
                <w:sz w:val="18"/>
                <w:lang w:val="en-US"/>
              </w:rPr>
            </w:pPr>
            <w:r w:rsidRPr="00E83DA2">
              <w:rPr>
                <w:rFonts w:ascii="Gill Sans MT" w:hAnsi="Gill Sans MT" w:cs="Arial"/>
                <w:b/>
                <w:bCs/>
                <w:sz w:val="18"/>
                <w:lang w:val="en-US"/>
              </w:rPr>
              <w:t>Port</w:t>
            </w:r>
          </w:p>
        </w:tc>
        <w:tc>
          <w:tcPr>
            <w:tcW w:w="2851" w:type="dxa"/>
            <w:tcBorders>
              <w:top w:val="single" w:sz="4" w:space="0" w:color="auto"/>
              <w:left w:val="nil"/>
              <w:bottom w:val="single" w:sz="4" w:space="0" w:color="auto"/>
              <w:right w:val="nil"/>
            </w:tcBorders>
            <w:shd w:val="clear" w:color="auto" w:fill="F3F3F3"/>
          </w:tcPr>
          <w:p w:rsidR="005312C9" w:rsidRPr="00E83DA2" w:rsidRDefault="005312C9" w:rsidP="005312C9">
            <w:pPr>
              <w:spacing w:after="120"/>
              <w:jc w:val="both"/>
              <w:rPr>
                <w:rFonts w:ascii="Gill Sans MT" w:hAnsi="Gill Sans MT" w:cs="Arial"/>
                <w:b/>
                <w:bCs/>
                <w:sz w:val="18"/>
                <w:lang w:val="en-US"/>
              </w:rPr>
            </w:pPr>
            <w:r w:rsidRPr="00E83DA2">
              <w:rPr>
                <w:rFonts w:ascii="Gill Sans MT" w:hAnsi="Gill Sans MT" w:cs="Arial"/>
                <w:b/>
                <w:bCs/>
                <w:sz w:val="18"/>
                <w:lang w:val="en-US"/>
              </w:rPr>
              <w:t>Services</w:t>
            </w:r>
          </w:p>
        </w:tc>
        <w:tc>
          <w:tcPr>
            <w:tcW w:w="4820" w:type="dxa"/>
            <w:tcBorders>
              <w:top w:val="single" w:sz="4" w:space="0" w:color="auto"/>
              <w:left w:val="nil"/>
              <w:bottom w:val="single" w:sz="4" w:space="0" w:color="auto"/>
              <w:right w:val="nil"/>
            </w:tcBorders>
            <w:shd w:val="clear" w:color="auto" w:fill="F3F3F3"/>
          </w:tcPr>
          <w:p w:rsidR="005312C9" w:rsidRPr="00E83DA2" w:rsidRDefault="005312C9" w:rsidP="005312C9">
            <w:pPr>
              <w:spacing w:after="120"/>
              <w:jc w:val="both"/>
              <w:rPr>
                <w:rFonts w:ascii="Gill Sans MT" w:hAnsi="Gill Sans MT" w:cs="Arial"/>
                <w:b/>
                <w:bCs/>
                <w:sz w:val="18"/>
                <w:lang w:val="en-US"/>
              </w:rPr>
            </w:pPr>
            <w:r w:rsidRPr="00E83DA2">
              <w:rPr>
                <w:rFonts w:ascii="Gill Sans MT" w:hAnsi="Gill Sans MT" w:cs="Arial"/>
                <w:b/>
                <w:bCs/>
                <w:sz w:val="18"/>
                <w:lang w:val="en-US"/>
              </w:rPr>
              <w:t xml:space="preserve">Infrastructure </w:t>
            </w:r>
          </w:p>
        </w:tc>
      </w:tr>
      <w:tr w:rsidR="005312C9" w:rsidRPr="00E83DA2" w:rsidTr="005312C9">
        <w:trPr>
          <w:cantSplit/>
          <w:trHeight w:val="1033"/>
        </w:trPr>
        <w:tc>
          <w:tcPr>
            <w:tcW w:w="1260" w:type="dxa"/>
            <w:tcBorders>
              <w:top w:val="single" w:sz="4" w:space="0" w:color="auto"/>
              <w:left w:val="nil"/>
              <w:bottom w:val="single" w:sz="4" w:space="0" w:color="auto"/>
              <w:right w:val="nil"/>
            </w:tcBorders>
          </w:tcPr>
          <w:p w:rsidR="005312C9" w:rsidRPr="00E83DA2" w:rsidRDefault="005312C9" w:rsidP="005312C9">
            <w:pPr>
              <w:spacing w:after="120"/>
              <w:jc w:val="both"/>
              <w:rPr>
                <w:rFonts w:ascii="Gill Sans MT" w:hAnsi="Gill Sans MT" w:cs="Arial"/>
                <w:b/>
                <w:bCs/>
                <w:sz w:val="18"/>
                <w:lang w:val="en-US"/>
              </w:rPr>
            </w:pPr>
            <w:r w:rsidRPr="00E83DA2">
              <w:rPr>
                <w:rFonts w:ascii="Gill Sans MT" w:hAnsi="Gill Sans MT" w:cs="Arial"/>
                <w:b/>
                <w:bCs/>
                <w:sz w:val="18"/>
                <w:lang w:val="en-US"/>
              </w:rPr>
              <w:t>Bell Bay</w:t>
            </w:r>
          </w:p>
        </w:tc>
        <w:tc>
          <w:tcPr>
            <w:tcW w:w="2851" w:type="dxa"/>
            <w:tcBorders>
              <w:top w:val="single" w:sz="4" w:space="0" w:color="auto"/>
              <w:left w:val="nil"/>
              <w:bottom w:val="single" w:sz="4" w:space="0" w:color="auto"/>
              <w:right w:val="nil"/>
            </w:tcBorders>
          </w:tcPr>
          <w:p w:rsidR="005312C9" w:rsidRPr="00E83DA2" w:rsidRDefault="005312C9" w:rsidP="005312C9">
            <w:pPr>
              <w:tabs>
                <w:tab w:val="left" w:pos="252"/>
              </w:tabs>
              <w:spacing w:after="120"/>
              <w:rPr>
                <w:rFonts w:ascii="Gill Sans MT" w:hAnsi="Gill Sans MT" w:cs="Arial"/>
                <w:sz w:val="18"/>
                <w:lang w:val="en-US"/>
              </w:rPr>
            </w:pPr>
            <w:r w:rsidRPr="00E83DA2">
              <w:rPr>
                <w:rFonts w:ascii="Gill Sans MT" w:hAnsi="Gill Sans MT" w:cs="Arial"/>
                <w:sz w:val="18"/>
                <w:lang w:val="en-US"/>
              </w:rPr>
              <w:t>Bulk shipping services including woodchips.</w:t>
            </w:r>
          </w:p>
        </w:tc>
        <w:tc>
          <w:tcPr>
            <w:tcW w:w="4820" w:type="dxa"/>
            <w:tcBorders>
              <w:top w:val="single" w:sz="4" w:space="0" w:color="auto"/>
              <w:left w:val="nil"/>
              <w:bottom w:val="single" w:sz="4" w:space="0" w:color="auto"/>
              <w:right w:val="nil"/>
            </w:tcBorders>
          </w:tcPr>
          <w:p w:rsidR="005312C9" w:rsidRPr="00E83DA2" w:rsidRDefault="005312C9" w:rsidP="005312C9">
            <w:pPr>
              <w:spacing w:after="120"/>
              <w:rPr>
                <w:rFonts w:ascii="Gill Sans MT" w:hAnsi="Gill Sans MT" w:cs="Arial"/>
                <w:sz w:val="18"/>
                <w:lang w:val="en-US"/>
              </w:rPr>
            </w:pPr>
            <w:r w:rsidRPr="00E83DA2">
              <w:rPr>
                <w:rFonts w:ascii="Gill Sans MT" w:hAnsi="Gill Sans MT" w:cs="Arial"/>
                <w:sz w:val="18"/>
                <w:lang w:val="en-US"/>
              </w:rPr>
              <w:t>Permanent access for vessels up to 170m in length and draught of 11.5m. Vessels up to 250m enter on a flood tide; longer vessels enter by agreement.</w:t>
            </w:r>
          </w:p>
        </w:tc>
      </w:tr>
      <w:tr w:rsidR="005312C9" w:rsidRPr="00E83DA2" w:rsidTr="005312C9">
        <w:trPr>
          <w:cantSplit/>
          <w:trHeight w:val="530"/>
        </w:trPr>
        <w:tc>
          <w:tcPr>
            <w:tcW w:w="1260" w:type="dxa"/>
            <w:tcBorders>
              <w:top w:val="single" w:sz="4" w:space="0" w:color="auto"/>
              <w:left w:val="nil"/>
              <w:bottom w:val="single" w:sz="4" w:space="0" w:color="auto"/>
              <w:right w:val="nil"/>
            </w:tcBorders>
          </w:tcPr>
          <w:p w:rsidR="005312C9" w:rsidRPr="00E83DA2" w:rsidRDefault="005312C9" w:rsidP="005312C9">
            <w:pPr>
              <w:spacing w:after="120"/>
              <w:jc w:val="both"/>
              <w:rPr>
                <w:rFonts w:ascii="Gill Sans MT" w:hAnsi="Gill Sans MT" w:cs="Arial"/>
                <w:b/>
                <w:bCs/>
                <w:sz w:val="18"/>
                <w:lang w:val="en-US"/>
              </w:rPr>
            </w:pPr>
            <w:proofErr w:type="spellStart"/>
            <w:r w:rsidRPr="00E83DA2">
              <w:rPr>
                <w:rFonts w:ascii="Gill Sans MT" w:hAnsi="Gill Sans MT" w:cs="Arial"/>
                <w:b/>
                <w:bCs/>
                <w:sz w:val="18"/>
                <w:lang w:val="en-US"/>
              </w:rPr>
              <w:t>Burnie</w:t>
            </w:r>
            <w:proofErr w:type="spellEnd"/>
          </w:p>
        </w:tc>
        <w:tc>
          <w:tcPr>
            <w:tcW w:w="2851" w:type="dxa"/>
            <w:tcBorders>
              <w:top w:val="single" w:sz="4" w:space="0" w:color="auto"/>
              <w:left w:val="nil"/>
              <w:bottom w:val="single" w:sz="4" w:space="0" w:color="auto"/>
              <w:right w:val="nil"/>
            </w:tcBorders>
          </w:tcPr>
          <w:p w:rsidR="005312C9" w:rsidRPr="00E83DA2" w:rsidRDefault="005312C9" w:rsidP="005312C9">
            <w:pPr>
              <w:spacing w:after="120"/>
              <w:rPr>
                <w:rFonts w:ascii="Gill Sans MT" w:hAnsi="Gill Sans MT" w:cs="Arial"/>
                <w:sz w:val="18"/>
                <w:lang w:val="en-US"/>
              </w:rPr>
            </w:pPr>
            <w:r w:rsidRPr="00E83DA2">
              <w:rPr>
                <w:rFonts w:ascii="Gill Sans MT" w:hAnsi="Gill Sans MT" w:cs="Arial"/>
                <w:sz w:val="18"/>
                <w:lang w:val="en-US"/>
              </w:rPr>
              <w:t>Daily domestic container shipping services.</w:t>
            </w:r>
          </w:p>
          <w:p w:rsidR="005312C9" w:rsidRPr="00E83DA2" w:rsidRDefault="005312C9" w:rsidP="005312C9">
            <w:pPr>
              <w:spacing w:after="120"/>
              <w:rPr>
                <w:rFonts w:ascii="Gill Sans MT" w:hAnsi="Gill Sans MT" w:cs="Arial"/>
                <w:sz w:val="18"/>
                <w:lang w:val="en-US"/>
              </w:rPr>
            </w:pPr>
            <w:r w:rsidRPr="00E83DA2">
              <w:rPr>
                <w:rFonts w:ascii="Gill Sans MT" w:hAnsi="Gill Sans MT" w:cs="Arial"/>
                <w:sz w:val="18"/>
                <w:lang w:val="en-US"/>
              </w:rPr>
              <w:t>Bulk trades include mineral ores.</w:t>
            </w:r>
          </w:p>
          <w:p w:rsidR="005312C9" w:rsidRPr="00E83DA2" w:rsidRDefault="005312C9" w:rsidP="005312C9">
            <w:pPr>
              <w:spacing w:after="120"/>
              <w:rPr>
                <w:rFonts w:ascii="Gill Sans MT" w:hAnsi="Gill Sans MT" w:cs="Arial"/>
                <w:sz w:val="18"/>
                <w:lang w:val="en-US"/>
              </w:rPr>
            </w:pPr>
          </w:p>
        </w:tc>
        <w:tc>
          <w:tcPr>
            <w:tcW w:w="4820" w:type="dxa"/>
            <w:tcBorders>
              <w:top w:val="single" w:sz="4" w:space="0" w:color="auto"/>
              <w:left w:val="nil"/>
              <w:bottom w:val="single" w:sz="4" w:space="0" w:color="auto"/>
              <w:right w:val="nil"/>
            </w:tcBorders>
          </w:tcPr>
          <w:p w:rsidR="005312C9" w:rsidRPr="00E83DA2" w:rsidRDefault="005312C9" w:rsidP="005312C9">
            <w:pPr>
              <w:spacing w:after="120"/>
              <w:rPr>
                <w:rFonts w:ascii="Gill Sans MT" w:hAnsi="Gill Sans MT" w:cs="Arial"/>
                <w:sz w:val="18"/>
                <w:lang w:val="en-US"/>
              </w:rPr>
            </w:pPr>
            <w:r w:rsidRPr="00E83DA2">
              <w:rPr>
                <w:rFonts w:ascii="Gill Sans MT" w:hAnsi="Gill Sans MT" w:cs="Arial"/>
                <w:sz w:val="18"/>
                <w:lang w:val="en-US"/>
              </w:rPr>
              <w:t>Road and rail infrastructure with a rail spur extending into the container yard.</w:t>
            </w:r>
          </w:p>
          <w:p w:rsidR="005312C9" w:rsidRPr="00E83DA2" w:rsidRDefault="005312C9" w:rsidP="005312C9">
            <w:pPr>
              <w:spacing w:after="120"/>
              <w:rPr>
                <w:rFonts w:ascii="Gill Sans MT" w:hAnsi="Gill Sans MT" w:cs="Arial"/>
                <w:sz w:val="18"/>
                <w:lang w:val="en-US"/>
              </w:rPr>
            </w:pPr>
            <w:r w:rsidRPr="00E83DA2">
              <w:rPr>
                <w:rFonts w:ascii="Gill Sans MT" w:hAnsi="Gill Sans MT" w:cs="Arial"/>
                <w:sz w:val="18"/>
                <w:lang w:val="en-US"/>
              </w:rPr>
              <w:t>Roll-on roll-off berths.</w:t>
            </w:r>
          </w:p>
          <w:p w:rsidR="005312C9" w:rsidRPr="00E83DA2" w:rsidRDefault="005312C9" w:rsidP="005312C9">
            <w:pPr>
              <w:spacing w:after="120"/>
              <w:rPr>
                <w:rFonts w:ascii="Gill Sans MT" w:hAnsi="Gill Sans MT" w:cs="Arial"/>
                <w:sz w:val="18"/>
                <w:lang w:val="en-US"/>
              </w:rPr>
            </w:pPr>
            <w:r w:rsidRPr="00E83DA2">
              <w:rPr>
                <w:rFonts w:ascii="Gill Sans MT" w:hAnsi="Gill Sans MT" w:cs="Arial"/>
                <w:sz w:val="18"/>
                <w:lang w:val="en-US"/>
              </w:rPr>
              <w:t>Permanent access for vessels up to 9m draught and less than 280m in length. Vessels between 9m and 11.5m draught constrained by tidal conditions.</w:t>
            </w:r>
          </w:p>
        </w:tc>
      </w:tr>
      <w:tr w:rsidR="005312C9" w:rsidRPr="00E83DA2" w:rsidTr="005312C9">
        <w:trPr>
          <w:cantSplit/>
          <w:trHeight w:val="1248"/>
        </w:trPr>
        <w:tc>
          <w:tcPr>
            <w:tcW w:w="1260" w:type="dxa"/>
            <w:tcBorders>
              <w:top w:val="single" w:sz="4" w:space="0" w:color="auto"/>
              <w:left w:val="nil"/>
              <w:bottom w:val="single" w:sz="4" w:space="0" w:color="auto"/>
              <w:right w:val="nil"/>
            </w:tcBorders>
          </w:tcPr>
          <w:p w:rsidR="005312C9" w:rsidRPr="00E83DA2" w:rsidRDefault="005312C9" w:rsidP="005312C9">
            <w:pPr>
              <w:spacing w:after="120"/>
              <w:jc w:val="both"/>
              <w:rPr>
                <w:rFonts w:ascii="Gill Sans MT" w:hAnsi="Gill Sans MT" w:cs="Arial"/>
                <w:b/>
                <w:bCs/>
                <w:sz w:val="18"/>
                <w:lang w:val="en-US"/>
              </w:rPr>
            </w:pPr>
            <w:r w:rsidRPr="00E83DA2">
              <w:rPr>
                <w:rFonts w:ascii="Gill Sans MT" w:hAnsi="Gill Sans MT" w:cs="Arial"/>
                <w:b/>
                <w:bCs/>
                <w:sz w:val="18"/>
                <w:lang w:val="en-US"/>
              </w:rPr>
              <w:t>Devonport</w:t>
            </w:r>
          </w:p>
        </w:tc>
        <w:tc>
          <w:tcPr>
            <w:tcW w:w="2851" w:type="dxa"/>
            <w:tcBorders>
              <w:top w:val="single" w:sz="4" w:space="0" w:color="auto"/>
              <w:left w:val="nil"/>
              <w:bottom w:val="single" w:sz="4" w:space="0" w:color="auto"/>
              <w:right w:val="nil"/>
            </w:tcBorders>
          </w:tcPr>
          <w:p w:rsidR="005312C9" w:rsidRPr="00E83DA2" w:rsidRDefault="005312C9" w:rsidP="005312C9">
            <w:pPr>
              <w:spacing w:after="120"/>
              <w:rPr>
                <w:rFonts w:ascii="Gill Sans MT" w:hAnsi="Gill Sans MT" w:cs="Arial"/>
                <w:sz w:val="18"/>
                <w:lang w:val="en-US"/>
              </w:rPr>
            </w:pPr>
            <w:r w:rsidRPr="00E83DA2">
              <w:rPr>
                <w:rFonts w:ascii="Gill Sans MT" w:hAnsi="Gill Sans MT" w:cs="Arial"/>
                <w:sz w:val="18"/>
                <w:lang w:val="en-US"/>
              </w:rPr>
              <w:t>Tasmania’s major passenger port with daily passenger services to Melbourne.</w:t>
            </w:r>
          </w:p>
          <w:p w:rsidR="005312C9" w:rsidRPr="00E83DA2" w:rsidRDefault="005312C9" w:rsidP="005312C9">
            <w:pPr>
              <w:spacing w:after="120"/>
              <w:rPr>
                <w:rFonts w:ascii="Gill Sans MT" w:hAnsi="Gill Sans MT" w:cs="Arial"/>
                <w:sz w:val="18"/>
                <w:lang w:val="en-US"/>
              </w:rPr>
            </w:pPr>
            <w:r w:rsidRPr="00E83DA2">
              <w:rPr>
                <w:rFonts w:ascii="Gill Sans MT" w:hAnsi="Gill Sans MT" w:cs="Arial"/>
                <w:sz w:val="18"/>
                <w:lang w:val="en-US"/>
              </w:rPr>
              <w:t>Bulk shipping services, including cement, livestock exports and bulk fertilizer.</w:t>
            </w:r>
          </w:p>
          <w:p w:rsidR="005312C9" w:rsidRPr="00E83DA2" w:rsidRDefault="005312C9" w:rsidP="005312C9">
            <w:pPr>
              <w:spacing w:after="120"/>
              <w:rPr>
                <w:rFonts w:ascii="Gill Sans MT" w:hAnsi="Gill Sans MT" w:cs="Arial"/>
                <w:sz w:val="18"/>
                <w:lang w:val="en-US"/>
              </w:rPr>
            </w:pPr>
            <w:r w:rsidRPr="00E83DA2">
              <w:rPr>
                <w:rFonts w:ascii="Gill Sans MT" w:hAnsi="Gill Sans MT" w:cs="Arial"/>
                <w:sz w:val="18"/>
                <w:lang w:val="en-US"/>
              </w:rPr>
              <w:t xml:space="preserve">Daily container services. </w:t>
            </w:r>
          </w:p>
        </w:tc>
        <w:tc>
          <w:tcPr>
            <w:tcW w:w="4820" w:type="dxa"/>
            <w:tcBorders>
              <w:top w:val="single" w:sz="4" w:space="0" w:color="auto"/>
              <w:left w:val="nil"/>
              <w:bottom w:val="single" w:sz="4" w:space="0" w:color="auto"/>
              <w:right w:val="nil"/>
            </w:tcBorders>
          </w:tcPr>
          <w:p w:rsidR="005312C9" w:rsidRPr="00E83DA2" w:rsidRDefault="005312C9" w:rsidP="005312C9">
            <w:pPr>
              <w:spacing w:after="120"/>
              <w:rPr>
                <w:rFonts w:ascii="Gill Sans MT" w:hAnsi="Gill Sans MT" w:cs="Arial"/>
                <w:sz w:val="18"/>
                <w:lang w:val="en-US"/>
              </w:rPr>
            </w:pPr>
            <w:r w:rsidRPr="00E83DA2">
              <w:rPr>
                <w:rFonts w:ascii="Gill Sans MT" w:hAnsi="Gill Sans MT" w:cs="Arial"/>
                <w:sz w:val="18"/>
                <w:lang w:val="en-US"/>
              </w:rPr>
              <w:t xml:space="preserve">Spans both sides of Mersey River, creating a division of facilities. Services for container freight and passengers are located on the eastern shore; while the western shore handles bulk freight. </w:t>
            </w:r>
          </w:p>
          <w:p w:rsidR="005312C9" w:rsidRPr="00E83DA2" w:rsidRDefault="005312C9" w:rsidP="005312C9">
            <w:pPr>
              <w:spacing w:after="120"/>
              <w:rPr>
                <w:rFonts w:ascii="Gill Sans MT" w:hAnsi="Gill Sans MT" w:cs="Arial"/>
                <w:sz w:val="18"/>
                <w:lang w:val="en-US"/>
              </w:rPr>
            </w:pPr>
            <w:r w:rsidRPr="00E83DA2">
              <w:rPr>
                <w:rFonts w:ascii="Gill Sans MT" w:hAnsi="Gill Sans MT" w:cs="Arial"/>
                <w:sz w:val="18"/>
                <w:lang w:val="en-US"/>
              </w:rPr>
              <w:t>Dedicated berths have no tidal constraints and can accommodate vessels with a maximum 10.5m draught (12m on the eastern shore) and 235m length.</w:t>
            </w:r>
          </w:p>
        </w:tc>
      </w:tr>
    </w:tbl>
    <w:p w:rsidR="005312C9" w:rsidRPr="00A029D6" w:rsidRDefault="00666BF3" w:rsidP="005312C9">
      <w:pPr>
        <w:pStyle w:val="Caption"/>
        <w:keepNext/>
        <w:rPr>
          <w:rFonts w:ascii="Gill Sans MT" w:hAnsi="Gill Sans MT"/>
          <w:color w:val="auto"/>
          <w:sz w:val="22"/>
          <w:szCs w:val="22"/>
        </w:rPr>
      </w:pPr>
      <w:proofErr w:type="gramStart"/>
      <w:r>
        <w:rPr>
          <w:rFonts w:ascii="Gill Sans MT" w:hAnsi="Gill Sans MT"/>
          <w:i/>
          <w:color w:val="auto"/>
          <w:sz w:val="22"/>
          <w:szCs w:val="22"/>
        </w:rPr>
        <w:t>Figure 32</w:t>
      </w:r>
      <w:r w:rsidR="005312C9" w:rsidRPr="00305E30">
        <w:rPr>
          <w:rFonts w:ascii="Gill Sans MT" w:hAnsi="Gill Sans MT"/>
          <w:i/>
          <w:color w:val="auto"/>
          <w:sz w:val="22"/>
          <w:szCs w:val="22"/>
        </w:rPr>
        <w:t>.</w:t>
      </w:r>
      <w:proofErr w:type="gramEnd"/>
      <w:r w:rsidR="005312C9" w:rsidRPr="00A029D6">
        <w:rPr>
          <w:rFonts w:ascii="Gill Sans MT" w:hAnsi="Gill Sans MT"/>
          <w:color w:val="auto"/>
          <w:sz w:val="22"/>
          <w:szCs w:val="22"/>
        </w:rPr>
        <w:t xml:space="preserve"> </w:t>
      </w:r>
      <w:r w:rsidR="005312C9">
        <w:rPr>
          <w:rFonts w:ascii="Gill Sans MT" w:hAnsi="Gill Sans MT"/>
          <w:color w:val="auto"/>
          <w:sz w:val="22"/>
          <w:szCs w:val="22"/>
        </w:rPr>
        <w:t>Characteristics of Tasmania’s key ports</w:t>
      </w:r>
    </w:p>
    <w:p w:rsidR="008957B7" w:rsidRPr="008957B7" w:rsidRDefault="008957B7" w:rsidP="008957B7"/>
    <w:p w:rsidR="00756B53" w:rsidRPr="00E83DA2" w:rsidRDefault="00B00736" w:rsidP="00756B53">
      <w:pPr>
        <w:pStyle w:val="Heading3"/>
      </w:pPr>
      <w:r w:rsidRPr="00B00736">
        <w:rPr>
          <w:noProof/>
          <w:lang w:eastAsia="en-AU"/>
        </w:rPr>
        <w:lastRenderedPageBreak/>
        <w:drawing>
          <wp:inline distT="0" distB="0" distL="0" distR="0">
            <wp:extent cx="5111455" cy="3110248"/>
            <wp:effectExtent l="19050" t="0" r="1299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56B53" w:rsidRDefault="00756B53" w:rsidP="00756B53">
      <w:pPr>
        <w:rPr>
          <w:rFonts w:ascii="Gill Sans MT" w:hAnsi="Gill Sans MT"/>
        </w:rPr>
      </w:pPr>
    </w:p>
    <w:p w:rsidR="00B00736" w:rsidRPr="00E83DA2" w:rsidRDefault="00B00736" w:rsidP="00756B53">
      <w:pPr>
        <w:rPr>
          <w:rFonts w:ascii="Gill Sans MT" w:hAnsi="Gill Sans MT"/>
        </w:rPr>
      </w:pPr>
    </w:p>
    <w:p w:rsidR="00756B53" w:rsidRPr="00E83DA2" w:rsidRDefault="00B00736" w:rsidP="00756B53">
      <w:pPr>
        <w:rPr>
          <w:rFonts w:ascii="Gill Sans MT" w:hAnsi="Gill Sans MT"/>
        </w:rPr>
      </w:pPr>
      <w:r w:rsidRPr="00B00736">
        <w:rPr>
          <w:rFonts w:ascii="Gill Sans MT" w:hAnsi="Gill Sans MT"/>
          <w:noProof/>
          <w:lang w:eastAsia="en-AU"/>
        </w:rPr>
        <w:drawing>
          <wp:inline distT="0" distB="0" distL="0" distR="0">
            <wp:extent cx="5113360" cy="3175367"/>
            <wp:effectExtent l="19050" t="0" r="11090" b="5983"/>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00736" w:rsidRDefault="00B00736" w:rsidP="00756B53">
      <w:pPr>
        <w:pStyle w:val="Heading3"/>
      </w:pPr>
      <w:bookmarkStart w:id="92" w:name="_Toc332114097"/>
      <w:bookmarkStart w:id="93" w:name="_Toc332115672"/>
      <w:bookmarkStart w:id="94" w:name="_Toc332115763"/>
    </w:p>
    <w:p w:rsidR="00756B53" w:rsidRPr="00E83DA2" w:rsidRDefault="00756B53" w:rsidP="00756B53">
      <w:pPr>
        <w:pStyle w:val="Heading3"/>
      </w:pPr>
      <w:r w:rsidRPr="00E83DA2">
        <w:t>Shipping services</w:t>
      </w:r>
      <w:bookmarkEnd w:id="92"/>
      <w:bookmarkEnd w:id="93"/>
      <w:bookmarkEnd w:id="94"/>
    </w:p>
    <w:p w:rsidR="00756B53" w:rsidRDefault="00756B53" w:rsidP="00A331B4">
      <w:pPr>
        <w:rPr>
          <w:rFonts w:ascii="Gill Sans MT" w:hAnsi="Gill Sans MT"/>
        </w:rPr>
      </w:pPr>
      <w:r w:rsidRPr="00E83DA2">
        <w:rPr>
          <w:rFonts w:ascii="Gill Sans MT" w:hAnsi="Gill Sans MT"/>
        </w:rPr>
        <w:t>Shipping services are generally provided by the private sector on a commercial basis (excluding TT-line).  However, these services form a vital link for Tasmanian businesses as they provide their only linkage to larger interstate and overseas markets.</w:t>
      </w:r>
    </w:p>
    <w:p w:rsidR="008957B7" w:rsidRPr="00E83DA2" w:rsidRDefault="008957B7" w:rsidP="00A331B4">
      <w:pPr>
        <w:rPr>
          <w:rFonts w:ascii="Gill Sans MT" w:hAnsi="Gill Sans MT"/>
        </w:rPr>
      </w:pPr>
    </w:p>
    <w:p w:rsidR="00B00736" w:rsidRDefault="00B00736" w:rsidP="00A331B4">
      <w:pPr>
        <w:rPr>
          <w:rFonts w:ascii="Gill Sans MT" w:hAnsi="Gill Sans MT"/>
          <w:i/>
        </w:rPr>
        <w:sectPr w:rsidR="00B00736" w:rsidSect="00103702">
          <w:pgSz w:w="11906" w:h="16838"/>
          <w:pgMar w:top="993" w:right="1797" w:bottom="709" w:left="1797" w:header="709" w:footer="544" w:gutter="0"/>
          <w:cols w:space="708"/>
          <w:docGrid w:linePitch="360"/>
        </w:sectPr>
      </w:pPr>
    </w:p>
    <w:p w:rsidR="00756B53" w:rsidRPr="00E83DA2" w:rsidRDefault="00756B53" w:rsidP="00A331B4">
      <w:pPr>
        <w:rPr>
          <w:rFonts w:ascii="Gill Sans MT" w:hAnsi="Gill Sans MT"/>
          <w:i/>
        </w:rPr>
      </w:pPr>
      <w:r w:rsidRPr="00E83DA2">
        <w:rPr>
          <w:rFonts w:ascii="Gill Sans MT" w:hAnsi="Gill Sans MT"/>
          <w:i/>
        </w:rPr>
        <w:lastRenderedPageBreak/>
        <w:t>Scheduled interstate and international services</w:t>
      </w:r>
    </w:p>
    <w:p w:rsidR="00756B53" w:rsidRPr="00E83DA2" w:rsidRDefault="00756B53" w:rsidP="00A331B4">
      <w:pPr>
        <w:rPr>
          <w:rFonts w:ascii="Gill Sans MT" w:hAnsi="Gill Sans MT"/>
        </w:rPr>
      </w:pPr>
      <w:r w:rsidRPr="00E83DA2">
        <w:rPr>
          <w:rFonts w:ascii="Gill Sans MT" w:hAnsi="Gill Sans MT"/>
        </w:rPr>
        <w:t>The key shipping services for most of the state’s freight demanders are interstate container services, operating from Burnie and Devonport.  The majority of these services go to the Port of Melbourne, and Tasmanian freight is estimated to comprise around 13% of the container trade moving through the Port of Melbourne annually.</w:t>
      </w:r>
    </w:p>
    <w:p w:rsidR="00756B53" w:rsidRPr="00E83DA2" w:rsidRDefault="00756B53" w:rsidP="00A331B4">
      <w:pPr>
        <w:rPr>
          <w:rFonts w:ascii="Gill Sans MT" w:hAnsi="Gill Sans MT"/>
        </w:rPr>
      </w:pPr>
      <w:r w:rsidRPr="00E83DA2">
        <w:rPr>
          <w:rFonts w:ascii="Gill Sans MT" w:hAnsi="Gill Sans MT"/>
        </w:rPr>
        <w:t xml:space="preserve">There are no direct international container shipping services at any of Tasmania’s ports.  International imports and exports are all moved through interstate ports, predominantly the Port of Melbourne.  </w:t>
      </w:r>
    </w:p>
    <w:p w:rsidR="00756B53" w:rsidRPr="00E83DA2" w:rsidRDefault="00756B53" w:rsidP="00A331B4">
      <w:pPr>
        <w:rPr>
          <w:rFonts w:ascii="Gill Sans MT" w:hAnsi="Gill Sans MT"/>
          <w:i/>
        </w:rPr>
      </w:pPr>
      <w:r w:rsidRPr="00E83DA2">
        <w:rPr>
          <w:rFonts w:ascii="Gill Sans MT" w:hAnsi="Gill Sans MT"/>
          <w:i/>
        </w:rPr>
        <w:t>Bass Strait Island Shipping Arrangements</w:t>
      </w:r>
    </w:p>
    <w:p w:rsidR="00756B53" w:rsidRPr="00E83DA2" w:rsidRDefault="00756B53" w:rsidP="00A331B4">
      <w:pPr>
        <w:rPr>
          <w:rFonts w:ascii="Gill Sans MT" w:hAnsi="Gill Sans MT"/>
        </w:rPr>
      </w:pPr>
      <w:r w:rsidRPr="00E83DA2">
        <w:rPr>
          <w:rFonts w:ascii="Gill Sans MT" w:hAnsi="Gill Sans MT"/>
        </w:rPr>
        <w:t xml:space="preserve">Flinders Island has a weekly shipping service running between Lady Barron port on Flinders Island and Bridport. The Tasmanian Government provides safety net arrangements to ensure minimum levels of shipping services to Flinders Island, and also has an agreement for the provision of a monthly shipping service to Cape Barren Island with the current Flinders Island operator.  </w:t>
      </w:r>
    </w:p>
    <w:p w:rsidR="00756B53" w:rsidRPr="00E83DA2" w:rsidRDefault="00756B53" w:rsidP="00A331B4">
      <w:pPr>
        <w:pStyle w:val="Heading4"/>
      </w:pPr>
      <w:r w:rsidRPr="00E83DA2">
        <w:t>Airports</w:t>
      </w:r>
    </w:p>
    <w:p w:rsidR="00756B53" w:rsidRDefault="00756B53" w:rsidP="00A331B4">
      <w:pPr>
        <w:rPr>
          <w:rFonts w:ascii="Gill Sans MT" w:hAnsi="Gill Sans MT"/>
        </w:rPr>
      </w:pPr>
      <w:r w:rsidRPr="00E83DA2">
        <w:rPr>
          <w:rFonts w:ascii="Gill Sans MT" w:hAnsi="Gill Sans MT"/>
        </w:rPr>
        <w:t>The majority of freight in Tasmania moves in and out of the state by sea, but some freight is still carried by air.  In particular, time sensitive freight and growing parcel mail services due to t</w:t>
      </w:r>
      <w:r w:rsidR="00265E32">
        <w:rPr>
          <w:rFonts w:ascii="Gill Sans MT" w:hAnsi="Gill Sans MT"/>
        </w:rPr>
        <w:t xml:space="preserve">he increase in online shopping </w:t>
      </w:r>
      <w:r w:rsidRPr="00E83DA2">
        <w:rPr>
          <w:rFonts w:ascii="Gill Sans MT" w:hAnsi="Gill Sans MT"/>
        </w:rPr>
        <w:t>mean that air freight is still important.  Launceston Airport is the main airport servicing the Northern Region, with 13,115 aircraft moving through in 2010/11.  While there was substantial growth in aircraft movements of 11.3% over 2002/03 to 2007/08, growth has steadied significantly in the period following (to 0.7%). (BITRE 2011)</w:t>
      </w:r>
    </w:p>
    <w:p w:rsidR="00265E32" w:rsidRDefault="00265E32" w:rsidP="00A331B4">
      <w:pPr>
        <w:rPr>
          <w:rFonts w:ascii="Gill Sans MT" w:hAnsi="Gill Sans MT"/>
        </w:rPr>
      </w:pPr>
      <w:r>
        <w:rPr>
          <w:rFonts w:ascii="Gill Sans MT" w:hAnsi="Gill Sans MT"/>
        </w:rPr>
        <w:t xml:space="preserve">The airport is currently serviced by Virgin, </w:t>
      </w:r>
      <w:proofErr w:type="spellStart"/>
      <w:r>
        <w:rPr>
          <w:rFonts w:ascii="Gill Sans MT" w:hAnsi="Gill Sans MT"/>
        </w:rPr>
        <w:t>QantasLink</w:t>
      </w:r>
      <w:proofErr w:type="spellEnd"/>
      <w:r>
        <w:rPr>
          <w:rFonts w:ascii="Gill Sans MT" w:hAnsi="Gill Sans MT"/>
        </w:rPr>
        <w:t xml:space="preserve">, </w:t>
      </w:r>
      <w:proofErr w:type="spellStart"/>
      <w:r>
        <w:rPr>
          <w:rFonts w:ascii="Gill Sans MT" w:hAnsi="Gill Sans MT"/>
        </w:rPr>
        <w:t>JetStar</w:t>
      </w:r>
      <w:proofErr w:type="spellEnd"/>
      <w:r>
        <w:rPr>
          <w:rFonts w:ascii="Gill Sans MT" w:hAnsi="Gill Sans MT"/>
        </w:rPr>
        <w:t xml:space="preserve"> and Sharp airlines with flights to Melbourne, Sydney, Brisbane and Flinders Island.</w:t>
      </w:r>
    </w:p>
    <w:p w:rsidR="00265E32" w:rsidRPr="00265E32" w:rsidRDefault="00265E32" w:rsidP="00265E32">
      <w:pPr>
        <w:spacing w:before="100" w:beforeAutospacing="1" w:after="100" w:afterAutospacing="1" w:line="240" w:lineRule="auto"/>
        <w:rPr>
          <w:rFonts w:ascii="Gill Sans MT" w:hAnsi="Gill Sans MT"/>
        </w:rPr>
      </w:pPr>
      <w:r w:rsidRPr="00265E32">
        <w:rPr>
          <w:rFonts w:ascii="Gill Sans MT" w:hAnsi="Gill Sans MT"/>
        </w:rPr>
        <w:t>In 2012 Launceston Airport upgraded the southern apron at a cost of $</w:t>
      </w:r>
      <w:r w:rsidRPr="00992F12">
        <w:rPr>
          <w:rFonts w:ascii="Gill Sans MT" w:hAnsi="Gill Sans MT"/>
        </w:rPr>
        <w:t>6 million</w:t>
      </w:r>
      <w:r w:rsidRPr="00265E32">
        <w:rPr>
          <w:rFonts w:ascii="Gill Sans MT" w:hAnsi="Gill Sans MT"/>
        </w:rPr>
        <w:t xml:space="preserve">, allowing for </w:t>
      </w:r>
      <w:r w:rsidRPr="00992F12">
        <w:rPr>
          <w:rFonts w:ascii="Gill Sans MT" w:hAnsi="Gill Sans MT"/>
        </w:rPr>
        <w:t xml:space="preserve">the future growth of </w:t>
      </w:r>
      <w:r w:rsidRPr="00265E32">
        <w:rPr>
          <w:rFonts w:ascii="Gill Sans MT" w:hAnsi="Gill Sans MT"/>
        </w:rPr>
        <w:t>the a</w:t>
      </w:r>
      <w:r w:rsidRPr="00992F12">
        <w:rPr>
          <w:rFonts w:ascii="Gill Sans MT" w:hAnsi="Gill Sans MT"/>
        </w:rPr>
        <w:t>irport and northern Tasmania.</w:t>
      </w:r>
      <w:r w:rsidRPr="00265E32">
        <w:rPr>
          <w:rFonts w:ascii="Gill Sans MT" w:hAnsi="Gill Sans MT"/>
        </w:rPr>
        <w:t xml:space="preserve"> I</w:t>
      </w:r>
      <w:r w:rsidRPr="00992F12">
        <w:rPr>
          <w:rFonts w:ascii="Gill Sans MT" w:hAnsi="Gill Sans MT"/>
        </w:rPr>
        <w:t xml:space="preserve">mprovements </w:t>
      </w:r>
      <w:r w:rsidRPr="00265E32">
        <w:rPr>
          <w:rFonts w:ascii="Gill Sans MT" w:hAnsi="Gill Sans MT"/>
        </w:rPr>
        <w:t xml:space="preserve">were made </w:t>
      </w:r>
      <w:r w:rsidRPr="00992F12">
        <w:rPr>
          <w:rFonts w:ascii="Gill Sans MT" w:hAnsi="Gill Sans MT"/>
        </w:rPr>
        <w:t>to an area of 10,000 square metres, allowing for more room for larger aircraft, including two new aircraft parking bays. It will also quadruple the load limit of the apron, increasing it to 80,000 kilograms from the current 20,000 kilograms.</w:t>
      </w:r>
      <w:r w:rsidRPr="00265E32">
        <w:rPr>
          <w:rFonts w:ascii="Gill Sans MT" w:hAnsi="Gill Sans MT"/>
        </w:rPr>
        <w:t xml:space="preserve">  The airport terminal was also redeveloped in 2010.</w:t>
      </w:r>
    </w:p>
    <w:p w:rsidR="00756B53" w:rsidRPr="00E83DA2" w:rsidRDefault="00756B53" w:rsidP="00A331B4">
      <w:pPr>
        <w:rPr>
          <w:rFonts w:ascii="Gill Sans MT" w:hAnsi="Gill Sans MT"/>
        </w:rPr>
      </w:pPr>
      <w:r w:rsidRPr="00E83DA2">
        <w:rPr>
          <w:rFonts w:ascii="Gill Sans MT" w:hAnsi="Gill Sans MT"/>
        </w:rPr>
        <w:t xml:space="preserve">Flinders Island Airport, located near Whitemark, provides essential passenger and freight services, with connections to both Tasmania (from Launceston) and the Australian mainland (Essendon, Melbourne). </w:t>
      </w:r>
    </w:p>
    <w:p w:rsidR="00756B53" w:rsidRPr="00E83DA2" w:rsidRDefault="00756B53" w:rsidP="00756B53">
      <w:pPr>
        <w:rPr>
          <w:rFonts w:ascii="Gill Sans MT" w:eastAsiaTheme="majorEastAsia" w:hAnsi="Gill Sans MT" w:cstheme="majorBidi"/>
          <w:color w:val="17365D" w:themeColor="text2" w:themeShade="BF"/>
          <w:spacing w:val="5"/>
          <w:kern w:val="28"/>
          <w:sz w:val="52"/>
          <w:szCs w:val="52"/>
        </w:rPr>
      </w:pPr>
      <w:r w:rsidRPr="00E83DA2">
        <w:rPr>
          <w:rFonts w:ascii="Gill Sans MT" w:hAnsi="Gill Sans MT"/>
        </w:rPr>
        <w:br w:type="page"/>
      </w:r>
    </w:p>
    <w:p w:rsidR="00756B53" w:rsidRPr="00E83DA2" w:rsidRDefault="00756B53" w:rsidP="00756B53">
      <w:pPr>
        <w:pStyle w:val="Heading1"/>
        <w:rPr>
          <w:rFonts w:ascii="Gill Sans MT" w:hAnsi="Gill Sans MT"/>
        </w:rPr>
      </w:pPr>
      <w:bookmarkStart w:id="95" w:name="_Toc332115764"/>
      <w:r w:rsidRPr="00E83DA2">
        <w:rPr>
          <w:rFonts w:ascii="Gill Sans MT" w:hAnsi="Gill Sans MT"/>
        </w:rPr>
        <w:lastRenderedPageBreak/>
        <w:t>Freight - Industrial areas and transport</w:t>
      </w:r>
      <w:bookmarkEnd w:id="95"/>
    </w:p>
    <w:p w:rsidR="00756B53" w:rsidRDefault="00756B53" w:rsidP="00756B53">
      <w:pPr>
        <w:pStyle w:val="Heading2"/>
      </w:pPr>
      <w:bookmarkStart w:id="96" w:name="_Toc332033596"/>
      <w:bookmarkStart w:id="97" w:name="_Toc332114099"/>
      <w:bookmarkStart w:id="98" w:name="_Toc332115674"/>
      <w:bookmarkStart w:id="99" w:name="_Toc332115765"/>
      <w:r w:rsidRPr="00E83DA2">
        <w:t>Key strategic issues</w:t>
      </w:r>
      <w:bookmarkEnd w:id="96"/>
      <w:bookmarkEnd w:id="97"/>
      <w:bookmarkEnd w:id="98"/>
      <w:bookmarkEnd w:id="99"/>
    </w:p>
    <w:p w:rsidR="00A30ACB" w:rsidRPr="00006555" w:rsidRDefault="00A30ACB" w:rsidP="00A30ACB">
      <w:pPr>
        <w:pStyle w:val="ListParagraph"/>
        <w:numPr>
          <w:ilvl w:val="0"/>
          <w:numId w:val="105"/>
        </w:numPr>
        <w:rPr>
          <w:rFonts w:ascii="Gill Sans MT" w:hAnsi="Gill Sans MT"/>
        </w:rPr>
      </w:pPr>
      <w:r w:rsidRPr="00006555">
        <w:rPr>
          <w:rFonts w:ascii="Gill Sans MT" w:hAnsi="Gill Sans MT"/>
        </w:rPr>
        <w:t>Need to consolidate and centralise freight nodes (including ports)</w:t>
      </w:r>
    </w:p>
    <w:p w:rsidR="00A30ACB" w:rsidRPr="00006555" w:rsidRDefault="00A30ACB" w:rsidP="00A30ACB">
      <w:pPr>
        <w:pStyle w:val="ListParagraph"/>
        <w:numPr>
          <w:ilvl w:val="0"/>
          <w:numId w:val="105"/>
        </w:numPr>
        <w:rPr>
          <w:rFonts w:ascii="Gill Sans MT" w:hAnsi="Gill Sans MT"/>
        </w:rPr>
      </w:pPr>
      <w:r w:rsidRPr="00006555">
        <w:rPr>
          <w:rFonts w:ascii="Gill Sans MT" w:hAnsi="Gill Sans MT"/>
        </w:rPr>
        <w:t>Ongoing planning reform to better integrate land use and transport planning</w:t>
      </w:r>
    </w:p>
    <w:p w:rsidR="00006555" w:rsidRPr="00006555" w:rsidRDefault="00006555" w:rsidP="00006555">
      <w:pPr>
        <w:pStyle w:val="ListParagraph"/>
        <w:numPr>
          <w:ilvl w:val="0"/>
          <w:numId w:val="105"/>
        </w:numPr>
        <w:spacing w:after="40"/>
        <w:rPr>
          <w:rFonts w:ascii="Gill Sans MT" w:hAnsi="Gill Sans MT"/>
        </w:rPr>
      </w:pPr>
      <w:r w:rsidRPr="00006555">
        <w:rPr>
          <w:rFonts w:ascii="Gill Sans MT" w:hAnsi="Gill Sans MT"/>
        </w:rPr>
        <w:t>Location of industrial areas and freight generating industries in relation to major transport networks</w:t>
      </w:r>
    </w:p>
    <w:p w:rsidR="00006555" w:rsidRPr="00006555" w:rsidRDefault="00006555" w:rsidP="00006555">
      <w:pPr>
        <w:pStyle w:val="ListParagraph"/>
        <w:numPr>
          <w:ilvl w:val="0"/>
          <w:numId w:val="105"/>
        </w:numPr>
        <w:rPr>
          <w:rFonts w:ascii="Gill Sans MT" w:hAnsi="Gill Sans MT"/>
        </w:rPr>
      </w:pPr>
      <w:r w:rsidRPr="00006555">
        <w:rPr>
          <w:rFonts w:ascii="Gill Sans MT" w:hAnsi="Gill Sans MT"/>
        </w:rPr>
        <w:t>Use of inappropriate urban roads impacting on the amenity of residential and retail areas</w:t>
      </w:r>
    </w:p>
    <w:p w:rsidR="00006555" w:rsidRPr="00006555" w:rsidRDefault="00006555" w:rsidP="00006555">
      <w:pPr>
        <w:pStyle w:val="ListParagraph"/>
        <w:numPr>
          <w:ilvl w:val="0"/>
          <w:numId w:val="105"/>
        </w:numPr>
        <w:rPr>
          <w:rFonts w:ascii="Gill Sans MT" w:hAnsi="Gill Sans MT"/>
        </w:rPr>
      </w:pPr>
      <w:r w:rsidRPr="00006555">
        <w:rPr>
          <w:rFonts w:ascii="Gill Sans MT" w:hAnsi="Gill Sans MT"/>
        </w:rPr>
        <w:t>Impacts on freight task and different requirements for the freight system</w:t>
      </w:r>
    </w:p>
    <w:p w:rsidR="00006555" w:rsidRDefault="00006555" w:rsidP="00006555">
      <w:pPr>
        <w:pStyle w:val="ListParagraph"/>
        <w:numPr>
          <w:ilvl w:val="0"/>
          <w:numId w:val="105"/>
        </w:numPr>
        <w:rPr>
          <w:rFonts w:ascii="Gill Sans MT" w:hAnsi="Gill Sans MT"/>
        </w:rPr>
      </w:pPr>
      <w:r w:rsidRPr="00006555">
        <w:rPr>
          <w:rFonts w:ascii="Gill Sans MT" w:hAnsi="Gill Sans MT"/>
        </w:rPr>
        <w:t>Adaptability of industry within planning frameworks</w:t>
      </w:r>
    </w:p>
    <w:p w:rsidR="001B714D" w:rsidRDefault="001B714D" w:rsidP="001B714D">
      <w:pPr>
        <w:pStyle w:val="Heading2"/>
      </w:pPr>
      <w:bookmarkStart w:id="100" w:name="_Toc332033598"/>
      <w:bookmarkStart w:id="101" w:name="_Toc332114102"/>
      <w:bookmarkStart w:id="102" w:name="_Toc332115677"/>
      <w:bookmarkStart w:id="103" w:name="_Toc332115768"/>
      <w:r w:rsidRPr="00E83DA2">
        <w:t>Background</w:t>
      </w:r>
      <w:bookmarkEnd w:id="100"/>
      <w:bookmarkEnd w:id="101"/>
      <w:bookmarkEnd w:id="102"/>
      <w:bookmarkEnd w:id="103"/>
    </w:p>
    <w:p w:rsidR="001B714D" w:rsidRPr="006A227C" w:rsidRDefault="00706281" w:rsidP="001B714D">
      <w:pPr>
        <w:rPr>
          <w:rFonts w:ascii="Gill Sans MT" w:hAnsi="Gill Sans MT"/>
        </w:rPr>
      </w:pPr>
      <w:r>
        <w:rPr>
          <w:rFonts w:ascii="Gill Sans MT" w:hAnsi="Gill Sans MT"/>
        </w:rPr>
        <w:t>Industry is</w:t>
      </w:r>
      <w:r w:rsidR="001B714D" w:rsidRPr="006A227C">
        <w:rPr>
          <w:rFonts w:ascii="Gill Sans MT" w:hAnsi="Gill Sans MT"/>
        </w:rPr>
        <w:t xml:space="preserve"> a key demand driver of Tasmania’s transport system, and the</w:t>
      </w:r>
      <w:r>
        <w:rPr>
          <w:rFonts w:ascii="Gill Sans MT" w:hAnsi="Gill Sans MT"/>
        </w:rPr>
        <w:t>ir</w:t>
      </w:r>
      <w:r w:rsidR="001B714D" w:rsidRPr="006A227C">
        <w:rPr>
          <w:rFonts w:ascii="Gill Sans MT" w:hAnsi="Gill Sans MT"/>
        </w:rPr>
        <w:t xml:space="preserve"> location determines where and how this demand will impact on the system. </w:t>
      </w:r>
      <w:r w:rsidR="001B714D">
        <w:rPr>
          <w:rFonts w:ascii="Gill Sans MT" w:hAnsi="Gill Sans MT"/>
        </w:rPr>
        <w:t xml:space="preserve">Industry </w:t>
      </w:r>
      <w:r w:rsidR="001B714D" w:rsidRPr="006A227C">
        <w:rPr>
          <w:rFonts w:ascii="Gill Sans MT" w:hAnsi="Gill Sans MT"/>
        </w:rPr>
        <w:t>competitivene</w:t>
      </w:r>
      <w:r w:rsidR="001B714D">
        <w:rPr>
          <w:rFonts w:ascii="Gill Sans MT" w:hAnsi="Gill Sans MT"/>
        </w:rPr>
        <w:t>ss is reliant on the</w:t>
      </w:r>
      <w:r w:rsidR="001B714D" w:rsidRPr="006A227C">
        <w:rPr>
          <w:rFonts w:ascii="Gill Sans MT" w:hAnsi="Gill Sans MT"/>
        </w:rPr>
        <w:t xml:space="preserve"> ability to move products reliably and efficiently in a cost-effective manner to markets. The </w:t>
      </w:r>
      <w:r>
        <w:rPr>
          <w:rFonts w:ascii="Gill Sans MT" w:hAnsi="Gill Sans MT"/>
        </w:rPr>
        <w:t>proximity</w:t>
      </w:r>
      <w:r w:rsidR="001B714D" w:rsidRPr="006A227C">
        <w:rPr>
          <w:rFonts w:ascii="Gill Sans MT" w:hAnsi="Gill Sans MT"/>
        </w:rPr>
        <w:t xml:space="preserve"> of industry to suitable and accessible transport infrastructure is a critical link in the supply chain, and it is essential for land use planning to identify the most suitable locations to support this accessibility. The use of industrial estates, often consisting of numerous contiguous industry types or those with similar transport demands, and positioned to take advantage of existing or proposed infrastructure</w:t>
      </w:r>
      <w:r>
        <w:rPr>
          <w:rFonts w:ascii="Gill Sans MT" w:hAnsi="Gill Sans MT"/>
        </w:rPr>
        <w:t>,</w:t>
      </w:r>
      <w:r w:rsidR="001B714D" w:rsidRPr="006A227C">
        <w:rPr>
          <w:rFonts w:ascii="Gill Sans MT" w:hAnsi="Gill Sans MT"/>
        </w:rPr>
        <w:t xml:space="preserve"> can maximise the benefits through </w:t>
      </w:r>
      <w:r w:rsidR="001B714D">
        <w:rPr>
          <w:rFonts w:ascii="Gill Sans MT" w:hAnsi="Gill Sans MT"/>
        </w:rPr>
        <w:t>minimising</w:t>
      </w:r>
      <w:r w:rsidR="001B714D" w:rsidRPr="006A227C">
        <w:rPr>
          <w:rFonts w:ascii="Gill Sans MT" w:hAnsi="Gill Sans MT"/>
        </w:rPr>
        <w:t xml:space="preserve"> cost</w:t>
      </w:r>
      <w:r w:rsidR="001B714D">
        <w:rPr>
          <w:rFonts w:ascii="Gill Sans MT" w:hAnsi="Gill Sans MT"/>
        </w:rPr>
        <w:t>s</w:t>
      </w:r>
      <w:r>
        <w:rPr>
          <w:rFonts w:ascii="Gill Sans MT" w:hAnsi="Gill Sans MT"/>
        </w:rPr>
        <w:t xml:space="preserve"> </w:t>
      </w:r>
      <w:r w:rsidR="001B714D" w:rsidRPr="006A227C">
        <w:rPr>
          <w:rFonts w:ascii="Gill Sans MT" w:hAnsi="Gill Sans MT"/>
        </w:rPr>
        <w:t xml:space="preserve">without impacting the amenity, safety or </w:t>
      </w:r>
      <w:r>
        <w:rPr>
          <w:rFonts w:ascii="Gill Sans MT" w:hAnsi="Gill Sans MT"/>
        </w:rPr>
        <w:t xml:space="preserve">additional </w:t>
      </w:r>
      <w:r w:rsidR="001B714D" w:rsidRPr="006A227C">
        <w:rPr>
          <w:rFonts w:ascii="Gill Sans MT" w:hAnsi="Gill Sans MT"/>
        </w:rPr>
        <w:t xml:space="preserve">costs </w:t>
      </w:r>
      <w:r w:rsidR="001B714D">
        <w:rPr>
          <w:rFonts w:ascii="Gill Sans MT" w:hAnsi="Gill Sans MT"/>
        </w:rPr>
        <w:t>imposed on</w:t>
      </w:r>
      <w:r w:rsidR="001B714D" w:rsidRPr="006A227C">
        <w:rPr>
          <w:rFonts w:ascii="Gill Sans MT" w:hAnsi="Gill Sans MT"/>
        </w:rPr>
        <w:t xml:space="preserve"> areas of high residential or retail </w:t>
      </w:r>
      <w:r w:rsidR="001B714D">
        <w:rPr>
          <w:rFonts w:ascii="Gill Sans MT" w:hAnsi="Gill Sans MT"/>
        </w:rPr>
        <w:t>prevalence</w:t>
      </w:r>
      <w:r w:rsidR="001B714D" w:rsidRPr="006A227C">
        <w:rPr>
          <w:rFonts w:ascii="Gill Sans MT" w:hAnsi="Gill Sans MT"/>
        </w:rPr>
        <w:t>.</w:t>
      </w:r>
    </w:p>
    <w:p w:rsidR="001B714D" w:rsidRPr="00E83DA2" w:rsidRDefault="001B714D" w:rsidP="001B714D">
      <w:pPr>
        <w:pStyle w:val="Heading2"/>
      </w:pPr>
      <w:bookmarkStart w:id="104" w:name="_Toc332033599"/>
      <w:bookmarkStart w:id="105" w:name="_Toc332114103"/>
      <w:bookmarkStart w:id="106" w:name="_Toc332115678"/>
      <w:bookmarkStart w:id="107" w:name="_Toc332115769"/>
      <w:r>
        <w:t>Key industrial areas in N</w:t>
      </w:r>
      <w:r w:rsidRPr="00E83DA2">
        <w:t>orthern Tasmania</w:t>
      </w:r>
      <w:bookmarkEnd w:id="104"/>
      <w:bookmarkEnd w:id="105"/>
      <w:bookmarkEnd w:id="106"/>
      <w:bookmarkEnd w:id="107"/>
    </w:p>
    <w:p w:rsidR="001B714D" w:rsidRPr="00E83DA2" w:rsidRDefault="001B714D" w:rsidP="001B714D">
      <w:pPr>
        <w:spacing w:after="120"/>
        <w:rPr>
          <w:rFonts w:ascii="Gill Sans MT" w:hAnsi="Gill Sans MT"/>
        </w:rPr>
      </w:pPr>
      <w:r w:rsidRPr="00E83DA2">
        <w:rPr>
          <w:rFonts w:ascii="Gill Sans MT" w:hAnsi="Gill Sans MT"/>
        </w:rPr>
        <w:t>The economy of the northern region has a strong base in manufacturing and construction, with forestry and agriculture also playing a significant role.   Types of industry and land use vary greatly across the region, with</w:t>
      </w:r>
      <w:r>
        <w:rPr>
          <w:rFonts w:ascii="Gill Sans MT" w:hAnsi="Gill Sans MT"/>
        </w:rPr>
        <w:t xml:space="preserve"> the region’s key heavy industry</w:t>
      </w:r>
      <w:r w:rsidRPr="00E83DA2">
        <w:rPr>
          <w:rFonts w:ascii="Gill Sans MT" w:hAnsi="Gill Sans MT"/>
        </w:rPr>
        <w:t xml:space="preserve"> area at Bell Bay, supported by areas of light industry and manufacturing around Launceston and a mixture of mining, forestry and agriculture in the other parts of the region</w:t>
      </w:r>
      <w:r w:rsidR="00683164">
        <w:rPr>
          <w:rFonts w:ascii="Gill Sans MT" w:hAnsi="Gill Sans MT"/>
        </w:rPr>
        <w:t xml:space="preserve"> (see </w:t>
      </w:r>
      <w:r w:rsidR="00683164">
        <w:rPr>
          <w:rFonts w:ascii="Gill Sans MT" w:hAnsi="Gill Sans MT"/>
          <w:i/>
        </w:rPr>
        <w:t>Figure 1</w:t>
      </w:r>
      <w:r w:rsidR="00683164">
        <w:rPr>
          <w:rFonts w:ascii="Gill Sans MT" w:hAnsi="Gill Sans MT"/>
        </w:rPr>
        <w:t>)</w:t>
      </w:r>
      <w:r w:rsidRPr="00E83DA2">
        <w:rPr>
          <w:rFonts w:ascii="Gill Sans MT" w:hAnsi="Gill Sans MT"/>
        </w:rPr>
        <w:t>.</w:t>
      </w:r>
    </w:p>
    <w:p w:rsidR="00683164" w:rsidRPr="00E83DA2" w:rsidRDefault="00683164" w:rsidP="00683164">
      <w:pPr>
        <w:spacing w:after="120"/>
        <w:rPr>
          <w:rFonts w:ascii="Gill Sans MT" w:hAnsi="Gill Sans MT"/>
          <w:i/>
        </w:rPr>
      </w:pPr>
      <w:r w:rsidRPr="00E83DA2">
        <w:rPr>
          <w:rFonts w:ascii="Gill Sans MT" w:hAnsi="Gill Sans MT"/>
          <w:i/>
        </w:rPr>
        <w:t>Bell Bay industrial area</w:t>
      </w:r>
    </w:p>
    <w:p w:rsidR="00683164" w:rsidRPr="009347B8" w:rsidRDefault="00683164" w:rsidP="00683164">
      <w:pPr>
        <w:rPr>
          <w:rFonts w:ascii="Gill Sans MT" w:eastAsia="Times New Roman" w:hAnsi="Gill Sans MT" w:cstheme="minorHAnsi"/>
          <w:lang w:eastAsia="en-AU"/>
        </w:rPr>
      </w:pPr>
      <w:r w:rsidRPr="00E83DA2">
        <w:rPr>
          <w:rFonts w:ascii="Gill Sans MT" w:eastAsia="Times New Roman" w:hAnsi="Gill Sans MT" w:cstheme="minorHAnsi"/>
          <w:lang w:eastAsia="en-AU"/>
        </w:rPr>
        <w:t>The industrial area around Bell Bay is one of the largest in Tasmania, and is also home to one of Tasmania’s key sea ports.  Proximity to a major port provides industry in the area with good connections to interstate and international markets for imports and exports.  It is home to a number of major industries, including a major aluminium producer, a major iron producer, two operating woodc</w:t>
      </w:r>
      <w:r>
        <w:rPr>
          <w:rFonts w:ascii="Gill Sans MT" w:eastAsia="Times New Roman" w:hAnsi="Gill Sans MT" w:cstheme="minorHAnsi"/>
          <w:lang w:eastAsia="en-AU"/>
        </w:rPr>
        <w:t xml:space="preserve">hip mills and a major sawmill. </w:t>
      </w:r>
    </w:p>
    <w:p w:rsidR="001B714D" w:rsidRPr="001B714D" w:rsidRDefault="001B714D" w:rsidP="001B714D">
      <w:pPr>
        <w:rPr>
          <w:rFonts w:ascii="Gill Sans MT" w:hAnsi="Gill Sans MT"/>
        </w:rPr>
      </w:pPr>
    </w:p>
    <w:p w:rsidR="00756B53" w:rsidRDefault="008F0359" w:rsidP="001B714D">
      <w:pPr>
        <w:pStyle w:val="Heading2"/>
        <w:ind w:left="-851"/>
        <w:rPr>
          <w:color w:val="FF0000"/>
        </w:rPr>
      </w:pPr>
      <w:bookmarkStart w:id="108" w:name="_Toc332033597"/>
      <w:r w:rsidRPr="008F0359">
        <w:rPr>
          <w:noProof/>
          <w:color w:val="FF0000"/>
          <w:lang w:val="en-US" w:eastAsia="zh-TW"/>
        </w:rPr>
        <w:lastRenderedPageBreak/>
        <w:pict>
          <v:shape id="_x0000_s1213" type="#_x0000_t202" style="position:absolute;left:0;text-align:left;margin-left:-12.25pt;margin-top:675.05pt;width:436.7pt;height:45.9pt;z-index:251684352;mso-width-relative:margin;mso-height-relative:margin" filled="f" stroked="f">
            <v:textbox>
              <w:txbxContent>
                <w:p w:rsidR="00A50F40" w:rsidRPr="00A029D6" w:rsidRDefault="00A50F40" w:rsidP="00143EBA">
                  <w:pPr>
                    <w:pStyle w:val="Caption"/>
                    <w:keepNext/>
                    <w:rPr>
                      <w:rFonts w:ascii="Gill Sans MT" w:hAnsi="Gill Sans MT"/>
                      <w:color w:val="auto"/>
                      <w:sz w:val="22"/>
                      <w:szCs w:val="22"/>
                    </w:rPr>
                  </w:pPr>
                  <w:proofErr w:type="gramStart"/>
                  <w:r>
                    <w:rPr>
                      <w:rFonts w:ascii="Gill Sans MT" w:hAnsi="Gill Sans MT"/>
                      <w:i/>
                      <w:color w:val="auto"/>
                      <w:sz w:val="22"/>
                      <w:szCs w:val="22"/>
                    </w:rPr>
                    <w:t>Figure 33</w:t>
                  </w:r>
                  <w:r w:rsidRPr="00305E30">
                    <w:rPr>
                      <w:rFonts w:ascii="Gill Sans MT" w:hAnsi="Gill Sans MT"/>
                      <w:i/>
                      <w:color w:val="auto"/>
                      <w:sz w:val="22"/>
                      <w:szCs w:val="22"/>
                    </w:rPr>
                    <w:t>.</w:t>
                  </w:r>
                  <w:proofErr w:type="gramEnd"/>
                  <w:r w:rsidRPr="00A029D6">
                    <w:rPr>
                      <w:rFonts w:ascii="Gill Sans MT" w:hAnsi="Gill Sans MT"/>
                      <w:color w:val="auto"/>
                      <w:sz w:val="22"/>
                      <w:szCs w:val="22"/>
                    </w:rPr>
                    <w:t xml:space="preserve"> </w:t>
                  </w:r>
                  <w:r>
                    <w:rPr>
                      <w:rFonts w:ascii="Gill Sans MT" w:hAnsi="Gill Sans MT"/>
                      <w:color w:val="auto"/>
                      <w:sz w:val="22"/>
                      <w:szCs w:val="22"/>
                    </w:rPr>
                    <w:t xml:space="preserve">Map displaying land use by industry type for the Greater Launceston area. </w:t>
                  </w:r>
                </w:p>
                <w:p w:rsidR="00A50F40" w:rsidRDefault="00A50F40"/>
              </w:txbxContent>
            </v:textbox>
          </v:shape>
        </w:pict>
      </w:r>
      <w:r w:rsidR="00656F2D">
        <w:rPr>
          <w:noProof/>
          <w:color w:val="FF0000"/>
          <w:lang w:eastAsia="en-AU"/>
        </w:rPr>
        <w:drawing>
          <wp:anchor distT="0" distB="0" distL="114300" distR="114300" simplePos="0" relativeHeight="251682304" behindDoc="0" locked="0" layoutInCell="1" allowOverlap="1">
            <wp:simplePos x="0" y="0"/>
            <wp:positionH relativeFrom="column">
              <wp:posOffset>3426205</wp:posOffset>
            </wp:positionH>
            <wp:positionV relativeFrom="paragraph">
              <wp:posOffset>176967</wp:posOffset>
            </wp:positionV>
            <wp:extent cx="2154134" cy="1864426"/>
            <wp:effectExtent l="19050" t="0" r="0" b="0"/>
            <wp:wrapNone/>
            <wp:docPr id="7" name="Picture 6" descr="ILU North Regio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U North Region.bmp"/>
                    <pic:cNvPicPr/>
                  </pic:nvPicPr>
                  <pic:blipFill>
                    <a:blip r:embed="rId33" cstate="print"/>
                    <a:stretch>
                      <a:fillRect/>
                    </a:stretch>
                  </pic:blipFill>
                  <pic:spPr>
                    <a:xfrm>
                      <a:off x="0" y="0"/>
                      <a:ext cx="2154134" cy="1864426"/>
                    </a:xfrm>
                    <a:prstGeom prst="rect">
                      <a:avLst/>
                    </a:prstGeom>
                  </pic:spPr>
                </pic:pic>
              </a:graphicData>
            </a:graphic>
          </wp:anchor>
        </w:drawing>
      </w:r>
      <w:r w:rsidR="00656F2D">
        <w:rPr>
          <w:noProof/>
          <w:color w:val="FF0000"/>
          <w:lang w:eastAsia="en-AU"/>
        </w:rPr>
        <w:drawing>
          <wp:inline distT="0" distB="0" distL="0" distR="0">
            <wp:extent cx="6293851" cy="8621486"/>
            <wp:effectExtent l="19050" t="0" r="0" b="0"/>
            <wp:docPr id="14" name="Picture 13" descr="Industrial map - GLMPTP Phil Cook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l map - GLMPTP Phil Cook (3).JPG"/>
                    <pic:cNvPicPr/>
                  </pic:nvPicPr>
                  <pic:blipFill>
                    <a:blip r:embed="rId34" cstate="print"/>
                    <a:stretch>
                      <a:fillRect/>
                    </a:stretch>
                  </pic:blipFill>
                  <pic:spPr>
                    <a:xfrm>
                      <a:off x="0" y="0"/>
                      <a:ext cx="6295033" cy="8623105"/>
                    </a:xfrm>
                    <a:prstGeom prst="rect">
                      <a:avLst/>
                    </a:prstGeom>
                  </pic:spPr>
                </pic:pic>
              </a:graphicData>
            </a:graphic>
          </wp:inline>
        </w:drawing>
      </w:r>
    </w:p>
    <w:p w:rsidR="00087E24" w:rsidRPr="00087E24" w:rsidRDefault="00087E24" w:rsidP="00087E24"/>
    <w:bookmarkEnd w:id="108"/>
    <w:p w:rsidR="00683164" w:rsidRDefault="00683164" w:rsidP="009347B8">
      <w:pPr>
        <w:spacing w:after="120"/>
        <w:rPr>
          <w:rFonts w:ascii="Gill Sans MT" w:hAnsi="Gill Sans MT"/>
        </w:rPr>
      </w:pPr>
    </w:p>
    <w:p w:rsidR="00683164" w:rsidRPr="00FC13EA" w:rsidRDefault="00FC13EA" w:rsidP="00683164">
      <w:pPr>
        <w:rPr>
          <w:rFonts w:ascii="Gill Sans MT" w:hAnsi="Gill Sans MT"/>
        </w:rPr>
      </w:pPr>
      <w:r w:rsidRPr="00E83DA2">
        <w:rPr>
          <w:rFonts w:ascii="Gill Sans MT" w:eastAsia="Times New Roman" w:hAnsi="Gill Sans MT" w:cstheme="minorHAnsi"/>
          <w:lang w:eastAsia="en-AU"/>
        </w:rPr>
        <w:lastRenderedPageBreak/>
        <w:t xml:space="preserve">Nearly 6 million tonnes of freight moved through the Bell Bay industrial area (including the port) in 2008-09.  This included around 1.5 million tonnes of </w:t>
      </w:r>
      <w:r w:rsidR="00683164" w:rsidRPr="00E83DA2">
        <w:rPr>
          <w:rFonts w:ascii="Gill Sans MT" w:eastAsia="Times New Roman" w:hAnsi="Gill Sans MT" w:cstheme="minorHAnsi"/>
          <w:lang w:eastAsia="en-AU"/>
        </w:rPr>
        <w:t xml:space="preserve">freight moving out of the area, with basic iron and steel, aluminium and other metallic ore making up more than 50% of these movements.  As a destination for freight, the Bell Bay industrial area had 4.3 million tonnes moved into the area in 2008-09, with logs making up more than 50% of this task and ore another 20%.  </w:t>
      </w:r>
    </w:p>
    <w:p w:rsidR="00683164" w:rsidRDefault="00683164" w:rsidP="00683164">
      <w:pPr>
        <w:rPr>
          <w:rFonts w:ascii="Gill Sans MT" w:eastAsia="Times New Roman" w:hAnsi="Gill Sans MT" w:cstheme="minorHAnsi"/>
          <w:lang w:eastAsia="en-AU"/>
        </w:rPr>
      </w:pPr>
      <w:r w:rsidRPr="00E83DA2">
        <w:rPr>
          <w:rFonts w:ascii="Gill Sans MT" w:eastAsia="Times New Roman" w:hAnsi="Gill Sans MT" w:cstheme="minorHAnsi"/>
          <w:lang w:eastAsia="en-AU"/>
        </w:rPr>
        <w:t xml:space="preserve">The Bell Bay industrial area is quite unique, as a large proportion of the freight task associated with the industrial area moves only on roads within it.  This is due to the close proximity of Bell Bay port to the industrial estate.  For example, almost 600,000 tonnes of the incoming freight task was moved only within the industrial area, between the port and businesses within the industrial estate. </w:t>
      </w:r>
    </w:p>
    <w:p w:rsidR="00683164" w:rsidRPr="00E83DA2" w:rsidRDefault="00683164" w:rsidP="00683164">
      <w:pPr>
        <w:spacing w:after="120"/>
        <w:rPr>
          <w:rFonts w:ascii="Gill Sans MT" w:hAnsi="Gill Sans MT"/>
          <w:i/>
        </w:rPr>
      </w:pPr>
      <w:r>
        <w:rPr>
          <w:rFonts w:ascii="Gill Sans MT" w:hAnsi="Gill Sans MT"/>
          <w:i/>
        </w:rPr>
        <w:t>Industrial areas around G</w:t>
      </w:r>
      <w:r w:rsidRPr="00E83DA2">
        <w:rPr>
          <w:rFonts w:ascii="Gill Sans MT" w:hAnsi="Gill Sans MT"/>
          <w:i/>
        </w:rPr>
        <w:t>reater Launceston</w:t>
      </w:r>
    </w:p>
    <w:p w:rsidR="00683164" w:rsidRPr="00E83DA2" w:rsidRDefault="00683164" w:rsidP="00683164">
      <w:pPr>
        <w:spacing w:after="120"/>
        <w:rPr>
          <w:rFonts w:ascii="Gill Sans MT" w:hAnsi="Gill Sans MT"/>
        </w:rPr>
      </w:pPr>
      <w:r w:rsidRPr="00E83DA2">
        <w:rPr>
          <w:rFonts w:ascii="Gill Sans MT" w:hAnsi="Gill Sans MT"/>
        </w:rPr>
        <w:t xml:space="preserve">There are a number of industrial areas around Launceston, as it is a major industry hub for northern Tasmania, and is Tasmania’s second largest city.   </w:t>
      </w:r>
    </w:p>
    <w:p w:rsidR="00683164" w:rsidRPr="00E83DA2" w:rsidRDefault="00683164" w:rsidP="00683164">
      <w:pPr>
        <w:spacing w:after="120"/>
        <w:rPr>
          <w:rFonts w:ascii="Gill Sans MT" w:hAnsi="Gill Sans MT"/>
        </w:rPr>
      </w:pPr>
      <w:r w:rsidRPr="00E83DA2">
        <w:rPr>
          <w:rFonts w:ascii="Gill Sans MT" w:hAnsi="Gill Sans MT"/>
        </w:rPr>
        <w:t xml:space="preserve">The oldest of Launceston’s industrial areas is the Invermay/Inveresk precinct near Launceston’s CBD, along the southern side of the North Esk River. This area has </w:t>
      </w:r>
      <w:r>
        <w:rPr>
          <w:rFonts w:ascii="Gill Sans MT" w:hAnsi="Gill Sans MT"/>
        </w:rPr>
        <w:t xml:space="preserve">a </w:t>
      </w:r>
      <w:r w:rsidRPr="00E83DA2">
        <w:rPr>
          <w:rFonts w:ascii="Gill Sans MT" w:hAnsi="Gill Sans MT"/>
        </w:rPr>
        <w:t>mix of smaller light industrial uses, including timber, roofing and engineering firms.  There is a major brewery located close to this area, on the northern side of Launceston’s CBD.</w:t>
      </w:r>
    </w:p>
    <w:p w:rsidR="009347B8" w:rsidRPr="00E83DA2" w:rsidRDefault="009347B8" w:rsidP="00683164">
      <w:pPr>
        <w:spacing w:after="120"/>
        <w:rPr>
          <w:rFonts w:ascii="Gill Sans MT" w:hAnsi="Gill Sans MT"/>
        </w:rPr>
      </w:pPr>
      <w:r w:rsidRPr="00E83DA2">
        <w:rPr>
          <w:rFonts w:ascii="Gill Sans MT" w:hAnsi="Gill Sans MT"/>
        </w:rPr>
        <w:t xml:space="preserve">Due to the location of a number of construction related industries in this area, freight movements are dominated by quarried material, along with cement and premixed concrete.  Beer, ale and stout, along with rough sawn and dressed timber also comprise a significant proportion of the area’s freight.  </w:t>
      </w:r>
    </w:p>
    <w:p w:rsidR="009347B8" w:rsidRPr="00E83DA2" w:rsidRDefault="009347B8" w:rsidP="009347B8">
      <w:pPr>
        <w:spacing w:after="120"/>
        <w:rPr>
          <w:rFonts w:ascii="Gill Sans MT" w:hAnsi="Gill Sans MT"/>
        </w:rPr>
      </w:pPr>
      <w:r w:rsidRPr="00143EBA">
        <w:rPr>
          <w:rFonts w:ascii="Gill Sans MT" w:hAnsi="Gill Sans MT"/>
        </w:rPr>
        <w:t>Other</w:t>
      </w:r>
      <w:r w:rsidRPr="00E83DA2">
        <w:rPr>
          <w:rFonts w:ascii="Gill Sans MT" w:hAnsi="Gill Sans MT"/>
        </w:rPr>
        <w:t xml:space="preserve"> industrial areas around Launceston include:</w:t>
      </w:r>
    </w:p>
    <w:p w:rsidR="009347B8" w:rsidRPr="00E83DA2" w:rsidRDefault="009347B8" w:rsidP="009347B8">
      <w:pPr>
        <w:pStyle w:val="ListParagraph"/>
        <w:numPr>
          <w:ilvl w:val="0"/>
          <w:numId w:val="10"/>
        </w:numPr>
        <w:spacing w:after="120"/>
        <w:ind w:left="426"/>
        <w:rPr>
          <w:rFonts w:ascii="Gill Sans MT" w:hAnsi="Gill Sans MT"/>
        </w:rPr>
      </w:pPr>
      <w:r w:rsidRPr="00E83DA2">
        <w:rPr>
          <w:rFonts w:ascii="Gill Sans MT" w:hAnsi="Gill Sans MT"/>
        </w:rPr>
        <w:t>Rocherlea, north of Invermay and on the outskirts of Launceston.  This area predominantly has light industrial activities, and currently generates limited heavy freight movements;</w:t>
      </w:r>
    </w:p>
    <w:p w:rsidR="009347B8" w:rsidRPr="00E83DA2" w:rsidRDefault="009347B8" w:rsidP="009347B8">
      <w:pPr>
        <w:pStyle w:val="ListParagraph"/>
        <w:numPr>
          <w:ilvl w:val="0"/>
          <w:numId w:val="10"/>
        </w:numPr>
        <w:spacing w:after="120"/>
        <w:ind w:left="426"/>
        <w:rPr>
          <w:rFonts w:ascii="Gill Sans MT" w:hAnsi="Gill Sans MT"/>
        </w:rPr>
      </w:pPr>
      <w:r w:rsidRPr="00E83DA2">
        <w:rPr>
          <w:rFonts w:ascii="Gill Sans MT" w:hAnsi="Gill Sans MT"/>
        </w:rPr>
        <w:t xml:space="preserve">Waverley - St </w:t>
      </w:r>
      <w:proofErr w:type="gramStart"/>
      <w:r w:rsidRPr="00E83DA2">
        <w:rPr>
          <w:rFonts w:ascii="Gill Sans MT" w:hAnsi="Gill Sans MT"/>
        </w:rPr>
        <w:t>Leonards</w:t>
      </w:r>
      <w:proofErr w:type="gramEnd"/>
      <w:r w:rsidRPr="00E83DA2">
        <w:rPr>
          <w:rFonts w:ascii="Gill Sans MT" w:hAnsi="Gill Sans MT"/>
        </w:rPr>
        <w:t xml:space="preserve"> area, which has a large wool mill, along with a number of other businesses supporting the livestock and timber industries. This area also has some storage, warehousing and distribution businesses;</w:t>
      </w:r>
    </w:p>
    <w:p w:rsidR="009347B8" w:rsidRPr="00E83DA2" w:rsidRDefault="009347B8" w:rsidP="009347B8">
      <w:pPr>
        <w:pStyle w:val="ListParagraph"/>
        <w:numPr>
          <w:ilvl w:val="0"/>
          <w:numId w:val="10"/>
        </w:numPr>
        <w:spacing w:after="120"/>
        <w:ind w:left="426"/>
        <w:rPr>
          <w:rFonts w:ascii="Gill Sans MT" w:hAnsi="Gill Sans MT"/>
        </w:rPr>
      </w:pPr>
      <w:r w:rsidRPr="00E83DA2">
        <w:rPr>
          <w:rFonts w:ascii="Gill Sans MT" w:hAnsi="Gill Sans MT"/>
        </w:rPr>
        <w:t>Prospect on the western side of Launceston, which contains a major grocery wholesaler, along with a number of light industrial businesses, which generates relatively low volumes of freight;</w:t>
      </w:r>
    </w:p>
    <w:p w:rsidR="009347B8" w:rsidRPr="00E83DA2" w:rsidRDefault="009347B8" w:rsidP="009347B8">
      <w:pPr>
        <w:pStyle w:val="ListParagraph"/>
        <w:numPr>
          <w:ilvl w:val="0"/>
          <w:numId w:val="10"/>
        </w:numPr>
        <w:spacing w:after="120"/>
        <w:ind w:left="426"/>
        <w:rPr>
          <w:rFonts w:ascii="Gill Sans MT" w:hAnsi="Gill Sans MT"/>
        </w:rPr>
      </w:pPr>
      <w:r w:rsidRPr="00E83DA2">
        <w:rPr>
          <w:rFonts w:ascii="Gill Sans MT" w:hAnsi="Gill Sans MT"/>
        </w:rPr>
        <w:t>Legana, north-west of Launceston which has a small industrial area, mostly comprised of smaller, light industrial businesses, with some logistics companies and a cold storage facility; and</w:t>
      </w:r>
    </w:p>
    <w:p w:rsidR="009347B8" w:rsidRPr="00E83DA2" w:rsidRDefault="009347B8" w:rsidP="009347B8">
      <w:pPr>
        <w:pStyle w:val="ListParagraph"/>
        <w:numPr>
          <w:ilvl w:val="0"/>
          <w:numId w:val="10"/>
        </w:numPr>
        <w:spacing w:after="120"/>
        <w:ind w:left="426"/>
        <w:rPr>
          <w:rFonts w:ascii="Gill Sans MT" w:hAnsi="Gill Sans MT"/>
        </w:rPr>
      </w:pPr>
      <w:r w:rsidRPr="00E83DA2">
        <w:rPr>
          <w:rFonts w:ascii="Gill Sans MT" w:hAnsi="Gill Sans MT"/>
        </w:rPr>
        <w:t xml:space="preserve">Kings Meadows and Youngtown, on the south-eastern outskirts of Launceston, </w:t>
      </w:r>
      <w:proofErr w:type="gramStart"/>
      <w:r w:rsidRPr="00E83DA2">
        <w:rPr>
          <w:rFonts w:ascii="Gill Sans MT" w:hAnsi="Gill Sans MT"/>
        </w:rPr>
        <w:t>contains</w:t>
      </w:r>
      <w:proofErr w:type="gramEnd"/>
      <w:r w:rsidRPr="00E83DA2">
        <w:rPr>
          <w:rFonts w:ascii="Gill Sans MT" w:hAnsi="Gill Sans MT"/>
        </w:rPr>
        <w:t xml:space="preserve"> a number of light industrial businesses, many relating to building materials and services.</w:t>
      </w:r>
    </w:p>
    <w:p w:rsidR="007575E9" w:rsidRDefault="007575E9" w:rsidP="00683164">
      <w:pPr>
        <w:spacing w:before="240"/>
        <w:rPr>
          <w:rFonts w:ascii="Gill Sans MT" w:hAnsi="Gill Sans MT"/>
          <w:i/>
        </w:rPr>
      </w:pPr>
    </w:p>
    <w:p w:rsidR="00756B53" w:rsidRPr="00E83DA2" w:rsidRDefault="00756B53" w:rsidP="00683164">
      <w:pPr>
        <w:spacing w:before="240"/>
        <w:rPr>
          <w:rFonts w:ascii="Gill Sans MT" w:hAnsi="Gill Sans MT"/>
          <w:i/>
        </w:rPr>
      </w:pPr>
      <w:r w:rsidRPr="00E83DA2">
        <w:rPr>
          <w:rFonts w:ascii="Gill Sans MT" w:hAnsi="Gill Sans MT"/>
          <w:i/>
        </w:rPr>
        <w:lastRenderedPageBreak/>
        <w:t>Western Junction - Breadalbane area</w:t>
      </w:r>
    </w:p>
    <w:p w:rsidR="00756B53" w:rsidRPr="00E83DA2" w:rsidRDefault="00756B53" w:rsidP="00A331B4">
      <w:pPr>
        <w:spacing w:after="120"/>
        <w:rPr>
          <w:rFonts w:ascii="Gill Sans MT" w:hAnsi="Gill Sans MT"/>
        </w:rPr>
      </w:pPr>
      <w:r w:rsidRPr="00E83DA2">
        <w:rPr>
          <w:rFonts w:ascii="Gill Sans MT" w:hAnsi="Gill Sans MT"/>
        </w:rPr>
        <w:t xml:space="preserve">The commercial/industrial land between Breadalbane and Evandale generates the most significant freight volumes for the Northern Midlands district.  It plays a significant role for the Greater Launceston area, due to its proximity to Launceston and access to transport networks.  Land use in the area is a mix of airport related activity (e.g. car hire) and warehousing, logistics and light industry. </w:t>
      </w:r>
    </w:p>
    <w:p w:rsidR="00756B53" w:rsidRPr="00E83DA2" w:rsidRDefault="00756B53" w:rsidP="00A331B4">
      <w:pPr>
        <w:rPr>
          <w:rFonts w:ascii="Gill Sans MT" w:hAnsi="Gill Sans MT"/>
        </w:rPr>
      </w:pPr>
      <w:r w:rsidRPr="00E83DA2">
        <w:rPr>
          <w:rFonts w:ascii="Gill Sans MT" w:hAnsi="Gill Sans MT"/>
        </w:rPr>
        <w:t>Nearly 500,000 tonnes of freight moved in the Western Junction area in 2008-09.  Quarried materials, logs and timber materials and mixed groceries and consumer goods were the main goods moved around this area.</w:t>
      </w:r>
    </w:p>
    <w:p w:rsidR="00756B53" w:rsidRPr="00E83DA2" w:rsidRDefault="00756B53" w:rsidP="00A331B4">
      <w:pPr>
        <w:spacing w:after="120"/>
        <w:rPr>
          <w:rFonts w:ascii="Gill Sans MT" w:hAnsi="Gill Sans MT"/>
          <w:i/>
        </w:rPr>
      </w:pPr>
      <w:r w:rsidRPr="00E83DA2">
        <w:rPr>
          <w:rFonts w:ascii="Gill Sans MT" w:hAnsi="Gill Sans MT"/>
          <w:i/>
        </w:rPr>
        <w:t>Longford</w:t>
      </w:r>
    </w:p>
    <w:p w:rsidR="00756B53" w:rsidRPr="00E83DA2" w:rsidRDefault="00756B53" w:rsidP="00A331B4">
      <w:pPr>
        <w:spacing w:after="120"/>
        <w:rPr>
          <w:rFonts w:ascii="Gill Sans MT" w:hAnsi="Gill Sans MT"/>
        </w:rPr>
      </w:pPr>
      <w:r w:rsidRPr="00E83DA2">
        <w:rPr>
          <w:rFonts w:ascii="Gill Sans MT" w:hAnsi="Gill Sans MT"/>
        </w:rPr>
        <w:t>This industrial area is at the northern end of the township, and includes an abattoir, brickworks and log treatment facility. Livestock, meat and meat products make up the highest percentage for freight to and from Longford, followed by quarried materials and logs/timber products.</w:t>
      </w:r>
    </w:p>
    <w:p w:rsidR="00756B53" w:rsidRPr="00E83DA2" w:rsidRDefault="00756B53" w:rsidP="00A331B4">
      <w:pPr>
        <w:spacing w:after="120"/>
        <w:rPr>
          <w:rFonts w:ascii="Gill Sans MT" w:hAnsi="Gill Sans MT"/>
        </w:rPr>
      </w:pPr>
      <w:r w:rsidRPr="00E83DA2">
        <w:rPr>
          <w:rFonts w:ascii="Gill Sans MT" w:hAnsi="Gill Sans MT"/>
          <w:i/>
        </w:rPr>
        <w:t>Scottsdale and the north-east</w:t>
      </w:r>
    </w:p>
    <w:p w:rsidR="00756B53" w:rsidRPr="00E83DA2" w:rsidRDefault="00756B53" w:rsidP="00A331B4">
      <w:pPr>
        <w:spacing w:after="120"/>
        <w:rPr>
          <w:rFonts w:ascii="Gill Sans MT" w:hAnsi="Gill Sans MT"/>
        </w:rPr>
      </w:pPr>
      <w:r w:rsidRPr="00E83DA2">
        <w:rPr>
          <w:rFonts w:ascii="Gill Sans MT" w:hAnsi="Gill Sans MT"/>
        </w:rPr>
        <w:t>Scottsdale was formerly a major area for processing agriculture and forestry products, but over recent years, processing facilities for these industries are now focused around Bell Bay (forestry) and north-west Tasmania (agricultural products, including potatoes and milk).  However, the north-east remains a major generator of forestry and agricultural freight, due to the large areas of forest and productive farmland in the region.</w:t>
      </w:r>
    </w:p>
    <w:p w:rsidR="00756B53" w:rsidRPr="00E83DA2" w:rsidRDefault="00756B53" w:rsidP="00A331B4">
      <w:pPr>
        <w:spacing w:after="120"/>
        <w:rPr>
          <w:rFonts w:ascii="Gill Sans MT" w:hAnsi="Gill Sans MT"/>
        </w:rPr>
      </w:pPr>
      <w:r w:rsidRPr="00E83DA2">
        <w:rPr>
          <w:rFonts w:ascii="Gill Sans MT" w:hAnsi="Gill Sans MT"/>
          <w:i/>
        </w:rPr>
        <w:t>Westbury</w:t>
      </w:r>
    </w:p>
    <w:p w:rsidR="00756B53" w:rsidRPr="00E83DA2" w:rsidRDefault="00756B53" w:rsidP="00A331B4">
      <w:pPr>
        <w:spacing w:after="120"/>
        <w:rPr>
          <w:rFonts w:ascii="Gill Sans MT" w:hAnsi="Gill Sans MT"/>
        </w:rPr>
      </w:pPr>
      <w:r w:rsidRPr="00E83DA2">
        <w:rPr>
          <w:rFonts w:ascii="Gill Sans MT" w:hAnsi="Gill Sans MT"/>
        </w:rPr>
        <w:t>The Trans Central Industrial Estate is located on Bir</w:t>
      </w:r>
      <w:r w:rsidR="004B421B">
        <w:rPr>
          <w:rFonts w:ascii="Gill Sans MT" w:hAnsi="Gill Sans MT"/>
        </w:rPr>
        <w:t>r</w:t>
      </w:r>
      <w:r w:rsidRPr="00E83DA2">
        <w:rPr>
          <w:rFonts w:ascii="Gill Sans MT" w:hAnsi="Gill Sans MT"/>
        </w:rPr>
        <w:t>alee Main Road north of the Bass Highway. It contains facilities for a range of industrial processes including LNG, pharmaceutical opium, concrete, machinery fabrication and housing materials.</w:t>
      </w:r>
    </w:p>
    <w:p w:rsidR="00756B53" w:rsidRDefault="00756B53" w:rsidP="009347B8">
      <w:pPr>
        <w:rPr>
          <w:rFonts w:ascii="Gill Sans MT" w:hAnsi="Gill Sans MT"/>
        </w:rPr>
      </w:pPr>
    </w:p>
    <w:p w:rsidR="009347B8" w:rsidRPr="009347B8" w:rsidRDefault="009347B8" w:rsidP="009347B8">
      <w:pPr>
        <w:rPr>
          <w:rFonts w:ascii="Gill Sans MT" w:hAnsi="Gill Sans MT"/>
        </w:rPr>
        <w:sectPr w:rsidR="009347B8" w:rsidRPr="009347B8" w:rsidSect="00103702">
          <w:pgSz w:w="11906" w:h="16838"/>
          <w:pgMar w:top="993" w:right="1797" w:bottom="709" w:left="1797" w:header="709" w:footer="544" w:gutter="0"/>
          <w:cols w:space="708"/>
          <w:docGrid w:linePitch="360"/>
        </w:sectPr>
      </w:pPr>
    </w:p>
    <w:p w:rsidR="00307348" w:rsidRPr="0096069E" w:rsidRDefault="00307348" w:rsidP="00307348">
      <w:pPr>
        <w:pStyle w:val="Heading1"/>
        <w:rPr>
          <w:rFonts w:ascii="Gill Sans MT" w:hAnsi="Gill Sans MT"/>
        </w:rPr>
      </w:pPr>
      <w:bookmarkStart w:id="109" w:name="_Toc332115770"/>
      <w:bookmarkStart w:id="110" w:name="_Toc332115793"/>
      <w:r w:rsidRPr="0096069E">
        <w:rPr>
          <w:rFonts w:ascii="Gill Sans MT" w:hAnsi="Gill Sans MT"/>
        </w:rPr>
        <w:lastRenderedPageBreak/>
        <w:t>Transport and safety</w:t>
      </w:r>
      <w:bookmarkEnd w:id="109"/>
    </w:p>
    <w:p w:rsidR="00307348" w:rsidRPr="0096069E" w:rsidRDefault="00307348" w:rsidP="00307348">
      <w:pPr>
        <w:pStyle w:val="Heading2"/>
      </w:pPr>
      <w:bookmarkStart w:id="111" w:name="_Toc332033600"/>
      <w:bookmarkStart w:id="112" w:name="_Toc332114105"/>
      <w:bookmarkStart w:id="113" w:name="_Toc332115680"/>
      <w:bookmarkStart w:id="114" w:name="_Toc332115771"/>
      <w:r w:rsidRPr="0096069E">
        <w:t>Key strategic issues</w:t>
      </w:r>
      <w:bookmarkEnd w:id="111"/>
      <w:bookmarkEnd w:id="112"/>
      <w:bookmarkEnd w:id="113"/>
      <w:bookmarkEnd w:id="114"/>
    </w:p>
    <w:p w:rsidR="00307348" w:rsidRPr="0096069E" w:rsidRDefault="00307348" w:rsidP="00307348">
      <w:pPr>
        <w:pStyle w:val="ListParagraph"/>
        <w:numPr>
          <w:ilvl w:val="0"/>
          <w:numId w:val="20"/>
        </w:numPr>
        <w:rPr>
          <w:rFonts w:ascii="Gill Sans MT" w:hAnsi="Gill Sans MT"/>
        </w:rPr>
      </w:pPr>
      <w:r w:rsidRPr="0096069E">
        <w:rPr>
          <w:rFonts w:ascii="Gill Sans MT" w:hAnsi="Gill Sans MT"/>
        </w:rPr>
        <w:t>Community concerns – heavy vehicles in urban areas, conflicts between road users (eg. freight, commuters, tourists, buses and cyclists)</w:t>
      </w:r>
    </w:p>
    <w:p w:rsidR="00307348" w:rsidRPr="0096069E" w:rsidRDefault="00307348" w:rsidP="00307348">
      <w:pPr>
        <w:pStyle w:val="ListParagraph"/>
        <w:numPr>
          <w:ilvl w:val="0"/>
          <w:numId w:val="20"/>
        </w:numPr>
        <w:rPr>
          <w:rFonts w:ascii="Gill Sans MT" w:hAnsi="Gill Sans MT"/>
        </w:rPr>
      </w:pPr>
      <w:r w:rsidRPr="0096069E">
        <w:rPr>
          <w:rFonts w:ascii="Gill Sans MT" w:hAnsi="Gill Sans MT"/>
        </w:rPr>
        <w:t>Availability of new technologies</w:t>
      </w:r>
    </w:p>
    <w:p w:rsidR="00307348" w:rsidRPr="0096069E" w:rsidRDefault="00307348" w:rsidP="00307348">
      <w:pPr>
        <w:pStyle w:val="ListParagraph"/>
        <w:numPr>
          <w:ilvl w:val="0"/>
          <w:numId w:val="20"/>
        </w:numPr>
        <w:rPr>
          <w:rFonts w:ascii="Gill Sans MT" w:hAnsi="Gill Sans MT"/>
        </w:rPr>
      </w:pPr>
      <w:r w:rsidRPr="0096069E">
        <w:rPr>
          <w:rFonts w:ascii="Gill Sans MT" w:hAnsi="Gill Sans MT"/>
        </w:rPr>
        <w:t>Difficulty achieving behavioural change with motorists</w:t>
      </w:r>
    </w:p>
    <w:p w:rsidR="00307348" w:rsidRPr="0096069E" w:rsidRDefault="00307348" w:rsidP="00307348">
      <w:pPr>
        <w:pStyle w:val="ListParagraph"/>
        <w:numPr>
          <w:ilvl w:val="0"/>
          <w:numId w:val="20"/>
        </w:numPr>
        <w:rPr>
          <w:rFonts w:ascii="Gill Sans MT" w:hAnsi="Gill Sans MT"/>
        </w:rPr>
      </w:pPr>
      <w:r w:rsidRPr="0096069E">
        <w:rPr>
          <w:rFonts w:ascii="Gill Sans MT" w:hAnsi="Gill Sans MT"/>
        </w:rPr>
        <w:t>High cost of infrastructure involved in addressing road safety</w:t>
      </w:r>
    </w:p>
    <w:p w:rsidR="00307348" w:rsidRPr="0096069E" w:rsidRDefault="00307348" w:rsidP="00307348">
      <w:pPr>
        <w:pStyle w:val="Heading2"/>
      </w:pPr>
      <w:bookmarkStart w:id="115" w:name="_Toc332033601"/>
      <w:bookmarkStart w:id="116" w:name="_Toc332114106"/>
      <w:bookmarkStart w:id="117" w:name="_Toc332115681"/>
      <w:bookmarkStart w:id="118" w:name="_Toc332115772"/>
      <w:r w:rsidRPr="0096069E">
        <w:t>Other issues</w:t>
      </w:r>
      <w:bookmarkEnd w:id="115"/>
      <w:bookmarkEnd w:id="116"/>
      <w:bookmarkEnd w:id="117"/>
      <w:bookmarkEnd w:id="118"/>
    </w:p>
    <w:p w:rsidR="00307348" w:rsidRPr="0096069E" w:rsidRDefault="00307348" w:rsidP="00307348">
      <w:pPr>
        <w:pStyle w:val="ListParagraph"/>
        <w:numPr>
          <w:ilvl w:val="0"/>
          <w:numId w:val="20"/>
        </w:numPr>
        <w:autoSpaceDE w:val="0"/>
        <w:autoSpaceDN w:val="0"/>
        <w:adjustRightInd w:val="0"/>
        <w:spacing w:after="0"/>
        <w:rPr>
          <w:rFonts w:ascii="Gill Sans MT" w:hAnsi="Gill Sans MT"/>
        </w:rPr>
      </w:pPr>
      <w:r w:rsidRPr="0096069E">
        <w:rPr>
          <w:rFonts w:ascii="Gill Sans MT" w:hAnsi="Gill Sans MT"/>
        </w:rPr>
        <w:t>Continuing to find ways to  improve road safety conditions through the Tasmanian Road Safety Strategy</w:t>
      </w:r>
    </w:p>
    <w:p w:rsidR="00307348" w:rsidRPr="0096069E" w:rsidRDefault="00307348" w:rsidP="00307348">
      <w:pPr>
        <w:pStyle w:val="ListParagraph"/>
        <w:numPr>
          <w:ilvl w:val="0"/>
          <w:numId w:val="20"/>
        </w:numPr>
        <w:autoSpaceDE w:val="0"/>
        <w:autoSpaceDN w:val="0"/>
        <w:adjustRightInd w:val="0"/>
        <w:spacing w:after="0"/>
        <w:rPr>
          <w:rFonts w:ascii="Gill Sans MT" w:hAnsi="Gill Sans MT"/>
        </w:rPr>
      </w:pPr>
      <w:r w:rsidRPr="0096069E">
        <w:rPr>
          <w:rFonts w:ascii="Gill Sans MT" w:hAnsi="Gill Sans MT"/>
        </w:rPr>
        <w:t>Implementing safer travel speeds on Tasmanian roads, as well as increasing the number of variable speed limit signs (VSL) and electronic school speed limit signs to target high risk areas by helping to increase the awareness of motorists</w:t>
      </w:r>
    </w:p>
    <w:p w:rsidR="00307348" w:rsidRPr="0096069E" w:rsidRDefault="00307348" w:rsidP="00307348">
      <w:pPr>
        <w:pStyle w:val="ListParagraph"/>
        <w:numPr>
          <w:ilvl w:val="0"/>
          <w:numId w:val="20"/>
        </w:numPr>
        <w:autoSpaceDE w:val="0"/>
        <w:autoSpaceDN w:val="0"/>
        <w:adjustRightInd w:val="0"/>
        <w:spacing w:after="0"/>
        <w:rPr>
          <w:rFonts w:ascii="Gill Sans MT" w:hAnsi="Gill Sans MT"/>
        </w:rPr>
      </w:pPr>
      <w:r w:rsidRPr="0096069E">
        <w:rPr>
          <w:rFonts w:ascii="Gill Sans MT" w:hAnsi="Gill Sans MT"/>
        </w:rPr>
        <w:t>Increasing safety for young road users, through the Novice Driver Reforms, as well as continuing to investigate further safety initiatives as part of the Graduated Licensing System.</w:t>
      </w:r>
    </w:p>
    <w:p w:rsidR="00307348" w:rsidRPr="0096069E" w:rsidRDefault="00307348" w:rsidP="00307348">
      <w:pPr>
        <w:pStyle w:val="Heading2"/>
      </w:pPr>
      <w:bookmarkStart w:id="119" w:name="_Toc332033602"/>
      <w:bookmarkStart w:id="120" w:name="_Toc332114107"/>
      <w:bookmarkStart w:id="121" w:name="_Toc332115682"/>
      <w:bookmarkStart w:id="122" w:name="_Toc332115773"/>
      <w:r w:rsidRPr="0096069E">
        <w:t>Background</w:t>
      </w:r>
      <w:bookmarkEnd w:id="119"/>
      <w:bookmarkEnd w:id="120"/>
      <w:bookmarkEnd w:id="121"/>
      <w:bookmarkEnd w:id="122"/>
    </w:p>
    <w:p w:rsidR="00307348" w:rsidRPr="0096069E" w:rsidRDefault="00307348" w:rsidP="00307348">
      <w:pPr>
        <w:rPr>
          <w:rFonts w:ascii="Gill Sans MT" w:hAnsi="Gill Sans MT"/>
        </w:rPr>
      </w:pPr>
      <w:r w:rsidRPr="0096069E">
        <w:rPr>
          <w:rFonts w:ascii="Gill Sans MT" w:hAnsi="Gill Sans MT"/>
        </w:rPr>
        <w:t xml:space="preserve">Safety should be considered in all transport decisions – whether they </w:t>
      </w:r>
      <w:proofErr w:type="gramStart"/>
      <w:r w:rsidRPr="0096069E">
        <w:rPr>
          <w:rFonts w:ascii="Gill Sans MT" w:hAnsi="Gill Sans MT"/>
        </w:rPr>
        <w:t>be</w:t>
      </w:r>
      <w:proofErr w:type="gramEnd"/>
      <w:r w:rsidRPr="0096069E">
        <w:rPr>
          <w:rFonts w:ascii="Gill Sans MT" w:hAnsi="Gill Sans MT"/>
        </w:rPr>
        <w:t xml:space="preserve"> engineering, design or use. The high dependence on Tasmania’s State road network makes roads a central part of all transport safety initiatives – yet there are also gains to be made </w:t>
      </w:r>
      <w:r w:rsidR="004B421B">
        <w:rPr>
          <w:rFonts w:ascii="Gill Sans MT" w:hAnsi="Gill Sans MT"/>
        </w:rPr>
        <w:t xml:space="preserve">across other infrastructure including </w:t>
      </w:r>
      <w:r w:rsidRPr="0096069E">
        <w:rPr>
          <w:rFonts w:ascii="Gill Sans MT" w:hAnsi="Gill Sans MT"/>
        </w:rPr>
        <w:t>rail, maritime, cycling and pedestrian infrastructure.</w:t>
      </w:r>
    </w:p>
    <w:p w:rsidR="00307348" w:rsidRPr="0096069E" w:rsidRDefault="00307348" w:rsidP="00307348">
      <w:pPr>
        <w:autoSpaceDE w:val="0"/>
        <w:autoSpaceDN w:val="0"/>
        <w:adjustRightInd w:val="0"/>
        <w:spacing w:after="0"/>
        <w:rPr>
          <w:rFonts w:ascii="Gill Sans MT" w:hAnsi="Gill Sans MT" w:cs="GillSans-Light"/>
        </w:rPr>
      </w:pPr>
      <w:r w:rsidRPr="0096069E">
        <w:rPr>
          <w:rFonts w:ascii="Gill Sans MT" w:hAnsi="Gill Sans MT"/>
        </w:rPr>
        <w:t xml:space="preserve">In 2002, the Tasmanian Government demonstrated a strong desire to improve road safety standards, </w:t>
      </w:r>
      <w:r w:rsidRPr="0096069E">
        <w:rPr>
          <w:rFonts w:ascii="Gill Sans MT" w:hAnsi="Gill Sans MT" w:cs="GillSans-Light"/>
        </w:rPr>
        <w:t>providing a targeted blueprint for road safety improvements over a five-year period, identifying problem areas and listing achievable strategies to address those problems.</w:t>
      </w:r>
      <w:r w:rsidRPr="0096069E">
        <w:rPr>
          <w:rFonts w:ascii="Gill Sans MT" w:hAnsi="Gill Sans MT"/>
        </w:rPr>
        <w:t xml:space="preserve"> T</w:t>
      </w:r>
      <w:r w:rsidRPr="0096069E">
        <w:rPr>
          <w:rFonts w:ascii="Gill Sans MT" w:hAnsi="Gill Sans MT" w:cs="GillSans-Light"/>
        </w:rPr>
        <w:t xml:space="preserve">he implementation of the </w:t>
      </w:r>
      <w:r w:rsidRPr="0096069E">
        <w:rPr>
          <w:rFonts w:ascii="Gill Sans MT" w:hAnsi="Gill Sans MT" w:cs="GillSans-LightItalic"/>
          <w:i/>
          <w:iCs/>
        </w:rPr>
        <w:t>Tasmanian Road Safety Strategy</w:t>
      </w:r>
      <w:r w:rsidRPr="0096069E">
        <w:rPr>
          <w:rFonts w:ascii="Gill Sans MT" w:hAnsi="Gill Sans MT" w:cs="GillSans-LightItalic"/>
          <w:iCs/>
        </w:rPr>
        <w:t xml:space="preserve"> </w:t>
      </w:r>
      <w:r w:rsidRPr="0096069E">
        <w:rPr>
          <w:rFonts w:ascii="Gill Sans MT" w:hAnsi="Gill Sans MT" w:cs="GillSans-LightItalic"/>
          <w:i/>
          <w:iCs/>
        </w:rPr>
        <w:t>2002-2006</w:t>
      </w:r>
      <w:r w:rsidRPr="0096069E">
        <w:rPr>
          <w:rFonts w:ascii="Gill Sans MT" w:hAnsi="Gill Sans MT" w:cs="GillSans-Light"/>
        </w:rPr>
        <w:t xml:space="preserve"> saw a 25% decrease in serious injuries – this is in spite of a 15% increase in the number of vehicles on Tasmanian roads. The second release of the </w:t>
      </w:r>
      <w:r w:rsidRPr="0096069E">
        <w:rPr>
          <w:rFonts w:ascii="Gill Sans MT" w:hAnsi="Gill Sans MT" w:cs="GillSans-Light"/>
          <w:i/>
        </w:rPr>
        <w:t>Tasmanian Road Safety Strategy 2007-2016</w:t>
      </w:r>
      <w:r w:rsidRPr="0096069E">
        <w:rPr>
          <w:rFonts w:ascii="Gill Sans MT" w:hAnsi="Gill Sans MT" w:cs="GillSans-Light"/>
        </w:rPr>
        <w:t xml:space="preserve"> is a continuation of the Government’s commitment to improving road safety for all users, outlining new approaches for targeting and reducing recognised safety risks.</w:t>
      </w:r>
    </w:p>
    <w:p w:rsidR="00307348" w:rsidRPr="0096069E" w:rsidRDefault="00307348" w:rsidP="00307348">
      <w:pPr>
        <w:autoSpaceDE w:val="0"/>
        <w:autoSpaceDN w:val="0"/>
        <w:adjustRightInd w:val="0"/>
        <w:spacing w:after="0"/>
        <w:rPr>
          <w:rFonts w:ascii="Gill Sans MT" w:hAnsi="Gill Sans MT" w:cs="GillSans-Light"/>
        </w:rPr>
      </w:pPr>
    </w:p>
    <w:p w:rsidR="00307348" w:rsidRPr="0096069E" w:rsidRDefault="00307348" w:rsidP="00307348">
      <w:pPr>
        <w:autoSpaceDE w:val="0"/>
        <w:autoSpaceDN w:val="0"/>
        <w:adjustRightInd w:val="0"/>
        <w:spacing w:after="0"/>
        <w:rPr>
          <w:rFonts w:ascii="Gill Sans MT" w:hAnsi="Gill Sans MT"/>
        </w:rPr>
      </w:pPr>
      <w:r w:rsidRPr="0096069E">
        <w:rPr>
          <w:rFonts w:ascii="Gill Sans MT" w:hAnsi="Gill Sans MT"/>
        </w:rPr>
        <w:t xml:space="preserve">The analysis of crash data can highlight trends in motor vehicle crashes, creating a clear understanding of where and why crashes are occurring, and how they can best be prevented. Infrastructure improvements can be undertaken to address these issues, including flexible mid and side barriers, tactile line marking and intersection improvements. While these improvements </w:t>
      </w:r>
      <w:r w:rsidRPr="0096069E">
        <w:rPr>
          <w:rFonts w:ascii="Gill Sans MT" w:hAnsi="Gill Sans MT"/>
        </w:rPr>
        <w:lastRenderedPageBreak/>
        <w:t>will reduce the number and severity of motor vehicle crashes, they will also assist in reducing risks for other vulnerable road users, such as cyclists and pedestrians.</w:t>
      </w:r>
    </w:p>
    <w:p w:rsidR="00307348" w:rsidRPr="0096069E" w:rsidRDefault="00307348" w:rsidP="00307348">
      <w:pPr>
        <w:pStyle w:val="Heading2"/>
      </w:pPr>
      <w:r w:rsidRPr="0096069E">
        <w:t>Tasmanian Road Safety Strategy 2007-2016</w:t>
      </w:r>
    </w:p>
    <w:p w:rsidR="00307348" w:rsidRPr="0096069E" w:rsidRDefault="00307348" w:rsidP="00307348">
      <w:pPr>
        <w:rPr>
          <w:rFonts w:ascii="Gill Sans MT" w:hAnsi="Gill Sans MT"/>
        </w:rPr>
      </w:pPr>
      <w:r w:rsidRPr="0096069E">
        <w:rPr>
          <w:rFonts w:ascii="Gill Sans MT" w:hAnsi="Gill Sans MT"/>
        </w:rPr>
        <w:t xml:space="preserve">The </w:t>
      </w:r>
      <w:r w:rsidRPr="0096069E">
        <w:rPr>
          <w:rFonts w:ascii="Gill Sans MT" w:hAnsi="Gill Sans MT"/>
          <w:i/>
        </w:rPr>
        <w:t>Tasmanian Road Safety Strategy 2007-2016</w:t>
      </w:r>
      <w:r w:rsidRPr="0096069E">
        <w:rPr>
          <w:rFonts w:ascii="Gill Sans MT" w:hAnsi="Gill Sans MT"/>
        </w:rPr>
        <w:t xml:space="preserve"> represents the Tasmanian Government’s commitment to improving the overall safety of the road network.  The long-term vision of the Strategy is the elimination of fatalities and serious injuries caused by road crashes in Tasmania.</w:t>
      </w:r>
    </w:p>
    <w:p w:rsidR="00307348" w:rsidRPr="0096069E" w:rsidRDefault="00307348" w:rsidP="00307348">
      <w:pPr>
        <w:rPr>
          <w:rFonts w:ascii="Gill Sans MT" w:hAnsi="Gill Sans MT"/>
        </w:rPr>
      </w:pPr>
      <w:r w:rsidRPr="0096069E">
        <w:rPr>
          <w:rFonts w:ascii="Gill Sans MT" w:hAnsi="Gill Sans MT"/>
        </w:rPr>
        <w:t xml:space="preserve">The Strategy is based on the Safe System approach - it accepts that drivers and riders make mistakes on the road and that crashes will occur.  This approach recognises that changes need to be made to our roads and roadside environments so that if a driver does make a mistake, injury severity will be reduced and death may be prevented.  The Safe System approach is based on harm minimisation principles, which seek to provide optimal ways for roads, speeds, people and vehicles to interact safely.  </w:t>
      </w:r>
    </w:p>
    <w:p w:rsidR="00307348" w:rsidRPr="0096069E" w:rsidRDefault="00307348" w:rsidP="00307348">
      <w:pPr>
        <w:rPr>
          <w:rFonts w:ascii="Gill Sans MT" w:hAnsi="Gill Sans MT"/>
        </w:rPr>
      </w:pPr>
      <w:r w:rsidRPr="0096069E">
        <w:rPr>
          <w:rFonts w:ascii="Gill Sans MT" w:hAnsi="Gill Sans MT"/>
        </w:rPr>
        <w:t>The Strategy contains four key Strategic Directions that have been identified through research and expert advice as the areas of focus that are most likely to target Tasmania’s crash problems and to reduce the number of serious casualties on our roads:</w:t>
      </w:r>
    </w:p>
    <w:p w:rsidR="00307348" w:rsidRPr="0096069E" w:rsidRDefault="00307348" w:rsidP="00307348">
      <w:pPr>
        <w:pStyle w:val="ListParagraph"/>
        <w:numPr>
          <w:ilvl w:val="0"/>
          <w:numId w:val="106"/>
        </w:numPr>
        <w:rPr>
          <w:rFonts w:ascii="Gill Sans MT" w:hAnsi="Gill Sans MT"/>
        </w:rPr>
      </w:pPr>
      <w:r w:rsidRPr="0096069E">
        <w:rPr>
          <w:rFonts w:ascii="Gill Sans MT" w:hAnsi="Gill Sans MT"/>
        </w:rPr>
        <w:t>Safer Travel Speeds;</w:t>
      </w:r>
    </w:p>
    <w:p w:rsidR="00307348" w:rsidRPr="0096069E" w:rsidRDefault="00307348" w:rsidP="00307348">
      <w:pPr>
        <w:pStyle w:val="ListParagraph"/>
        <w:numPr>
          <w:ilvl w:val="0"/>
          <w:numId w:val="106"/>
        </w:numPr>
        <w:rPr>
          <w:rFonts w:ascii="Gill Sans MT" w:hAnsi="Gill Sans MT"/>
        </w:rPr>
      </w:pPr>
      <w:r w:rsidRPr="0096069E">
        <w:rPr>
          <w:rFonts w:ascii="Gill Sans MT" w:hAnsi="Gill Sans MT"/>
        </w:rPr>
        <w:t>Best Practice Infrastructure;</w:t>
      </w:r>
    </w:p>
    <w:p w:rsidR="00307348" w:rsidRPr="0096069E" w:rsidRDefault="00307348" w:rsidP="00307348">
      <w:pPr>
        <w:pStyle w:val="ListParagraph"/>
        <w:numPr>
          <w:ilvl w:val="0"/>
          <w:numId w:val="106"/>
        </w:numPr>
        <w:rPr>
          <w:rFonts w:ascii="Gill Sans MT" w:hAnsi="Gill Sans MT"/>
        </w:rPr>
      </w:pPr>
      <w:r w:rsidRPr="0096069E">
        <w:rPr>
          <w:rFonts w:ascii="Gill Sans MT" w:hAnsi="Gill Sans MT"/>
        </w:rPr>
        <w:t xml:space="preserve">Increased Safety for Young Road Users; and </w:t>
      </w:r>
    </w:p>
    <w:p w:rsidR="00307348" w:rsidRPr="0096069E" w:rsidRDefault="00307348" w:rsidP="00307348">
      <w:pPr>
        <w:pStyle w:val="ListParagraph"/>
        <w:numPr>
          <w:ilvl w:val="0"/>
          <w:numId w:val="106"/>
        </w:numPr>
        <w:rPr>
          <w:rFonts w:ascii="Gill Sans MT" w:hAnsi="Gill Sans MT"/>
        </w:rPr>
      </w:pPr>
      <w:r w:rsidRPr="0096069E">
        <w:rPr>
          <w:rFonts w:ascii="Gill Sans MT" w:hAnsi="Gill Sans MT"/>
        </w:rPr>
        <w:t>Enhanced Vehicle Safety.</w:t>
      </w:r>
    </w:p>
    <w:p w:rsidR="00307348" w:rsidRPr="0096069E" w:rsidRDefault="00307348" w:rsidP="00307348">
      <w:pPr>
        <w:rPr>
          <w:rFonts w:ascii="Gill Sans MT" w:hAnsi="Gill Sans MT"/>
        </w:rPr>
      </w:pPr>
      <w:r w:rsidRPr="0096069E">
        <w:rPr>
          <w:rFonts w:ascii="Gill Sans MT" w:hAnsi="Gill Sans MT"/>
        </w:rPr>
        <w:t xml:space="preserve">The Strategy’s supporting three year Action Plans outline a range of initiatives that will be undertaken against each of the four key strategic areas.  These are initiatives that will deliver the optimum return in terms of casualty crash savings.  </w:t>
      </w:r>
    </w:p>
    <w:p w:rsidR="00307348" w:rsidRPr="0096069E" w:rsidRDefault="00307348" w:rsidP="00307348">
      <w:pPr>
        <w:rPr>
          <w:rFonts w:ascii="Gill Sans MT" w:hAnsi="Gill Sans MT"/>
        </w:rPr>
      </w:pPr>
      <w:r w:rsidRPr="0096069E">
        <w:rPr>
          <w:rFonts w:ascii="Gill Sans MT" w:hAnsi="Gill Sans MT"/>
        </w:rPr>
        <w:t>To support the implementation of the Strategy, The Tasmanian Government introduced a Road Safety Levy on 1 December 2007 to fund ongoing key initiatives.  The levy is applied to the registration of all vehicles that have broad access to the road network and is expected to raise approximately $12 million per year for road safety initiatives.  The levy is a fund that is set aside and is only able to be spent on improving road safety in accordance with the Strategy. Approximately three-quarters of levy funds are allocated to best practice infrastructure projects aimed at improving the safety of the road network.</w:t>
      </w:r>
    </w:p>
    <w:p w:rsidR="00307348" w:rsidRPr="0096069E" w:rsidRDefault="00307348" w:rsidP="00307348">
      <w:pPr>
        <w:rPr>
          <w:rFonts w:ascii="Gill Sans MT" w:hAnsi="Gill Sans MT"/>
        </w:rPr>
      </w:pPr>
      <w:r w:rsidRPr="0096069E">
        <w:rPr>
          <w:rFonts w:ascii="Gill Sans MT" w:hAnsi="Gill Sans MT"/>
        </w:rPr>
        <w:t xml:space="preserve">Measures introduced or underway, to support a reduction in serious casualties, include: targeted road infrastructure investment; introduction of the </w:t>
      </w:r>
      <w:r w:rsidRPr="0096069E">
        <w:rPr>
          <w:rFonts w:ascii="Gill Sans MT" w:hAnsi="Gill Sans MT"/>
          <w:i/>
        </w:rPr>
        <w:t>Safer Roads: Non-Urban Road Network Strategy</w:t>
      </w:r>
      <w:r w:rsidRPr="0096069E">
        <w:rPr>
          <w:rFonts w:ascii="Gill Sans MT" w:hAnsi="Gill Sans MT"/>
        </w:rPr>
        <w:t xml:space="preserve"> and improved speed limit signage; roll-out of Electronic School Speed Limit signs at schools across Tasmania; investigating further changes to the Graduated Licensing System; </w:t>
      </w:r>
      <w:r w:rsidRPr="0096069E">
        <w:rPr>
          <w:rFonts w:ascii="Gill Sans MT" w:hAnsi="Gill Sans MT"/>
        </w:rPr>
        <w:lastRenderedPageBreak/>
        <w:t>improved Government fleet safety; design of an alcohol interlock program and point to point speed enforcement.</w:t>
      </w:r>
    </w:p>
    <w:p w:rsidR="00307348" w:rsidRPr="0096069E" w:rsidRDefault="00307348" w:rsidP="00307348">
      <w:pPr>
        <w:rPr>
          <w:rFonts w:ascii="Gill Sans MT" w:hAnsi="Gill Sans MT"/>
        </w:rPr>
      </w:pPr>
      <w:r w:rsidRPr="0096069E">
        <w:rPr>
          <w:rFonts w:ascii="Gill Sans MT" w:hAnsi="Gill Sans MT"/>
        </w:rPr>
        <w:t xml:space="preserve">Further information regarding the Strategy and its supporting Actions Plans can be found at </w:t>
      </w:r>
      <w:hyperlink r:id="rId35" w:history="1">
        <w:r w:rsidRPr="0096069E">
          <w:rPr>
            <w:rStyle w:val="Hyperlink"/>
            <w:rFonts w:ascii="Gill Sans MT" w:hAnsi="Gill Sans MT"/>
          </w:rPr>
          <w:t>http://www.transport.tas.gov.au/safety/tasmanian_road_safety_strategy</w:t>
        </w:r>
      </w:hyperlink>
      <w:r w:rsidRPr="0096069E">
        <w:rPr>
          <w:rFonts w:ascii="Gill Sans MT" w:hAnsi="Gill Sans MT"/>
        </w:rPr>
        <w:t xml:space="preserve">.  Further information relating to the progress and implementation of projects under the road safety levy can be found on the Road Safety Advisory Council website at: </w:t>
      </w:r>
      <w:hyperlink r:id="rId36" w:history="1">
        <w:r w:rsidRPr="0096069E">
          <w:rPr>
            <w:rStyle w:val="Hyperlink"/>
            <w:rFonts w:ascii="Gill Sans MT" w:hAnsi="Gill Sans MT"/>
          </w:rPr>
          <w:t>www.rsac.tas.gov.au</w:t>
        </w:r>
      </w:hyperlink>
      <w:r w:rsidRPr="0096069E">
        <w:rPr>
          <w:rFonts w:ascii="Gill Sans MT" w:hAnsi="Gill Sans MT"/>
        </w:rPr>
        <w:t xml:space="preserve">. </w:t>
      </w:r>
    </w:p>
    <w:p w:rsidR="00307348" w:rsidRPr="0096069E" w:rsidRDefault="00307348" w:rsidP="00307348">
      <w:pPr>
        <w:pStyle w:val="Heading2"/>
      </w:pPr>
      <w:bookmarkStart w:id="123" w:name="_Toc332033603"/>
      <w:bookmarkStart w:id="124" w:name="_Toc332114108"/>
      <w:bookmarkStart w:id="125" w:name="_Toc332115683"/>
      <w:bookmarkStart w:id="126" w:name="_Toc332115774"/>
      <w:r w:rsidRPr="0096069E">
        <w:t>Data analysis</w:t>
      </w:r>
      <w:bookmarkEnd w:id="123"/>
      <w:bookmarkEnd w:id="124"/>
      <w:bookmarkEnd w:id="125"/>
      <w:bookmarkEnd w:id="126"/>
    </w:p>
    <w:p w:rsidR="00307348" w:rsidRPr="0096069E" w:rsidRDefault="00307348" w:rsidP="00307348">
      <w:pPr>
        <w:rPr>
          <w:rFonts w:ascii="Gill Sans MT" w:hAnsi="Gill Sans MT"/>
        </w:rPr>
      </w:pPr>
      <w:r w:rsidRPr="0096069E">
        <w:rPr>
          <w:rFonts w:ascii="Gill Sans MT" w:hAnsi="Gill Sans MT"/>
        </w:rPr>
        <w:t>In Tasmania, serious injuries and fatalities resulting from motor vehicle crashes have been decreasing steadily (refer Figure 1). The</w:t>
      </w:r>
      <w:r w:rsidRPr="0096069E">
        <w:rPr>
          <w:rFonts w:ascii="Gill Sans MT" w:hAnsi="Gill Sans MT"/>
          <w:i/>
        </w:rPr>
        <w:t xml:space="preserve"> Tasmanian Road Safety Strategy 2007-2016</w:t>
      </w:r>
      <w:r w:rsidRPr="0096069E">
        <w:rPr>
          <w:rFonts w:ascii="Gill Sans MT" w:hAnsi="Gill Sans MT"/>
        </w:rPr>
        <w:t xml:space="preserve"> established specific targets for the reduction of serious injuries and fatalities: The first target ‘by 2010: a 20% reduction in serious injuries and fatalities from 2005’ has resulted in a reduction of 32.5%; current available data suggests that progress is on track to meet the 2015 target of a further 20% decrease.</w:t>
      </w:r>
    </w:p>
    <w:p w:rsidR="00307348" w:rsidRPr="0096069E" w:rsidRDefault="008F0359" w:rsidP="00307348">
      <w:pPr>
        <w:ind w:left="-142"/>
        <w:rPr>
          <w:rStyle w:val="Heading3Char"/>
        </w:rPr>
      </w:pPr>
      <w:r w:rsidRPr="008F0359">
        <w:rPr>
          <w:rFonts w:ascii="Gill Sans MT" w:hAnsi="Gill Sans MT"/>
          <w:noProof/>
          <w:lang w:val="en-US" w:eastAsia="zh-TW"/>
        </w:rPr>
        <w:pict>
          <v:shape id="_x0000_s1219" type="#_x0000_t202" style="position:absolute;left:0;text-align:left;margin-left:2.25pt;margin-top:14.7pt;width:44.55pt;height:178.85pt;z-index:251686400;mso-width-percent:400;mso-width-percent:400;mso-width-relative:margin;mso-height-relative:margin" filled="f" stroked="f">
            <v:textbox style="layout-flow:vertical;mso-layout-flow-alt:bottom-to-top;mso-next-textbox:#_x0000_s1219;mso-fit-shape-to-text:t">
              <w:txbxContent>
                <w:p w:rsidR="00A50F40" w:rsidRPr="009568FE" w:rsidRDefault="00A50F40" w:rsidP="00307348">
                  <w:pPr>
                    <w:rPr>
                      <w:b/>
                      <w:sz w:val="28"/>
                      <w:szCs w:val="28"/>
                    </w:rPr>
                  </w:pPr>
                  <w:r w:rsidRPr="009568FE">
                    <w:rPr>
                      <w:b/>
                      <w:sz w:val="28"/>
                      <w:szCs w:val="28"/>
                    </w:rPr>
                    <w:t>Number of Injuries/Fatalities</w:t>
                  </w:r>
                </w:p>
              </w:txbxContent>
            </v:textbox>
          </v:shape>
        </w:pict>
      </w:r>
      <w:r w:rsidR="00307348" w:rsidRPr="0096069E">
        <w:rPr>
          <w:rFonts w:ascii="Gill Sans MT" w:hAnsi="Gill Sans MT"/>
          <w:noProof/>
          <w:lang w:eastAsia="en-AU"/>
        </w:rPr>
        <w:drawing>
          <wp:inline distT="0" distB="0" distL="0" distR="0">
            <wp:extent cx="5486400" cy="3200400"/>
            <wp:effectExtent l="19050" t="0" r="19050" b="0"/>
            <wp:docPr id="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07348" w:rsidRPr="0096069E" w:rsidRDefault="00666BF3" w:rsidP="00307348">
      <w:pPr>
        <w:pStyle w:val="Caption"/>
        <w:keepNext/>
        <w:rPr>
          <w:rFonts w:ascii="Gill Sans MT" w:hAnsi="Gill Sans MT"/>
          <w:color w:val="auto"/>
          <w:sz w:val="22"/>
          <w:szCs w:val="22"/>
        </w:rPr>
      </w:pPr>
      <w:proofErr w:type="gramStart"/>
      <w:r>
        <w:rPr>
          <w:rFonts w:ascii="Gill Sans MT" w:hAnsi="Gill Sans MT"/>
          <w:i/>
          <w:color w:val="auto"/>
          <w:sz w:val="22"/>
          <w:szCs w:val="22"/>
        </w:rPr>
        <w:t>Figure 34</w:t>
      </w:r>
      <w:r w:rsidR="00307348" w:rsidRPr="0096069E">
        <w:rPr>
          <w:rFonts w:ascii="Gill Sans MT" w:hAnsi="Gill Sans MT"/>
          <w:i/>
          <w:color w:val="auto"/>
          <w:sz w:val="22"/>
          <w:szCs w:val="22"/>
        </w:rPr>
        <w:t>.</w:t>
      </w:r>
      <w:proofErr w:type="gramEnd"/>
      <w:r w:rsidR="00307348" w:rsidRPr="0096069E">
        <w:rPr>
          <w:rFonts w:ascii="Gill Sans MT" w:hAnsi="Gill Sans MT"/>
          <w:color w:val="auto"/>
          <w:sz w:val="22"/>
          <w:szCs w:val="22"/>
        </w:rPr>
        <w:t xml:space="preserve"> </w:t>
      </w:r>
      <w:proofErr w:type="gramStart"/>
      <w:r w:rsidR="00307348" w:rsidRPr="00307348">
        <w:rPr>
          <w:rFonts w:ascii="Gill Sans MT" w:hAnsi="Gill Sans MT"/>
          <w:color w:val="auto"/>
          <w:sz w:val="22"/>
          <w:szCs w:val="22"/>
        </w:rPr>
        <w:t>Motor vehicle-related injuries and fatalities in Tasmania 2001-2011.</w:t>
      </w:r>
      <w:proofErr w:type="gramEnd"/>
    </w:p>
    <w:p w:rsidR="00307348" w:rsidRPr="0096069E" w:rsidRDefault="00307348" w:rsidP="00307348">
      <w:pPr>
        <w:rPr>
          <w:rStyle w:val="Heading3Char"/>
        </w:rPr>
      </w:pPr>
    </w:p>
    <w:p w:rsidR="00307348" w:rsidRPr="0096069E" w:rsidRDefault="008F0359" w:rsidP="00307348">
      <w:pPr>
        <w:ind w:left="-142"/>
        <w:rPr>
          <w:rStyle w:val="Heading3Char"/>
        </w:rPr>
      </w:pPr>
      <w:r w:rsidRPr="008F0359">
        <w:rPr>
          <w:rFonts w:ascii="Gill Sans MT" w:hAnsi="Gill Sans MT"/>
          <w:noProof/>
          <w:lang w:eastAsia="en-AU"/>
        </w:rPr>
        <w:lastRenderedPageBreak/>
        <w:pict>
          <v:shape id="_x0000_s1220" type="#_x0000_t202" style="position:absolute;left:0;text-align:left;margin-left:4.05pt;margin-top:42pt;width:44.55pt;height:178.85pt;z-index:251687424;mso-width-percent:400;mso-width-percent:400;mso-width-relative:margin;mso-height-relative:margin" filled="f" stroked="f">
            <v:textbox style="layout-flow:vertical;mso-layout-flow-alt:bottom-to-top;mso-next-textbox:#_x0000_s1220;mso-fit-shape-to-text:t">
              <w:txbxContent>
                <w:p w:rsidR="00A50F40" w:rsidRPr="009568FE" w:rsidRDefault="00A50F40" w:rsidP="00307348">
                  <w:pPr>
                    <w:rPr>
                      <w:b/>
                      <w:sz w:val="28"/>
                      <w:szCs w:val="28"/>
                    </w:rPr>
                  </w:pPr>
                  <w:r w:rsidRPr="009568FE">
                    <w:rPr>
                      <w:b/>
                      <w:sz w:val="28"/>
                      <w:szCs w:val="28"/>
                    </w:rPr>
                    <w:t>Number of Injuries/Fatalities</w:t>
                  </w:r>
                </w:p>
              </w:txbxContent>
            </v:textbox>
          </v:shape>
        </w:pict>
      </w:r>
      <w:r w:rsidR="00307348" w:rsidRPr="0096069E">
        <w:rPr>
          <w:rFonts w:ascii="Gill Sans MT" w:hAnsi="Gill Sans MT"/>
          <w:noProof/>
          <w:lang w:eastAsia="en-AU"/>
        </w:rPr>
        <w:drawing>
          <wp:inline distT="0" distB="0" distL="0" distR="0">
            <wp:extent cx="5486400" cy="3200400"/>
            <wp:effectExtent l="19050" t="0" r="19050" b="0"/>
            <wp:docPr id="10"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07348" w:rsidRPr="00307348" w:rsidRDefault="00666BF3" w:rsidP="00307348">
      <w:pPr>
        <w:pStyle w:val="Caption"/>
        <w:keepNext/>
        <w:rPr>
          <w:rFonts w:ascii="Gill Sans MT" w:hAnsi="Gill Sans MT"/>
          <w:color w:val="auto"/>
          <w:sz w:val="22"/>
          <w:szCs w:val="22"/>
        </w:rPr>
      </w:pPr>
      <w:proofErr w:type="gramStart"/>
      <w:r>
        <w:rPr>
          <w:rFonts w:ascii="Gill Sans MT" w:hAnsi="Gill Sans MT"/>
          <w:i/>
          <w:color w:val="auto"/>
          <w:sz w:val="22"/>
          <w:szCs w:val="22"/>
        </w:rPr>
        <w:t>Figure 35</w:t>
      </w:r>
      <w:r w:rsidR="00307348" w:rsidRPr="0096069E">
        <w:rPr>
          <w:rFonts w:ascii="Gill Sans MT" w:hAnsi="Gill Sans MT"/>
          <w:i/>
          <w:color w:val="auto"/>
          <w:sz w:val="22"/>
          <w:szCs w:val="22"/>
        </w:rPr>
        <w:t>.</w:t>
      </w:r>
      <w:proofErr w:type="gramEnd"/>
      <w:r w:rsidR="00307348" w:rsidRPr="0096069E">
        <w:rPr>
          <w:rFonts w:ascii="Gill Sans MT" w:hAnsi="Gill Sans MT"/>
          <w:color w:val="auto"/>
          <w:sz w:val="22"/>
          <w:szCs w:val="22"/>
        </w:rPr>
        <w:t xml:space="preserve"> </w:t>
      </w:r>
      <w:proofErr w:type="gramStart"/>
      <w:r w:rsidR="00307348" w:rsidRPr="00307348">
        <w:rPr>
          <w:rFonts w:ascii="Gill Sans MT" w:hAnsi="Gill Sans MT"/>
          <w:color w:val="auto"/>
          <w:sz w:val="22"/>
          <w:szCs w:val="22"/>
        </w:rPr>
        <w:t>Motor vehicle-related injuries and fatalities in the Northern Region 2001-2011.</w:t>
      </w:r>
      <w:proofErr w:type="gramEnd"/>
    </w:p>
    <w:p w:rsidR="00307348" w:rsidRDefault="00307348" w:rsidP="00307348">
      <w:pPr>
        <w:rPr>
          <w:rFonts w:ascii="Gill Sans MT" w:hAnsi="Gill Sans MT"/>
        </w:rPr>
      </w:pPr>
      <w:r w:rsidRPr="0096069E">
        <w:rPr>
          <w:rFonts w:ascii="Gill Sans MT" w:hAnsi="Gill Sans MT"/>
        </w:rPr>
        <w:t>In the Northern Region, serious motor vehicle-related injuries and deaths have also continued to decline over the last ten years, and make up less than a third of the total State numbers (Figure 2). While this demonstrates the positive effects of numerous road safety initiatives and projects over the last decade, it presents a real opportunity to continue this progress to reduce road casualties even further. It is therefore important to isolate key factors involved in transport crashes to provide more acute safety measures which tackle the root of the problem.</w:t>
      </w:r>
    </w:p>
    <w:p w:rsidR="00141BD0" w:rsidRPr="0096069E" w:rsidRDefault="00141BD0" w:rsidP="00307348">
      <w:pPr>
        <w:rPr>
          <w:rFonts w:ascii="Gill Sans MT" w:hAnsi="Gill Sans MT"/>
        </w:rPr>
      </w:pPr>
      <w:r w:rsidRPr="0096069E">
        <w:rPr>
          <w:rFonts w:ascii="Gill Sans MT" w:hAnsi="Gill Sans MT"/>
        </w:rPr>
        <w:t xml:space="preserve">Inexperience and excessive speed for road conditions remain some of the main causes of serious crashes; however drugs and alcohol, distractions and failure to anticipate pedestrian activity are also strong contributors (Figure 3). Heavy campaigning on drink driving at both State and Federal levels has seen a noticeable decrease in alcohol-related deaths over the last decade (over 70% </w:t>
      </w:r>
      <w:proofErr w:type="gramStart"/>
      <w:r w:rsidRPr="0096069E">
        <w:rPr>
          <w:rFonts w:ascii="Gill Sans MT" w:hAnsi="Gill Sans MT"/>
        </w:rPr>
        <w:t>decrease</w:t>
      </w:r>
      <w:proofErr w:type="gramEnd"/>
      <w:r w:rsidRPr="0096069E">
        <w:rPr>
          <w:rFonts w:ascii="Gill Sans MT" w:hAnsi="Gill Sans MT"/>
        </w:rPr>
        <w:t xml:space="preserve"> for the Northern Region). Inexperienced motorists are also often younger motorists, and a number of changes have been made to implement a graduated licensing system to provide younger drivers with more experience and more confidence before gaining their full open licence.</w:t>
      </w:r>
    </w:p>
    <w:p w:rsidR="00307348" w:rsidRPr="0096069E" w:rsidRDefault="004A6591" w:rsidP="0047390B">
      <w:pPr>
        <w:ind w:left="-284"/>
        <w:rPr>
          <w:rFonts w:ascii="Gill Sans MT" w:hAnsi="Gill Sans MT"/>
        </w:rPr>
      </w:pPr>
      <w:r>
        <w:rPr>
          <w:rFonts w:ascii="Gill Sans MT" w:hAnsi="Gill Sans MT"/>
          <w:noProof/>
          <w:lang w:eastAsia="en-AU"/>
        </w:rPr>
        <w:lastRenderedPageBreak/>
        <w:drawing>
          <wp:anchor distT="0" distB="0" distL="114300" distR="114300" simplePos="0" relativeHeight="251688448" behindDoc="0" locked="0" layoutInCell="1" allowOverlap="1">
            <wp:simplePos x="0" y="0"/>
            <wp:positionH relativeFrom="column">
              <wp:posOffset>-143312</wp:posOffset>
            </wp:positionH>
            <wp:positionV relativeFrom="paragraph">
              <wp:posOffset>4049486</wp:posOffset>
            </wp:positionV>
            <wp:extent cx="5272644" cy="2992582"/>
            <wp:effectExtent l="0" t="0" r="0" b="0"/>
            <wp:wrapNone/>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00764555">
        <w:rPr>
          <w:rFonts w:ascii="Gill Sans MT" w:hAnsi="Gill Sans MT"/>
          <w:noProof/>
          <w:lang w:eastAsia="en-AU"/>
        </w:rPr>
        <w:drawing>
          <wp:inline distT="0" distB="0" distL="0" distR="0">
            <wp:extent cx="5289476" cy="7042068"/>
            <wp:effectExtent l="19050" t="0" r="25474" b="6432"/>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07348" w:rsidRPr="0096069E" w:rsidRDefault="00307348" w:rsidP="00307348">
      <w:pPr>
        <w:pStyle w:val="Caption"/>
        <w:keepNext/>
        <w:rPr>
          <w:rFonts w:ascii="Gill Sans MT" w:hAnsi="Gill Sans MT"/>
        </w:rPr>
      </w:pPr>
      <w:proofErr w:type="gramStart"/>
      <w:r w:rsidRPr="0096069E">
        <w:rPr>
          <w:rFonts w:ascii="Gill Sans MT" w:hAnsi="Gill Sans MT"/>
          <w:i/>
          <w:color w:val="auto"/>
          <w:sz w:val="22"/>
          <w:szCs w:val="22"/>
        </w:rPr>
        <w:t>Figure 3</w:t>
      </w:r>
      <w:r w:rsidR="00666BF3">
        <w:rPr>
          <w:rFonts w:ascii="Gill Sans MT" w:hAnsi="Gill Sans MT"/>
          <w:i/>
          <w:color w:val="auto"/>
          <w:sz w:val="22"/>
          <w:szCs w:val="22"/>
        </w:rPr>
        <w:t>6</w:t>
      </w:r>
      <w:r w:rsidRPr="0096069E">
        <w:rPr>
          <w:rFonts w:ascii="Gill Sans MT" w:hAnsi="Gill Sans MT"/>
          <w:i/>
          <w:color w:val="auto"/>
          <w:sz w:val="22"/>
          <w:szCs w:val="22"/>
        </w:rPr>
        <w:t>.</w:t>
      </w:r>
      <w:proofErr w:type="gramEnd"/>
      <w:r w:rsidRPr="0096069E">
        <w:rPr>
          <w:rFonts w:ascii="Gill Sans MT" w:hAnsi="Gill Sans MT"/>
          <w:color w:val="auto"/>
          <w:sz w:val="22"/>
          <w:szCs w:val="22"/>
        </w:rPr>
        <w:t xml:space="preserve"> </w:t>
      </w:r>
      <w:r w:rsidR="00C36CD1">
        <w:rPr>
          <w:rStyle w:val="Heading3Char"/>
          <w:b/>
          <w:color w:val="auto"/>
          <w:sz w:val="22"/>
          <w:szCs w:val="22"/>
        </w:rPr>
        <w:t>Contributing f</w:t>
      </w:r>
      <w:r w:rsidRPr="00307348">
        <w:rPr>
          <w:rStyle w:val="Heading3Char"/>
          <w:b/>
          <w:color w:val="auto"/>
          <w:sz w:val="22"/>
          <w:szCs w:val="22"/>
        </w:rPr>
        <w:t xml:space="preserve">actors for </w:t>
      </w:r>
      <w:r w:rsidR="00C36CD1">
        <w:rPr>
          <w:rStyle w:val="Heading3Char"/>
          <w:b/>
          <w:color w:val="auto"/>
          <w:sz w:val="22"/>
          <w:szCs w:val="22"/>
        </w:rPr>
        <w:t>f</w:t>
      </w:r>
      <w:r w:rsidRPr="00307348">
        <w:rPr>
          <w:rStyle w:val="Heading3Char"/>
          <w:b/>
          <w:color w:val="auto"/>
          <w:sz w:val="22"/>
          <w:szCs w:val="22"/>
        </w:rPr>
        <w:t xml:space="preserve">atal and </w:t>
      </w:r>
      <w:r w:rsidR="00C36CD1">
        <w:rPr>
          <w:rStyle w:val="Heading3Char"/>
          <w:b/>
          <w:color w:val="auto"/>
          <w:sz w:val="22"/>
          <w:szCs w:val="22"/>
        </w:rPr>
        <w:t>s</w:t>
      </w:r>
      <w:r w:rsidRPr="00307348">
        <w:rPr>
          <w:rStyle w:val="Heading3Char"/>
          <w:b/>
          <w:color w:val="auto"/>
          <w:sz w:val="22"/>
          <w:szCs w:val="22"/>
        </w:rPr>
        <w:t xml:space="preserve">erious </w:t>
      </w:r>
      <w:r w:rsidR="00C36CD1">
        <w:rPr>
          <w:rStyle w:val="Heading3Char"/>
          <w:b/>
          <w:color w:val="auto"/>
          <w:sz w:val="22"/>
          <w:szCs w:val="22"/>
        </w:rPr>
        <w:t>motor vehicle-related c</w:t>
      </w:r>
      <w:r w:rsidR="0047390B">
        <w:rPr>
          <w:rStyle w:val="Heading3Char"/>
          <w:b/>
          <w:color w:val="auto"/>
          <w:sz w:val="22"/>
          <w:szCs w:val="22"/>
        </w:rPr>
        <w:t>rashes</w:t>
      </w:r>
      <w:r w:rsidRPr="00307348">
        <w:rPr>
          <w:rStyle w:val="Heading3Char"/>
          <w:b/>
          <w:color w:val="auto"/>
          <w:sz w:val="22"/>
          <w:szCs w:val="22"/>
        </w:rPr>
        <w:t xml:space="preserve"> in the Northern Region 20</w:t>
      </w:r>
      <w:r w:rsidR="0047390B">
        <w:rPr>
          <w:rStyle w:val="Heading3Char"/>
          <w:b/>
          <w:color w:val="auto"/>
          <w:sz w:val="22"/>
          <w:szCs w:val="22"/>
        </w:rPr>
        <w:t>07- 2012</w:t>
      </w:r>
      <w:r w:rsidRPr="00307348">
        <w:rPr>
          <w:rStyle w:val="Heading3Char"/>
          <w:b/>
          <w:color w:val="auto"/>
          <w:sz w:val="22"/>
          <w:szCs w:val="22"/>
        </w:rPr>
        <w:t xml:space="preserve"> </w:t>
      </w:r>
      <w:r w:rsidRPr="00141BD0">
        <w:rPr>
          <w:rStyle w:val="Heading3Char"/>
          <w:i/>
          <w:color w:val="auto"/>
          <w:sz w:val="22"/>
          <w:szCs w:val="22"/>
        </w:rPr>
        <w:t>(N.B. There may be more than one crash factor associated with each crash).</w:t>
      </w:r>
      <w:r w:rsidR="004A6591" w:rsidRPr="00141BD0">
        <w:rPr>
          <w:rFonts w:ascii="Gill Sans MT" w:hAnsi="Gill Sans MT"/>
          <w:i/>
          <w:noProof/>
          <w:lang w:eastAsia="en-AU"/>
        </w:rPr>
        <w:t xml:space="preserve"> </w:t>
      </w:r>
    </w:p>
    <w:p w:rsidR="00307348" w:rsidRPr="0096069E" w:rsidRDefault="00307348" w:rsidP="00141BD0">
      <w:pPr>
        <w:rPr>
          <w:rFonts w:ascii="Gill Sans MT" w:hAnsi="Gill Sans MT"/>
        </w:rPr>
      </w:pPr>
    </w:p>
    <w:p w:rsidR="00C36CD1" w:rsidRDefault="00141BD0" w:rsidP="00307348">
      <w:pPr>
        <w:pStyle w:val="Heading2"/>
        <w:rPr>
          <w:rStyle w:val="Heading3Char"/>
          <w:b/>
          <w:i/>
          <w:color w:val="auto"/>
          <w:sz w:val="22"/>
          <w:szCs w:val="22"/>
        </w:rPr>
      </w:pPr>
      <w:bookmarkStart w:id="127" w:name="_Toc332114111"/>
      <w:bookmarkStart w:id="128" w:name="_Toc332115686"/>
      <w:bookmarkStart w:id="129" w:name="_Toc332115777"/>
      <w:bookmarkStart w:id="130" w:name="_Toc332033604"/>
      <w:bookmarkStart w:id="131" w:name="_Toc332114112"/>
      <w:bookmarkStart w:id="132" w:name="_Toc332115687"/>
      <w:bookmarkStart w:id="133" w:name="_Toc332115778"/>
      <w:r>
        <w:rPr>
          <w:bCs w:val="0"/>
          <w:i/>
          <w:noProof/>
          <w:color w:val="auto"/>
          <w:sz w:val="22"/>
          <w:szCs w:val="22"/>
          <w:lang w:eastAsia="en-AU"/>
        </w:rPr>
        <w:lastRenderedPageBreak/>
        <w:drawing>
          <wp:anchor distT="0" distB="0" distL="114300" distR="114300" simplePos="0" relativeHeight="251689472" behindDoc="0" locked="0" layoutInCell="1" allowOverlap="1">
            <wp:simplePos x="0" y="0"/>
            <wp:positionH relativeFrom="column">
              <wp:posOffset>17986</wp:posOffset>
            </wp:positionH>
            <wp:positionV relativeFrom="paragraph">
              <wp:posOffset>3040083</wp:posOffset>
            </wp:positionV>
            <wp:extent cx="5277345" cy="3075709"/>
            <wp:effectExtent l="0" t="0" r="0" b="0"/>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r w:rsidR="00C36CD1">
        <w:rPr>
          <w:bCs w:val="0"/>
          <w:i/>
          <w:noProof/>
          <w:color w:val="auto"/>
          <w:sz w:val="22"/>
          <w:szCs w:val="22"/>
          <w:lang w:eastAsia="en-AU"/>
        </w:rPr>
        <w:drawing>
          <wp:inline distT="0" distB="0" distL="0" distR="0">
            <wp:extent cx="5283316" cy="6115792"/>
            <wp:effectExtent l="19050" t="0" r="12584"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36CD1" w:rsidRDefault="00307348" w:rsidP="00307348">
      <w:pPr>
        <w:pStyle w:val="Heading2"/>
        <w:rPr>
          <w:rStyle w:val="Heading3Char"/>
          <w:b/>
          <w:color w:val="auto"/>
          <w:sz w:val="22"/>
          <w:szCs w:val="22"/>
        </w:rPr>
      </w:pPr>
      <w:r w:rsidRPr="00307348">
        <w:rPr>
          <w:rStyle w:val="Heading3Char"/>
          <w:b/>
          <w:i/>
          <w:color w:val="auto"/>
          <w:sz w:val="22"/>
          <w:szCs w:val="22"/>
        </w:rPr>
        <w:t xml:space="preserve">Figure </w:t>
      </w:r>
      <w:r w:rsidR="00666BF3">
        <w:rPr>
          <w:rStyle w:val="Heading3Char"/>
          <w:b/>
          <w:i/>
          <w:color w:val="auto"/>
          <w:sz w:val="22"/>
          <w:szCs w:val="22"/>
        </w:rPr>
        <w:t>37</w:t>
      </w:r>
      <w:r w:rsidR="00C36CD1">
        <w:rPr>
          <w:rStyle w:val="Heading3Char"/>
          <w:b/>
          <w:color w:val="auto"/>
          <w:sz w:val="22"/>
          <w:szCs w:val="22"/>
        </w:rPr>
        <w:t>: Fatal and s</w:t>
      </w:r>
      <w:r w:rsidRPr="00307348">
        <w:rPr>
          <w:rStyle w:val="Heading3Char"/>
          <w:b/>
          <w:color w:val="auto"/>
          <w:sz w:val="22"/>
          <w:szCs w:val="22"/>
        </w:rPr>
        <w:t xml:space="preserve">erious </w:t>
      </w:r>
      <w:r w:rsidR="00C36CD1">
        <w:rPr>
          <w:rStyle w:val="Heading3Char"/>
          <w:b/>
          <w:color w:val="auto"/>
          <w:sz w:val="22"/>
          <w:szCs w:val="22"/>
        </w:rPr>
        <w:t>m</w:t>
      </w:r>
      <w:r w:rsidRPr="00307348">
        <w:rPr>
          <w:rStyle w:val="Heading3Char"/>
          <w:b/>
          <w:color w:val="auto"/>
          <w:sz w:val="22"/>
          <w:szCs w:val="22"/>
        </w:rPr>
        <w:t xml:space="preserve">otor </w:t>
      </w:r>
      <w:r w:rsidR="00C36CD1">
        <w:rPr>
          <w:rStyle w:val="Heading3Char"/>
          <w:b/>
          <w:color w:val="auto"/>
          <w:sz w:val="22"/>
          <w:szCs w:val="22"/>
        </w:rPr>
        <w:t>v</w:t>
      </w:r>
      <w:r w:rsidRPr="00307348">
        <w:rPr>
          <w:rStyle w:val="Heading3Char"/>
          <w:b/>
          <w:color w:val="auto"/>
          <w:sz w:val="22"/>
          <w:szCs w:val="22"/>
        </w:rPr>
        <w:t>ehicle-</w:t>
      </w:r>
      <w:r w:rsidR="00C36CD1">
        <w:rPr>
          <w:rStyle w:val="Heading3Char"/>
          <w:b/>
          <w:color w:val="auto"/>
          <w:sz w:val="22"/>
          <w:szCs w:val="22"/>
        </w:rPr>
        <w:t>r</w:t>
      </w:r>
      <w:r w:rsidRPr="00307348">
        <w:rPr>
          <w:rStyle w:val="Heading3Char"/>
          <w:b/>
          <w:color w:val="auto"/>
          <w:sz w:val="22"/>
          <w:szCs w:val="22"/>
        </w:rPr>
        <w:t xml:space="preserve">elated </w:t>
      </w:r>
      <w:r w:rsidR="00C36CD1">
        <w:rPr>
          <w:rStyle w:val="Heading3Char"/>
          <w:b/>
          <w:color w:val="auto"/>
          <w:sz w:val="22"/>
          <w:szCs w:val="22"/>
        </w:rPr>
        <w:t>crashes</w:t>
      </w:r>
      <w:r w:rsidRPr="00307348">
        <w:rPr>
          <w:rStyle w:val="Heading3Char"/>
          <w:b/>
          <w:color w:val="auto"/>
          <w:sz w:val="22"/>
          <w:szCs w:val="22"/>
        </w:rPr>
        <w:t xml:space="preserve"> by </w:t>
      </w:r>
      <w:r w:rsidR="00C36CD1">
        <w:rPr>
          <w:rStyle w:val="Heading3Char"/>
          <w:b/>
          <w:color w:val="auto"/>
          <w:sz w:val="22"/>
          <w:szCs w:val="22"/>
        </w:rPr>
        <w:t>a</w:t>
      </w:r>
      <w:r w:rsidRPr="00307348">
        <w:rPr>
          <w:rStyle w:val="Heading3Char"/>
          <w:b/>
          <w:color w:val="auto"/>
          <w:sz w:val="22"/>
          <w:szCs w:val="22"/>
        </w:rPr>
        <w:t xml:space="preserve">ge </w:t>
      </w:r>
      <w:r w:rsidR="00C36CD1">
        <w:rPr>
          <w:rStyle w:val="Heading3Char"/>
          <w:b/>
          <w:color w:val="auto"/>
          <w:sz w:val="22"/>
          <w:szCs w:val="22"/>
        </w:rPr>
        <w:t>g</w:t>
      </w:r>
      <w:r w:rsidRPr="00307348">
        <w:rPr>
          <w:rStyle w:val="Heading3Char"/>
          <w:b/>
          <w:color w:val="auto"/>
          <w:sz w:val="22"/>
          <w:szCs w:val="22"/>
        </w:rPr>
        <w:t xml:space="preserve">roup in the Northern Region </w:t>
      </w:r>
      <w:r w:rsidR="00C36CD1">
        <w:rPr>
          <w:rStyle w:val="Heading3Char"/>
          <w:b/>
          <w:color w:val="auto"/>
          <w:sz w:val="22"/>
          <w:szCs w:val="22"/>
        </w:rPr>
        <w:t xml:space="preserve">from </w:t>
      </w:r>
      <w:r w:rsidRPr="00307348">
        <w:rPr>
          <w:rStyle w:val="Heading3Char"/>
          <w:b/>
          <w:color w:val="auto"/>
          <w:sz w:val="22"/>
          <w:szCs w:val="22"/>
        </w:rPr>
        <w:t>20</w:t>
      </w:r>
      <w:bookmarkEnd w:id="127"/>
      <w:bookmarkEnd w:id="128"/>
      <w:bookmarkEnd w:id="129"/>
      <w:r w:rsidR="00C36CD1">
        <w:rPr>
          <w:rStyle w:val="Heading3Char"/>
          <w:b/>
          <w:color w:val="auto"/>
          <w:sz w:val="22"/>
          <w:szCs w:val="22"/>
        </w:rPr>
        <w:t>07-2012.</w:t>
      </w:r>
    </w:p>
    <w:p w:rsidR="00307348" w:rsidRPr="0096069E" w:rsidRDefault="00307348" w:rsidP="00307348">
      <w:pPr>
        <w:pStyle w:val="Heading2"/>
      </w:pPr>
      <w:r w:rsidRPr="0096069E">
        <w:t>Different road users</w:t>
      </w:r>
      <w:bookmarkEnd w:id="130"/>
      <w:bookmarkEnd w:id="131"/>
      <w:bookmarkEnd w:id="132"/>
      <w:bookmarkEnd w:id="133"/>
    </w:p>
    <w:p w:rsidR="00307348" w:rsidRPr="0096069E" w:rsidRDefault="00307348" w:rsidP="00307348">
      <w:pPr>
        <w:pStyle w:val="Heading3"/>
        <w:spacing w:before="0"/>
      </w:pPr>
      <w:bookmarkStart w:id="134" w:name="_Toc332114113"/>
      <w:bookmarkStart w:id="135" w:name="_Toc332115688"/>
      <w:bookmarkStart w:id="136" w:name="_Toc332115779"/>
      <w:r w:rsidRPr="0096069E">
        <w:t>Young road users</w:t>
      </w:r>
      <w:bookmarkEnd w:id="134"/>
      <w:bookmarkEnd w:id="135"/>
      <w:bookmarkEnd w:id="136"/>
    </w:p>
    <w:p w:rsidR="00307348" w:rsidRPr="0096069E" w:rsidRDefault="00307348" w:rsidP="00307348">
      <w:pPr>
        <w:rPr>
          <w:rFonts w:ascii="Gill Sans MT" w:hAnsi="Gill Sans MT"/>
        </w:rPr>
      </w:pPr>
      <w:r w:rsidRPr="0096069E">
        <w:rPr>
          <w:rFonts w:ascii="Gill Sans MT" w:hAnsi="Gill Sans MT"/>
        </w:rPr>
        <w:t>Road users between ages 1</w:t>
      </w:r>
      <w:r w:rsidR="00C36CD1">
        <w:rPr>
          <w:rFonts w:ascii="Gill Sans MT" w:hAnsi="Gill Sans MT"/>
        </w:rPr>
        <w:t>7</w:t>
      </w:r>
      <w:r w:rsidRPr="0096069E">
        <w:rPr>
          <w:rFonts w:ascii="Gill Sans MT" w:hAnsi="Gill Sans MT"/>
        </w:rPr>
        <w:t>-29 represent only a small proportion of licensed drivers, yet they are over represented in crash statistics. Drivers are most vulnerable during their first six to twelve months of unsupervised driving, and most crashes are attributable to these three factors:</w:t>
      </w:r>
    </w:p>
    <w:p w:rsidR="00307348" w:rsidRPr="0096069E" w:rsidRDefault="00307348" w:rsidP="00307348">
      <w:pPr>
        <w:pStyle w:val="ListParagraph"/>
        <w:numPr>
          <w:ilvl w:val="0"/>
          <w:numId w:val="23"/>
        </w:numPr>
        <w:rPr>
          <w:rFonts w:ascii="Gill Sans MT" w:hAnsi="Gill Sans MT"/>
        </w:rPr>
      </w:pPr>
      <w:r w:rsidRPr="0096069E">
        <w:rPr>
          <w:rFonts w:ascii="Gill Sans MT" w:hAnsi="Gill Sans MT"/>
        </w:rPr>
        <w:t>Inexperience</w:t>
      </w:r>
    </w:p>
    <w:p w:rsidR="00307348" w:rsidRPr="0096069E" w:rsidRDefault="00307348" w:rsidP="00307348">
      <w:pPr>
        <w:pStyle w:val="ListParagraph"/>
        <w:numPr>
          <w:ilvl w:val="0"/>
          <w:numId w:val="23"/>
        </w:numPr>
        <w:rPr>
          <w:rFonts w:ascii="Gill Sans MT" w:hAnsi="Gill Sans MT"/>
        </w:rPr>
      </w:pPr>
      <w:r w:rsidRPr="0096069E">
        <w:rPr>
          <w:rFonts w:ascii="Gill Sans MT" w:hAnsi="Gill Sans MT"/>
        </w:rPr>
        <w:t>Immaturity</w:t>
      </w:r>
    </w:p>
    <w:p w:rsidR="00307348" w:rsidRPr="0096069E" w:rsidRDefault="00307348" w:rsidP="00307348">
      <w:pPr>
        <w:pStyle w:val="ListParagraph"/>
        <w:numPr>
          <w:ilvl w:val="0"/>
          <w:numId w:val="23"/>
        </w:numPr>
        <w:rPr>
          <w:rFonts w:ascii="Gill Sans MT" w:hAnsi="Gill Sans MT"/>
        </w:rPr>
      </w:pPr>
      <w:r w:rsidRPr="0096069E">
        <w:rPr>
          <w:rFonts w:ascii="Gill Sans MT" w:hAnsi="Gill Sans MT"/>
        </w:rPr>
        <w:t>Increased risk-taking</w:t>
      </w:r>
    </w:p>
    <w:p w:rsidR="00307348" w:rsidRPr="0096069E" w:rsidRDefault="00307348" w:rsidP="00307348">
      <w:pPr>
        <w:rPr>
          <w:rFonts w:ascii="Gill Sans MT" w:hAnsi="Gill Sans MT"/>
        </w:rPr>
      </w:pPr>
      <w:r w:rsidRPr="0096069E">
        <w:rPr>
          <w:rFonts w:ascii="Gill Sans MT" w:hAnsi="Gill Sans MT" w:cstheme="minorHAnsi"/>
        </w:rPr>
        <w:lastRenderedPageBreak/>
        <w:t xml:space="preserve">Based on research and best practice, the safety of Tasmania’s young newly licensed drivers could be significantly improved through further strengthening of the graduated licensing system. Such measures would include: </w:t>
      </w:r>
    </w:p>
    <w:p w:rsidR="00307348" w:rsidRPr="0096069E" w:rsidRDefault="00307348" w:rsidP="00307348">
      <w:pPr>
        <w:pStyle w:val="ListParagraph"/>
        <w:numPr>
          <w:ilvl w:val="0"/>
          <w:numId w:val="23"/>
        </w:numPr>
        <w:autoSpaceDE w:val="0"/>
        <w:autoSpaceDN w:val="0"/>
        <w:adjustRightInd w:val="0"/>
        <w:spacing w:after="0"/>
        <w:rPr>
          <w:rFonts w:ascii="Gill Sans MT" w:hAnsi="Gill Sans MT" w:cstheme="minorHAnsi"/>
        </w:rPr>
      </w:pPr>
      <w:r w:rsidRPr="0096069E">
        <w:rPr>
          <w:rFonts w:ascii="Gill Sans MT" w:hAnsi="Gill Sans MT" w:cstheme="minorHAnsi"/>
        </w:rPr>
        <w:t>Increasing the number of hours of supervised driving experience during the learner phase;</w:t>
      </w:r>
    </w:p>
    <w:p w:rsidR="00307348" w:rsidRPr="0096069E" w:rsidRDefault="00307348" w:rsidP="00307348">
      <w:pPr>
        <w:pStyle w:val="ListParagraph"/>
        <w:numPr>
          <w:ilvl w:val="0"/>
          <w:numId w:val="23"/>
        </w:numPr>
        <w:autoSpaceDE w:val="0"/>
        <w:autoSpaceDN w:val="0"/>
        <w:adjustRightInd w:val="0"/>
        <w:spacing w:after="0"/>
        <w:rPr>
          <w:rFonts w:ascii="Gill Sans MT" w:hAnsi="Gill Sans MT" w:cstheme="minorHAnsi"/>
        </w:rPr>
      </w:pPr>
      <w:r w:rsidRPr="0096069E">
        <w:rPr>
          <w:rFonts w:ascii="Gill Sans MT" w:hAnsi="Gill Sans MT" w:cstheme="minorHAnsi"/>
        </w:rPr>
        <w:t>Introducing night-time driving restrictions (curfews); and</w:t>
      </w:r>
    </w:p>
    <w:p w:rsidR="00307348" w:rsidRPr="00307348" w:rsidRDefault="00307348" w:rsidP="00307348">
      <w:pPr>
        <w:pStyle w:val="ListParagraph"/>
        <w:numPr>
          <w:ilvl w:val="0"/>
          <w:numId w:val="23"/>
        </w:numPr>
        <w:autoSpaceDE w:val="0"/>
        <w:autoSpaceDN w:val="0"/>
        <w:adjustRightInd w:val="0"/>
        <w:rPr>
          <w:rFonts w:ascii="Gill Sans MT" w:hAnsi="Gill Sans MT" w:cstheme="minorHAnsi"/>
        </w:rPr>
      </w:pPr>
      <w:r w:rsidRPr="00307348">
        <w:rPr>
          <w:rFonts w:ascii="Gill Sans MT" w:hAnsi="Gill Sans MT" w:cstheme="minorHAnsi"/>
        </w:rPr>
        <w:t>Peer-passenger restrictions during the Provisional licence stage.</w:t>
      </w:r>
    </w:p>
    <w:p w:rsidR="00307348" w:rsidRPr="0096069E" w:rsidRDefault="00307348" w:rsidP="00307348">
      <w:pPr>
        <w:pStyle w:val="Heading3"/>
      </w:pPr>
      <w:bookmarkStart w:id="137" w:name="_Toc332114114"/>
      <w:bookmarkStart w:id="138" w:name="_Toc332115689"/>
      <w:bookmarkStart w:id="139" w:name="_Toc332115780"/>
      <w:r w:rsidRPr="0096069E">
        <w:t>Older drivers</w:t>
      </w:r>
      <w:bookmarkEnd w:id="137"/>
      <w:bookmarkEnd w:id="138"/>
      <w:bookmarkEnd w:id="139"/>
    </w:p>
    <w:p w:rsidR="00307348" w:rsidRPr="0096069E" w:rsidRDefault="00307348" w:rsidP="00307348">
      <w:pPr>
        <w:rPr>
          <w:rFonts w:ascii="Gill Sans MT" w:hAnsi="Gill Sans MT"/>
        </w:rPr>
      </w:pPr>
      <w:r w:rsidRPr="0096069E">
        <w:rPr>
          <w:rFonts w:ascii="Gill Sans MT" w:hAnsi="Gill Sans MT"/>
        </w:rPr>
        <w:t>Given the Northern region’s ageing population, it will be important to focus on accommodating their driving needs, as well as their need for independence. Older drivers have considerably slower reaction times than other road users; yet despite this, the proportion of older drivers involved in crashes is noticeably low. In considering road conditions suited to older drivers, they generally prefer:</w:t>
      </w:r>
    </w:p>
    <w:p w:rsidR="00307348" w:rsidRPr="0096069E" w:rsidRDefault="00307348" w:rsidP="00307348">
      <w:pPr>
        <w:pStyle w:val="ListParagraph"/>
        <w:numPr>
          <w:ilvl w:val="0"/>
          <w:numId w:val="24"/>
        </w:numPr>
        <w:rPr>
          <w:rFonts w:ascii="Gill Sans MT" w:hAnsi="Gill Sans MT"/>
        </w:rPr>
      </w:pPr>
      <w:r w:rsidRPr="0096069E">
        <w:rPr>
          <w:rFonts w:ascii="Gill Sans MT" w:hAnsi="Gill Sans MT"/>
        </w:rPr>
        <w:t>Reduced speeds</w:t>
      </w:r>
    </w:p>
    <w:p w:rsidR="00307348" w:rsidRPr="0096069E" w:rsidRDefault="00307348" w:rsidP="00307348">
      <w:pPr>
        <w:pStyle w:val="ListParagraph"/>
        <w:numPr>
          <w:ilvl w:val="0"/>
          <w:numId w:val="24"/>
        </w:numPr>
        <w:rPr>
          <w:rFonts w:ascii="Gill Sans MT" w:hAnsi="Gill Sans MT"/>
        </w:rPr>
      </w:pPr>
      <w:r w:rsidRPr="0096069E">
        <w:rPr>
          <w:rFonts w:ascii="Gill Sans MT" w:hAnsi="Gill Sans MT"/>
        </w:rPr>
        <w:t>Good visibility</w:t>
      </w:r>
    </w:p>
    <w:p w:rsidR="00307348" w:rsidRPr="0096069E" w:rsidRDefault="00307348" w:rsidP="00307348">
      <w:pPr>
        <w:pStyle w:val="ListParagraph"/>
        <w:numPr>
          <w:ilvl w:val="0"/>
          <w:numId w:val="24"/>
        </w:numPr>
        <w:rPr>
          <w:rFonts w:ascii="Gill Sans MT" w:hAnsi="Gill Sans MT"/>
        </w:rPr>
      </w:pPr>
      <w:r w:rsidRPr="0096069E">
        <w:rPr>
          <w:rFonts w:ascii="Gill Sans MT" w:hAnsi="Gill Sans MT"/>
        </w:rPr>
        <w:t>High predictability</w:t>
      </w:r>
    </w:p>
    <w:p w:rsidR="00307348" w:rsidRPr="0096069E" w:rsidRDefault="00307348" w:rsidP="00307348">
      <w:pPr>
        <w:pStyle w:val="ListParagraph"/>
        <w:numPr>
          <w:ilvl w:val="0"/>
          <w:numId w:val="24"/>
        </w:numPr>
        <w:rPr>
          <w:rFonts w:ascii="Gill Sans MT" w:hAnsi="Gill Sans MT"/>
        </w:rPr>
      </w:pPr>
      <w:r w:rsidRPr="0096069E">
        <w:rPr>
          <w:rFonts w:ascii="Gill Sans MT" w:hAnsi="Gill Sans MT"/>
        </w:rPr>
        <w:t>Low stress conditions</w:t>
      </w:r>
    </w:p>
    <w:p w:rsidR="00307348" w:rsidRPr="0096069E" w:rsidRDefault="00307348" w:rsidP="00307348">
      <w:pPr>
        <w:pStyle w:val="ListParagraph"/>
        <w:numPr>
          <w:ilvl w:val="0"/>
          <w:numId w:val="24"/>
        </w:numPr>
        <w:rPr>
          <w:rFonts w:ascii="Gill Sans MT" w:hAnsi="Gill Sans MT"/>
        </w:rPr>
      </w:pPr>
      <w:r w:rsidRPr="0096069E">
        <w:rPr>
          <w:rFonts w:ascii="Gill Sans MT" w:hAnsi="Gill Sans MT"/>
        </w:rPr>
        <w:t>Opportunities to stop or be overtaken</w:t>
      </w:r>
    </w:p>
    <w:p w:rsidR="00307348" w:rsidRPr="0096069E" w:rsidRDefault="00307348" w:rsidP="00307348">
      <w:pPr>
        <w:rPr>
          <w:rFonts w:ascii="Gill Sans MT" w:hAnsi="Gill Sans MT"/>
        </w:rPr>
      </w:pPr>
      <w:r w:rsidRPr="0096069E">
        <w:rPr>
          <w:rFonts w:ascii="Gill Sans MT" w:hAnsi="Gill Sans MT"/>
        </w:rPr>
        <w:t>In order to effectively accommodate the needs of older motorists, it will also be important to increase flexibility and capacity in public transport options to maintain their independence and accessibility.</w:t>
      </w:r>
    </w:p>
    <w:p w:rsidR="00307348" w:rsidRPr="0096069E" w:rsidRDefault="00307348" w:rsidP="00307348">
      <w:pPr>
        <w:pStyle w:val="Heading3"/>
      </w:pPr>
      <w:bookmarkStart w:id="140" w:name="_Toc332114115"/>
      <w:bookmarkStart w:id="141" w:name="_Toc332115690"/>
      <w:bookmarkStart w:id="142" w:name="_Toc332115781"/>
      <w:r w:rsidRPr="0096069E">
        <w:t>Motorcyclists</w:t>
      </w:r>
      <w:bookmarkEnd w:id="140"/>
      <w:bookmarkEnd w:id="141"/>
      <w:bookmarkEnd w:id="142"/>
    </w:p>
    <w:p w:rsidR="00307348" w:rsidRPr="0096069E" w:rsidRDefault="00307348" w:rsidP="00307348">
      <w:pPr>
        <w:rPr>
          <w:rFonts w:ascii="Gill Sans MT" w:hAnsi="Gill Sans MT"/>
        </w:rPr>
      </w:pPr>
      <w:r w:rsidRPr="0096069E">
        <w:rPr>
          <w:rFonts w:ascii="Gill Sans MT" w:hAnsi="Gill Sans MT"/>
        </w:rPr>
        <w:t>Motorcyclists are considered vulnerable users of the road network; the risk of a serious or fatal injury in the event of an accident is 34 times higher than for motor vehicle drivers and passengers.</w:t>
      </w:r>
    </w:p>
    <w:p w:rsidR="00307348" w:rsidRPr="0096069E" w:rsidRDefault="00307348" w:rsidP="00307348">
      <w:pPr>
        <w:rPr>
          <w:rFonts w:ascii="Gill Sans MT" w:hAnsi="Gill Sans MT" w:cstheme="minorHAnsi"/>
        </w:rPr>
      </w:pPr>
      <w:r w:rsidRPr="0096069E">
        <w:rPr>
          <w:rFonts w:ascii="Gill Sans MT" w:hAnsi="Gill Sans MT"/>
        </w:rPr>
        <w:t xml:space="preserve">In 2009, around 23% of all vehicular crashes involved a motorcyclist; over 60% of these were single vehicle crashes where the motorcyclist was the only person involved. Over 35% of all fatal motorcycle crashes were riders under 30 years of age. Fatal and serious injuries for motorcyclists have remained relatively static over the last ten years in Tasmania, despite a steady increase in the number of motorcyclists </w:t>
      </w:r>
      <w:r w:rsidRPr="0096069E">
        <w:rPr>
          <w:rFonts w:ascii="Gill Sans MT" w:hAnsi="Gill Sans MT" w:cstheme="minorHAnsi"/>
        </w:rPr>
        <w:t xml:space="preserve">on the roads. There has been a decrease in the total number of serious and minor motorcyclist injuries in the Northern Region over the same period. </w:t>
      </w:r>
    </w:p>
    <w:p w:rsidR="00307348" w:rsidRPr="0096069E" w:rsidRDefault="00307348" w:rsidP="00141BD0">
      <w:pPr>
        <w:autoSpaceDE w:val="0"/>
        <w:autoSpaceDN w:val="0"/>
        <w:adjustRightInd w:val="0"/>
        <w:spacing w:after="0"/>
        <w:rPr>
          <w:rFonts w:ascii="Gill Sans MT" w:hAnsi="Gill Sans MT" w:cstheme="minorHAnsi"/>
          <w:color w:val="231F20"/>
        </w:rPr>
      </w:pPr>
      <w:r w:rsidRPr="0096069E">
        <w:rPr>
          <w:rFonts w:ascii="Gill Sans MT" w:hAnsi="Gill Sans MT" w:cstheme="minorHAnsi"/>
        </w:rPr>
        <w:t xml:space="preserve">Acquiring a motorcycle licence is a rigorous process than for other vehicle licences; an acknowledgement of the increased level of risk </w:t>
      </w:r>
      <w:proofErr w:type="gramStart"/>
      <w:r w:rsidRPr="0096069E">
        <w:rPr>
          <w:rFonts w:ascii="Gill Sans MT" w:hAnsi="Gill Sans MT" w:cstheme="minorHAnsi"/>
        </w:rPr>
        <w:t>motorcyclists</w:t>
      </w:r>
      <w:proofErr w:type="gramEnd"/>
      <w:r w:rsidRPr="0096069E">
        <w:rPr>
          <w:rFonts w:ascii="Gill Sans MT" w:hAnsi="Gill Sans MT" w:cstheme="minorHAnsi"/>
        </w:rPr>
        <w:t xml:space="preserve"> face on the road. This process was strengthened following the </w:t>
      </w:r>
      <w:r w:rsidRPr="0096069E">
        <w:rPr>
          <w:rFonts w:ascii="Gill Sans MT" w:hAnsi="Gill Sans MT" w:cstheme="minorHAnsi"/>
          <w:i/>
          <w:iCs/>
          <w:color w:val="231F20"/>
        </w:rPr>
        <w:t xml:space="preserve">Tasmanian Motorcycle Safety Strategy 2005-2006 </w:t>
      </w:r>
      <w:r w:rsidRPr="0096069E">
        <w:rPr>
          <w:rFonts w:ascii="Gill Sans MT" w:hAnsi="Gill Sans MT" w:cstheme="minorHAnsi"/>
          <w:iCs/>
          <w:color w:val="231F20"/>
        </w:rPr>
        <w:t xml:space="preserve">which </w:t>
      </w:r>
      <w:r w:rsidRPr="0096069E">
        <w:rPr>
          <w:rFonts w:ascii="Gill Sans MT" w:hAnsi="Gill Sans MT" w:cstheme="minorHAnsi"/>
          <w:color w:val="231F20"/>
        </w:rPr>
        <w:t>resulted in the introduction of additional conditions being met before a motorcycle licence would be granted, including:</w:t>
      </w:r>
    </w:p>
    <w:p w:rsidR="00307348" w:rsidRPr="0096069E" w:rsidRDefault="00307348" w:rsidP="00141BD0">
      <w:pPr>
        <w:autoSpaceDE w:val="0"/>
        <w:autoSpaceDN w:val="0"/>
        <w:adjustRightInd w:val="0"/>
        <w:spacing w:after="0"/>
        <w:rPr>
          <w:rFonts w:ascii="Gill Sans MT" w:hAnsi="Gill Sans MT" w:cstheme="minorHAnsi"/>
          <w:color w:val="231F20"/>
        </w:rPr>
      </w:pPr>
    </w:p>
    <w:p w:rsidR="00307348" w:rsidRPr="0096069E" w:rsidRDefault="00307348" w:rsidP="00141BD0">
      <w:pPr>
        <w:pStyle w:val="ListParagraph"/>
        <w:numPr>
          <w:ilvl w:val="0"/>
          <w:numId w:val="91"/>
        </w:numPr>
        <w:autoSpaceDE w:val="0"/>
        <w:autoSpaceDN w:val="0"/>
        <w:adjustRightInd w:val="0"/>
        <w:spacing w:after="0"/>
        <w:rPr>
          <w:rFonts w:ascii="Gill Sans MT" w:hAnsi="Gill Sans MT" w:cstheme="minorHAnsi"/>
          <w:color w:val="231F20"/>
        </w:rPr>
      </w:pPr>
      <w:r w:rsidRPr="0096069E">
        <w:rPr>
          <w:rFonts w:ascii="Gill Sans MT" w:hAnsi="Gill Sans MT" w:cstheme="minorHAnsi"/>
          <w:color w:val="231F20"/>
        </w:rPr>
        <w:lastRenderedPageBreak/>
        <w:t>New pre-learner and pre-provisional training courses which place a greater emphasis on adaptive thinking and hazard perception</w:t>
      </w:r>
    </w:p>
    <w:p w:rsidR="00307348" w:rsidRPr="0096069E" w:rsidRDefault="00307348" w:rsidP="00141BD0">
      <w:pPr>
        <w:pStyle w:val="ListParagraph"/>
        <w:numPr>
          <w:ilvl w:val="0"/>
          <w:numId w:val="91"/>
        </w:numPr>
        <w:autoSpaceDE w:val="0"/>
        <w:autoSpaceDN w:val="0"/>
        <w:adjustRightInd w:val="0"/>
        <w:spacing w:after="0"/>
        <w:rPr>
          <w:rFonts w:ascii="Gill Sans MT" w:hAnsi="Gill Sans MT" w:cstheme="minorHAnsi"/>
          <w:color w:val="231F20"/>
        </w:rPr>
      </w:pPr>
      <w:r w:rsidRPr="0096069E">
        <w:rPr>
          <w:rFonts w:ascii="Gill Sans MT" w:hAnsi="Gill Sans MT" w:cstheme="minorHAnsi"/>
          <w:color w:val="231F20"/>
        </w:rPr>
        <w:t>A minimum continuous period of 6 months for learner motorcyclists before they are eligible for their provisional licence</w:t>
      </w:r>
    </w:p>
    <w:p w:rsidR="00307348" w:rsidRPr="0096069E" w:rsidRDefault="00307348" w:rsidP="00141BD0">
      <w:pPr>
        <w:pStyle w:val="ListParagraph"/>
        <w:numPr>
          <w:ilvl w:val="0"/>
          <w:numId w:val="91"/>
        </w:numPr>
        <w:autoSpaceDE w:val="0"/>
        <w:autoSpaceDN w:val="0"/>
        <w:adjustRightInd w:val="0"/>
        <w:spacing w:after="0"/>
        <w:rPr>
          <w:rFonts w:ascii="Gill Sans MT" w:hAnsi="Gill Sans MT" w:cstheme="minorHAnsi"/>
          <w:color w:val="231F20"/>
        </w:rPr>
      </w:pPr>
      <w:r w:rsidRPr="0096069E">
        <w:rPr>
          <w:rFonts w:ascii="Gill Sans MT" w:hAnsi="Gill Sans MT" w:cstheme="minorHAnsi"/>
          <w:color w:val="231F20"/>
        </w:rPr>
        <w:t>An increase to the minimum age for getting a motorcycle learner licence from 16 years to 16 years and 6 months</w:t>
      </w:r>
    </w:p>
    <w:p w:rsidR="00307348" w:rsidRPr="0096069E" w:rsidRDefault="00307348" w:rsidP="00141BD0">
      <w:pPr>
        <w:pStyle w:val="ListParagraph"/>
        <w:numPr>
          <w:ilvl w:val="0"/>
          <w:numId w:val="91"/>
        </w:numPr>
        <w:autoSpaceDE w:val="0"/>
        <w:autoSpaceDN w:val="0"/>
        <w:adjustRightInd w:val="0"/>
        <w:rPr>
          <w:rFonts w:ascii="Gill Sans MT" w:hAnsi="Gill Sans MT" w:cstheme="minorHAnsi"/>
          <w:color w:val="231F20"/>
        </w:rPr>
      </w:pPr>
      <w:r w:rsidRPr="0096069E">
        <w:rPr>
          <w:rFonts w:ascii="Gill Sans MT" w:hAnsi="Gill Sans MT" w:cstheme="minorHAnsi"/>
          <w:color w:val="231F20"/>
        </w:rPr>
        <w:t>A power to weight scheme (Learner Approved Motorcycle Scheme i.e. LAMS) for learners and all riders in their first year after progressing from a motorcycle learner licence which replaced the 250cc maximum engine capacity restriction</w:t>
      </w:r>
    </w:p>
    <w:p w:rsidR="00307348" w:rsidRPr="0096069E" w:rsidRDefault="00307348" w:rsidP="00141BD0">
      <w:pPr>
        <w:rPr>
          <w:rFonts w:ascii="Gill Sans MT" w:hAnsi="Gill Sans MT"/>
        </w:rPr>
      </w:pPr>
      <w:r w:rsidRPr="0096069E">
        <w:rPr>
          <w:rFonts w:ascii="Gill Sans MT" w:hAnsi="Gill Sans MT"/>
        </w:rPr>
        <w:t xml:space="preserve">The </w:t>
      </w:r>
      <w:r w:rsidRPr="0096069E">
        <w:rPr>
          <w:rFonts w:ascii="Gill Sans MT" w:hAnsi="Gill Sans MT"/>
          <w:i/>
        </w:rPr>
        <w:t>Tasmanian Road Safety Strategy 2007-2016</w:t>
      </w:r>
      <w:r w:rsidRPr="0096069E">
        <w:rPr>
          <w:rFonts w:ascii="Gill Sans MT" w:hAnsi="Gill Sans MT"/>
        </w:rPr>
        <w:t xml:space="preserve"> has continued this focus, undertaking appropriate motorcycle safety infrastructure treatments targeting roads or routes with high motorcycle crashes or popular routes with high crash potential.</w:t>
      </w:r>
    </w:p>
    <w:p w:rsidR="00307348" w:rsidRPr="0096069E" w:rsidRDefault="00307348" w:rsidP="00307348">
      <w:pPr>
        <w:pStyle w:val="Heading3"/>
      </w:pPr>
      <w:bookmarkStart w:id="143" w:name="_Toc332114117"/>
      <w:bookmarkStart w:id="144" w:name="_Toc332115692"/>
      <w:bookmarkStart w:id="145" w:name="_Toc332115783"/>
      <w:r w:rsidRPr="0096069E">
        <w:t>Non-urban roads</w:t>
      </w:r>
      <w:bookmarkEnd w:id="143"/>
      <w:bookmarkEnd w:id="144"/>
      <w:bookmarkEnd w:id="145"/>
      <w:r w:rsidRPr="0096069E">
        <w:t xml:space="preserve"> </w:t>
      </w:r>
    </w:p>
    <w:p w:rsidR="00307348" w:rsidRPr="0096069E" w:rsidRDefault="00307348" w:rsidP="00307348">
      <w:pPr>
        <w:rPr>
          <w:rFonts w:ascii="Gill Sans MT" w:hAnsi="Gill Sans MT"/>
        </w:rPr>
      </w:pPr>
      <w:r w:rsidRPr="0096069E">
        <w:rPr>
          <w:rFonts w:ascii="Gill Sans MT" w:hAnsi="Gill Sans MT"/>
        </w:rPr>
        <w:t>Over half of all fatal road crashes occur on rural or remote roads; this is despite only a third of the population living in rural or remote areas. There are a number of distinctive factors which differentiate rural roads from urban roads, including:</w:t>
      </w:r>
    </w:p>
    <w:p w:rsidR="00307348" w:rsidRPr="0096069E" w:rsidRDefault="00307348" w:rsidP="00307348">
      <w:pPr>
        <w:pStyle w:val="ListParagraph"/>
        <w:numPr>
          <w:ilvl w:val="0"/>
          <w:numId w:val="25"/>
        </w:numPr>
        <w:rPr>
          <w:rFonts w:ascii="Gill Sans MT" w:hAnsi="Gill Sans MT"/>
        </w:rPr>
      </w:pPr>
      <w:r w:rsidRPr="0096069E">
        <w:rPr>
          <w:rFonts w:ascii="Gill Sans MT" w:hAnsi="Gill Sans MT"/>
        </w:rPr>
        <w:t>Generally higher travel speeds;</w:t>
      </w:r>
    </w:p>
    <w:p w:rsidR="00307348" w:rsidRPr="0096069E" w:rsidRDefault="00307348" w:rsidP="00307348">
      <w:pPr>
        <w:pStyle w:val="ListParagraph"/>
        <w:numPr>
          <w:ilvl w:val="0"/>
          <w:numId w:val="25"/>
        </w:numPr>
        <w:rPr>
          <w:rFonts w:ascii="Gill Sans MT" w:hAnsi="Gill Sans MT"/>
        </w:rPr>
      </w:pPr>
      <w:r w:rsidRPr="0096069E">
        <w:rPr>
          <w:rFonts w:ascii="Gill Sans MT" w:hAnsi="Gill Sans MT"/>
        </w:rPr>
        <w:t>Longer travelling distances;</w:t>
      </w:r>
    </w:p>
    <w:p w:rsidR="00307348" w:rsidRPr="0096069E" w:rsidRDefault="00307348" w:rsidP="00307348">
      <w:pPr>
        <w:pStyle w:val="ListParagraph"/>
        <w:numPr>
          <w:ilvl w:val="0"/>
          <w:numId w:val="25"/>
        </w:numPr>
        <w:rPr>
          <w:rFonts w:ascii="Gill Sans MT" w:hAnsi="Gill Sans MT"/>
        </w:rPr>
      </w:pPr>
      <w:r w:rsidRPr="0096069E">
        <w:rPr>
          <w:rFonts w:ascii="Gill Sans MT" w:hAnsi="Gill Sans MT"/>
        </w:rPr>
        <w:t>More variability in road environment and conditions, including sealing and alignments;</w:t>
      </w:r>
    </w:p>
    <w:p w:rsidR="00307348" w:rsidRPr="0096069E" w:rsidRDefault="00307348" w:rsidP="00307348">
      <w:pPr>
        <w:pStyle w:val="ListParagraph"/>
        <w:numPr>
          <w:ilvl w:val="0"/>
          <w:numId w:val="25"/>
        </w:numPr>
        <w:rPr>
          <w:rFonts w:ascii="Gill Sans MT" w:hAnsi="Gill Sans MT"/>
        </w:rPr>
      </w:pPr>
      <w:r w:rsidRPr="0096069E">
        <w:rPr>
          <w:rFonts w:ascii="Gill Sans MT" w:hAnsi="Gill Sans MT"/>
        </w:rPr>
        <w:t xml:space="preserve">Mix of vehicles, including heavy, agricultural, forestry or mining vehicles; </w:t>
      </w:r>
    </w:p>
    <w:p w:rsidR="00307348" w:rsidRPr="0096069E" w:rsidRDefault="00307348" w:rsidP="00307348">
      <w:pPr>
        <w:pStyle w:val="ListParagraph"/>
        <w:numPr>
          <w:ilvl w:val="0"/>
          <w:numId w:val="25"/>
        </w:numPr>
        <w:rPr>
          <w:rFonts w:ascii="Gill Sans MT" w:hAnsi="Gill Sans MT"/>
        </w:rPr>
      </w:pPr>
      <w:r w:rsidRPr="0096069E">
        <w:rPr>
          <w:rFonts w:ascii="Gill Sans MT" w:hAnsi="Gill Sans MT"/>
        </w:rPr>
        <w:t xml:space="preserve">Fewer mode alternatives to private vehicle travel; </w:t>
      </w:r>
    </w:p>
    <w:p w:rsidR="00307348" w:rsidRPr="0096069E" w:rsidRDefault="00307348" w:rsidP="00307348">
      <w:pPr>
        <w:pStyle w:val="ListParagraph"/>
        <w:numPr>
          <w:ilvl w:val="0"/>
          <w:numId w:val="25"/>
        </w:numPr>
        <w:rPr>
          <w:rFonts w:ascii="Gill Sans MT" w:hAnsi="Gill Sans MT"/>
        </w:rPr>
      </w:pPr>
      <w:r w:rsidRPr="0096069E">
        <w:rPr>
          <w:rFonts w:ascii="Gill Sans MT" w:hAnsi="Gill Sans MT"/>
        </w:rPr>
        <w:t>A higher proportion of single-vehicle crashes, such as run-off-road crashes; and</w:t>
      </w:r>
    </w:p>
    <w:p w:rsidR="00307348" w:rsidRPr="0096069E" w:rsidRDefault="00307348" w:rsidP="00307348">
      <w:pPr>
        <w:pStyle w:val="ListParagraph"/>
        <w:numPr>
          <w:ilvl w:val="0"/>
          <w:numId w:val="25"/>
        </w:numPr>
        <w:spacing w:before="240"/>
        <w:rPr>
          <w:rFonts w:ascii="Gill Sans MT" w:hAnsi="Gill Sans MT"/>
        </w:rPr>
      </w:pPr>
      <w:r w:rsidRPr="0096069E">
        <w:rPr>
          <w:rFonts w:ascii="Gill Sans MT" w:hAnsi="Gill Sans MT"/>
        </w:rPr>
        <w:t>Longer response times for emergency services or access to medical treatment.</w:t>
      </w:r>
    </w:p>
    <w:p w:rsidR="00307348" w:rsidRPr="0096069E" w:rsidRDefault="00307348" w:rsidP="00307348">
      <w:pPr>
        <w:pStyle w:val="Heading3"/>
      </w:pPr>
      <w:bookmarkStart w:id="146" w:name="_Toc332114118"/>
      <w:bookmarkStart w:id="147" w:name="_Toc332115693"/>
      <w:bookmarkStart w:id="148" w:name="_Toc332115784"/>
      <w:r w:rsidRPr="0096069E">
        <w:t>Pedestrians</w:t>
      </w:r>
      <w:bookmarkEnd w:id="146"/>
      <w:bookmarkEnd w:id="147"/>
      <w:bookmarkEnd w:id="148"/>
    </w:p>
    <w:p w:rsidR="00307348" w:rsidRPr="0096069E" w:rsidRDefault="00307348" w:rsidP="00307348">
      <w:pPr>
        <w:rPr>
          <w:rFonts w:ascii="Gill Sans MT" w:hAnsi="Gill Sans MT"/>
        </w:rPr>
      </w:pPr>
      <w:r w:rsidRPr="0096069E">
        <w:rPr>
          <w:rFonts w:ascii="Gill Sans MT" w:hAnsi="Gill Sans MT"/>
        </w:rPr>
        <w:t>Densely built up and busy urban environments are areas where pedestrians are most at risk. One of the key factors involved in pedestrian crashes is that other road users do not see them until it is too late, or they step out from concealed locations. Young children are at higher risk as pedestrians due to their lack of experience and skills needed to be a safe road user and therefore they should always be supervised by adults around traffic. At the other end of the spectrum, adults over 60 years of age generally experience deterioration in their eyesight and hearing, which can make it more difficult to judge distances and the speed of traffic. Also, reduced mobility may mean that it takes them longer to cross a stream of traffic.</w:t>
      </w:r>
    </w:p>
    <w:p w:rsidR="00307348" w:rsidRPr="0096069E" w:rsidRDefault="00307348" w:rsidP="00307348">
      <w:pPr>
        <w:pStyle w:val="Heading3"/>
      </w:pPr>
      <w:bookmarkStart w:id="149" w:name="_Toc332114119"/>
      <w:bookmarkStart w:id="150" w:name="_Toc332115694"/>
      <w:bookmarkStart w:id="151" w:name="_Toc332115785"/>
      <w:r w:rsidRPr="0096069E">
        <w:lastRenderedPageBreak/>
        <w:t>Cyclists</w:t>
      </w:r>
      <w:bookmarkEnd w:id="149"/>
      <w:bookmarkEnd w:id="150"/>
      <w:bookmarkEnd w:id="151"/>
    </w:p>
    <w:p w:rsidR="00307348" w:rsidRPr="0096069E" w:rsidRDefault="00307348" w:rsidP="00141BD0">
      <w:pPr>
        <w:rPr>
          <w:rFonts w:ascii="Gill Sans MT" w:hAnsi="Gill Sans MT"/>
        </w:rPr>
      </w:pPr>
      <w:r w:rsidRPr="0096069E">
        <w:rPr>
          <w:rFonts w:ascii="Gill Sans MT" w:hAnsi="Gill Sans MT"/>
        </w:rPr>
        <w:t xml:space="preserve">Cycling is both a recreational activity as well as an efficient form of transport, not to mention the health benefits attributable to increased levels of cycling, as well as the positive environmental impacts from having fewer motor vehicles on the road. </w:t>
      </w:r>
    </w:p>
    <w:p w:rsidR="00307348" w:rsidRPr="0096069E" w:rsidRDefault="00307348" w:rsidP="00141BD0">
      <w:pPr>
        <w:rPr>
          <w:rFonts w:ascii="Gill Sans MT" w:hAnsi="Gill Sans MT"/>
        </w:rPr>
      </w:pPr>
      <w:r w:rsidRPr="0096069E">
        <w:rPr>
          <w:rFonts w:ascii="Gill Sans MT" w:hAnsi="Gill Sans MT"/>
        </w:rPr>
        <w:t>One of the major hindrances to increasing the number of cycling trips made each day lies in the perception of cycling safety. Improving the safety of cyclists on the road is a key priority of the Australian Bicycle Council’s National Cycling Strategy 2011-2016.</w:t>
      </w:r>
    </w:p>
    <w:p w:rsidR="00307348" w:rsidRPr="0096069E" w:rsidRDefault="00307348" w:rsidP="00141BD0">
      <w:pPr>
        <w:rPr>
          <w:rFonts w:ascii="Gill Sans MT" w:hAnsi="Gill Sans MT"/>
        </w:rPr>
      </w:pPr>
      <w:r w:rsidRPr="0096069E">
        <w:rPr>
          <w:rFonts w:ascii="Gill Sans MT" w:hAnsi="Gill Sans MT"/>
        </w:rPr>
        <w:t>Following on from the Launceston Cycling Infrastructure Strategy, the development of the Greater Launceston Bicycle Commuting Network, which spans the councils of West Tamar, Northern Midlands, Meander Valley and Launceston City, acknowledges the need for a region-wide approach to cycling planning and infrastructure development, and will provide safer road connections and conditions for cyclists.</w:t>
      </w:r>
    </w:p>
    <w:p w:rsidR="00307348" w:rsidRPr="0096069E" w:rsidRDefault="00307348" w:rsidP="00141BD0">
      <w:pPr>
        <w:pStyle w:val="Heading2"/>
      </w:pPr>
      <w:bookmarkStart w:id="152" w:name="_Toc332033605"/>
      <w:bookmarkStart w:id="153" w:name="_Toc332114120"/>
      <w:bookmarkStart w:id="154" w:name="_Toc332115695"/>
      <w:bookmarkStart w:id="155" w:name="_Toc332115786"/>
      <w:r w:rsidRPr="0096069E">
        <w:t>Complimentary road safety programs</w:t>
      </w:r>
      <w:bookmarkEnd w:id="152"/>
      <w:bookmarkEnd w:id="153"/>
      <w:bookmarkEnd w:id="154"/>
      <w:bookmarkEnd w:id="155"/>
    </w:p>
    <w:p w:rsidR="00307348" w:rsidRPr="0096069E" w:rsidRDefault="00307348" w:rsidP="00141BD0">
      <w:pPr>
        <w:rPr>
          <w:rFonts w:ascii="Gill Sans MT" w:hAnsi="Gill Sans MT"/>
        </w:rPr>
      </w:pPr>
      <w:r w:rsidRPr="0096069E">
        <w:rPr>
          <w:rFonts w:ascii="Gill Sans MT" w:hAnsi="Gill Sans MT"/>
        </w:rPr>
        <w:t>There are a number of road safety programs and initiatives dedicated to improving road safety conditions, and furthering the goals of the Tasmanian Road Safety Strategy.</w:t>
      </w:r>
    </w:p>
    <w:p w:rsidR="00307348" w:rsidRPr="0096069E" w:rsidRDefault="00307348" w:rsidP="00141BD0">
      <w:pPr>
        <w:pStyle w:val="Heading3"/>
      </w:pPr>
      <w:bookmarkStart w:id="156" w:name="_Toc332114121"/>
      <w:bookmarkStart w:id="157" w:name="_Toc332115696"/>
      <w:bookmarkStart w:id="158" w:name="_Toc332115787"/>
      <w:r w:rsidRPr="0096069E">
        <w:t>Community Road Safety Partnerships</w:t>
      </w:r>
      <w:bookmarkEnd w:id="156"/>
      <w:bookmarkEnd w:id="157"/>
      <w:bookmarkEnd w:id="158"/>
    </w:p>
    <w:p w:rsidR="00307348" w:rsidRPr="0096069E" w:rsidRDefault="00307348" w:rsidP="00141BD0">
      <w:pPr>
        <w:autoSpaceDE w:val="0"/>
        <w:autoSpaceDN w:val="0"/>
        <w:adjustRightInd w:val="0"/>
        <w:spacing w:after="0"/>
        <w:rPr>
          <w:rFonts w:ascii="Gill Sans MT" w:hAnsi="Gill Sans MT"/>
        </w:rPr>
      </w:pPr>
      <w:r w:rsidRPr="0096069E">
        <w:rPr>
          <w:rFonts w:ascii="Gill Sans MT" w:hAnsi="Gill Sans MT"/>
        </w:rPr>
        <w:t>Community Road Safety Partnerships (CRSP) is a "grassroots" road safety program coordinated by the Tasmanian Government, working in Local Government to develop and implement targeted initiatives to address local road safety issues.</w:t>
      </w:r>
    </w:p>
    <w:p w:rsidR="00307348" w:rsidRPr="0096069E" w:rsidRDefault="00307348" w:rsidP="00141BD0">
      <w:pPr>
        <w:autoSpaceDE w:val="0"/>
        <w:autoSpaceDN w:val="0"/>
        <w:adjustRightInd w:val="0"/>
        <w:spacing w:after="0"/>
        <w:rPr>
          <w:rFonts w:ascii="Gill Sans MT" w:hAnsi="Gill Sans MT"/>
        </w:rPr>
      </w:pPr>
    </w:p>
    <w:p w:rsidR="00307348" w:rsidRPr="0096069E" w:rsidRDefault="00307348" w:rsidP="00141BD0">
      <w:pPr>
        <w:autoSpaceDE w:val="0"/>
        <w:autoSpaceDN w:val="0"/>
        <w:adjustRightInd w:val="0"/>
        <w:rPr>
          <w:rFonts w:ascii="Gill Sans MT" w:hAnsi="Gill Sans MT"/>
        </w:rPr>
      </w:pPr>
      <w:r w:rsidRPr="0096069E">
        <w:rPr>
          <w:rFonts w:ascii="Gill Sans MT" w:hAnsi="Gill Sans MT"/>
        </w:rPr>
        <w:t xml:space="preserve">Through community engagement, the CRSP </w:t>
      </w:r>
      <w:r w:rsidRPr="0096069E">
        <w:rPr>
          <w:rFonts w:ascii="Gill Sans MT" w:hAnsi="Gill Sans MT" w:cs="GillSansStd-Light"/>
        </w:rPr>
        <w:t xml:space="preserve">helps to organise planned activity, targeting high risk behaviour in key focus areas such as speeding, drink driving, inattention / distraction, safer vehicles, safety of young drivers and motorcyclist safety. </w:t>
      </w:r>
      <w:r w:rsidRPr="0096069E">
        <w:rPr>
          <w:rFonts w:ascii="Gill Sans MT" w:hAnsi="Gill Sans MT"/>
        </w:rPr>
        <w:t>To manage and plan the delivery of community road safety activities, the Government links with existing local road safety groups, Police and community liaison committees and community safety organisations.</w:t>
      </w:r>
    </w:p>
    <w:p w:rsidR="00307348" w:rsidRPr="0096069E" w:rsidRDefault="00307348" w:rsidP="00141BD0">
      <w:pPr>
        <w:pStyle w:val="Heading3"/>
      </w:pPr>
      <w:bookmarkStart w:id="159" w:name="_Toc332114124"/>
      <w:bookmarkStart w:id="160" w:name="_Toc332115699"/>
      <w:bookmarkStart w:id="161" w:name="_Toc332115790"/>
      <w:r w:rsidRPr="0096069E">
        <w:t>Black Spot Program</w:t>
      </w:r>
      <w:bookmarkEnd w:id="159"/>
      <w:bookmarkEnd w:id="160"/>
      <w:bookmarkEnd w:id="161"/>
    </w:p>
    <w:p w:rsidR="00307348" w:rsidRPr="0096069E" w:rsidRDefault="00307348" w:rsidP="00141BD0">
      <w:pPr>
        <w:rPr>
          <w:rFonts w:ascii="Gill Sans MT" w:hAnsi="Gill Sans MT"/>
        </w:rPr>
      </w:pPr>
      <w:r w:rsidRPr="0096069E">
        <w:rPr>
          <w:rFonts w:ascii="Gill Sans MT" w:hAnsi="Gill Sans MT"/>
        </w:rPr>
        <w:t xml:space="preserve">The Black Spot Program is a Commonwealth-funded road safety improvement program. It provides funding to target specific locations with identified crash histories to be improved by various safety treatment measures. Project proposals need to demonstrate a benefit-to-cost ratio (BCR) of at least 2:1. Road owners are responsible for nominating suitable schemes and projects which implement physical works to the site, such as the addition of traffic signals, shoulder sealing or median treatments. Around 80% of Black Spot funding is allocated to BCR schemes. The Black Spot Program also recognises that there are road locations which could be considered as </w:t>
      </w:r>
      <w:r w:rsidRPr="0096069E">
        <w:rPr>
          <w:rFonts w:ascii="Gill Sans MT" w:hAnsi="Gill Sans MT"/>
        </w:rPr>
        <w:lastRenderedPageBreak/>
        <w:t>'crashes waiting to happen'.  Program funds may be used to treat sites where road traffic engineers have completed a Road Safety Audit and found that remedial work is necessary. This provides the opportunity for proactive safety works to be undertaken before casualties occur and makes up around 20% of all Black Spot projects.</w:t>
      </w:r>
    </w:p>
    <w:p w:rsidR="00307348" w:rsidRPr="0096069E" w:rsidRDefault="00307348" w:rsidP="00141BD0">
      <w:pPr>
        <w:rPr>
          <w:rFonts w:ascii="Gill Sans MT" w:hAnsi="Gill Sans MT"/>
        </w:rPr>
      </w:pPr>
      <w:r w:rsidRPr="0096069E">
        <w:rPr>
          <w:rFonts w:ascii="Gill Sans MT" w:hAnsi="Gill Sans MT"/>
        </w:rPr>
        <w:t>Since its commencement in 1996,</w:t>
      </w:r>
      <w:r w:rsidRPr="0096069E">
        <w:rPr>
          <w:rFonts w:ascii="Gill Sans MT" w:hAnsi="Gill Sans MT"/>
          <w:color w:val="FF0000"/>
        </w:rPr>
        <w:t xml:space="preserve"> </w:t>
      </w:r>
      <w:r w:rsidRPr="0096069E">
        <w:rPr>
          <w:rFonts w:ascii="Gill Sans MT" w:hAnsi="Gill Sans MT"/>
        </w:rPr>
        <w:t xml:space="preserve">over $12.8 million has been allocated to fund Black Spot safety projects in Tasmania by the Commonwealth Government. A further $1.6 million has been allocated annually through to 2018/19 to continue support for future projects. </w:t>
      </w:r>
    </w:p>
    <w:p w:rsidR="00307348" w:rsidRPr="0096069E" w:rsidRDefault="00307348" w:rsidP="00141BD0">
      <w:pPr>
        <w:rPr>
          <w:rFonts w:ascii="Gill Sans MT" w:hAnsi="Gill Sans MT"/>
        </w:rPr>
      </w:pPr>
      <w:r w:rsidRPr="0096069E">
        <w:rPr>
          <w:rFonts w:ascii="Gill Sans MT" w:hAnsi="Gill Sans MT"/>
        </w:rPr>
        <w:t>An evaluation was undertaken in 2006 which analysed the average BCR, number of casualty crashes prevented and the reduction in casualty crash costs of 70 BCR projects. All evaluated projects had at least three years of ‘after treatment’ data. Some key findings of the report are as follows:</w:t>
      </w:r>
    </w:p>
    <w:p w:rsidR="00307348" w:rsidRPr="0096069E" w:rsidRDefault="00307348" w:rsidP="00141BD0">
      <w:pPr>
        <w:pStyle w:val="ListParagraph"/>
        <w:numPr>
          <w:ilvl w:val="0"/>
          <w:numId w:val="92"/>
        </w:numPr>
        <w:autoSpaceDE w:val="0"/>
        <w:autoSpaceDN w:val="0"/>
        <w:adjustRightInd w:val="0"/>
        <w:spacing w:after="0"/>
        <w:rPr>
          <w:rFonts w:ascii="Gill Sans MT" w:hAnsi="Gill Sans MT" w:cstheme="minorHAnsi"/>
          <w:color w:val="000000"/>
        </w:rPr>
      </w:pPr>
      <w:r w:rsidRPr="0096069E">
        <w:rPr>
          <w:rFonts w:ascii="Gill Sans MT" w:hAnsi="Gill Sans MT" w:cstheme="minorHAnsi"/>
          <w:color w:val="000000"/>
        </w:rPr>
        <w:t>Roundabouts yielded the best results with an average BCR of 12.7 across 15 treatment sites and an 80% reduction in casualty crashes;</w:t>
      </w:r>
    </w:p>
    <w:p w:rsidR="00307348" w:rsidRPr="0096069E" w:rsidRDefault="00307348" w:rsidP="00141BD0">
      <w:pPr>
        <w:pStyle w:val="ListParagraph"/>
        <w:numPr>
          <w:ilvl w:val="0"/>
          <w:numId w:val="92"/>
        </w:numPr>
        <w:autoSpaceDE w:val="0"/>
        <w:autoSpaceDN w:val="0"/>
        <w:adjustRightInd w:val="0"/>
        <w:spacing w:after="0"/>
        <w:rPr>
          <w:rFonts w:ascii="Gill Sans MT" w:hAnsi="Gill Sans MT" w:cstheme="minorHAnsi"/>
          <w:color w:val="000000"/>
        </w:rPr>
      </w:pPr>
      <w:r w:rsidRPr="0096069E">
        <w:rPr>
          <w:rFonts w:ascii="Gill Sans MT" w:hAnsi="Gill Sans MT" w:cstheme="minorHAnsi"/>
          <w:color w:val="000000"/>
        </w:rPr>
        <w:t xml:space="preserve">The average BCR for the evaluated schemes is 8.2 – meaning that for each $1 invested in road safety improvements there has been an $8 reduction in crash costs; </w:t>
      </w:r>
    </w:p>
    <w:p w:rsidR="00307348" w:rsidRPr="0096069E" w:rsidRDefault="00307348" w:rsidP="00141BD0">
      <w:pPr>
        <w:pStyle w:val="ListParagraph"/>
        <w:numPr>
          <w:ilvl w:val="0"/>
          <w:numId w:val="92"/>
        </w:numPr>
        <w:autoSpaceDE w:val="0"/>
        <w:autoSpaceDN w:val="0"/>
        <w:adjustRightInd w:val="0"/>
        <w:spacing w:after="0"/>
        <w:rPr>
          <w:rFonts w:ascii="Gill Sans MT" w:hAnsi="Gill Sans MT" w:cstheme="minorHAnsi"/>
          <w:color w:val="000000"/>
        </w:rPr>
      </w:pPr>
      <w:r w:rsidRPr="0096069E">
        <w:rPr>
          <w:rFonts w:ascii="Gill Sans MT" w:hAnsi="Gill Sans MT" w:cstheme="minorHAnsi"/>
          <w:color w:val="000000"/>
        </w:rPr>
        <w:t>The 70 evaluated Black Spot schemes are now preventing 31 casualty crashes per year; and</w:t>
      </w:r>
    </w:p>
    <w:p w:rsidR="00307348" w:rsidRPr="0096069E" w:rsidRDefault="00307348" w:rsidP="00141BD0">
      <w:pPr>
        <w:pStyle w:val="ListParagraph"/>
        <w:numPr>
          <w:ilvl w:val="0"/>
          <w:numId w:val="92"/>
        </w:numPr>
        <w:autoSpaceDE w:val="0"/>
        <w:autoSpaceDN w:val="0"/>
        <w:adjustRightInd w:val="0"/>
        <w:spacing w:after="0"/>
        <w:rPr>
          <w:rFonts w:ascii="Gill Sans MT" w:hAnsi="Gill Sans MT" w:cstheme="minorHAnsi"/>
          <w:color w:val="000000"/>
        </w:rPr>
      </w:pPr>
      <w:r w:rsidRPr="0096069E">
        <w:rPr>
          <w:rFonts w:ascii="Gill Sans MT" w:hAnsi="Gill Sans MT" w:cstheme="minorHAnsi"/>
          <w:color w:val="000000"/>
        </w:rPr>
        <w:t>By the end of 2006, the 70 schemes had already prevented 209 casualty crashes.</w:t>
      </w:r>
    </w:p>
    <w:p w:rsidR="00307348" w:rsidRPr="0096069E" w:rsidRDefault="00307348" w:rsidP="00141BD0">
      <w:pPr>
        <w:autoSpaceDE w:val="0"/>
        <w:autoSpaceDN w:val="0"/>
        <w:adjustRightInd w:val="0"/>
        <w:spacing w:after="0"/>
        <w:rPr>
          <w:rFonts w:ascii="Gill Sans MT" w:hAnsi="Gill Sans MT" w:cstheme="minorHAnsi"/>
          <w:color w:val="000000"/>
        </w:rPr>
      </w:pPr>
    </w:p>
    <w:p w:rsidR="00307348" w:rsidRPr="0096069E" w:rsidRDefault="00141BD0" w:rsidP="00141BD0">
      <w:pPr>
        <w:spacing w:after="0"/>
        <w:rPr>
          <w:rFonts w:ascii="Gill Sans MT" w:hAnsi="Gill Sans MT"/>
        </w:rPr>
      </w:pPr>
      <w:r>
        <w:rPr>
          <w:rFonts w:ascii="Gill Sans MT" w:hAnsi="Gill Sans MT"/>
        </w:rPr>
        <w:t>E</w:t>
      </w:r>
      <w:r w:rsidR="00307348" w:rsidRPr="0096069E">
        <w:rPr>
          <w:rFonts w:ascii="Gill Sans MT" w:hAnsi="Gill Sans MT"/>
        </w:rPr>
        <w:t xml:space="preserve">xamples </w:t>
      </w:r>
      <w:r>
        <w:rPr>
          <w:rFonts w:ascii="Gill Sans MT" w:hAnsi="Gill Sans MT"/>
        </w:rPr>
        <w:t xml:space="preserve">of safety improvements </w:t>
      </w:r>
      <w:r w:rsidR="00307348" w:rsidRPr="0096069E">
        <w:rPr>
          <w:rFonts w:ascii="Gill Sans MT" w:hAnsi="Gill Sans MT"/>
        </w:rPr>
        <w:t xml:space="preserve">in the Northern Region resulting from the implementation of Black Spot safety projects </w:t>
      </w:r>
      <w:r>
        <w:rPr>
          <w:rFonts w:ascii="Gill Sans MT" w:hAnsi="Gill Sans MT"/>
        </w:rPr>
        <w:t>are contained</w:t>
      </w:r>
      <w:r w:rsidR="00307348" w:rsidRPr="0096069E">
        <w:rPr>
          <w:rFonts w:ascii="Gill Sans MT" w:hAnsi="Gill Sans MT"/>
        </w:rPr>
        <w:t xml:space="preserve"> in </w:t>
      </w:r>
      <w:r w:rsidR="00307348" w:rsidRPr="0096069E">
        <w:rPr>
          <w:rFonts w:ascii="Gill Sans MT" w:hAnsi="Gill Sans MT"/>
          <w:i/>
        </w:rPr>
        <w:t>Table 1</w:t>
      </w:r>
      <w:r w:rsidR="00307348" w:rsidRPr="0096069E">
        <w:rPr>
          <w:rFonts w:ascii="Gill Sans MT" w:hAnsi="Gill Sans MT"/>
        </w:rPr>
        <w:t>:</w:t>
      </w:r>
    </w:p>
    <w:tbl>
      <w:tblPr>
        <w:tblStyle w:val="LightShading-Accent11"/>
        <w:tblW w:w="0" w:type="auto"/>
        <w:tblLook w:val="04A0"/>
      </w:tblPr>
      <w:tblGrid>
        <w:gridCol w:w="2075"/>
        <w:gridCol w:w="2498"/>
        <w:gridCol w:w="1223"/>
        <w:gridCol w:w="1302"/>
        <w:gridCol w:w="1430"/>
      </w:tblGrid>
      <w:tr w:rsidR="00307348" w:rsidRPr="0096069E" w:rsidTr="00764555">
        <w:trPr>
          <w:cnfStyle w:val="100000000000"/>
        </w:trPr>
        <w:tc>
          <w:tcPr>
            <w:cnfStyle w:val="001000000000"/>
            <w:tcW w:w="2075" w:type="dxa"/>
            <w:vMerge w:val="restart"/>
            <w:shd w:val="clear" w:color="auto" w:fill="365F91" w:themeFill="accent1" w:themeFillShade="BF"/>
          </w:tcPr>
          <w:p w:rsidR="00307348" w:rsidRPr="0096069E" w:rsidRDefault="00307348" w:rsidP="00764555">
            <w:pPr>
              <w:rPr>
                <w:rFonts w:ascii="Gill Sans MT" w:hAnsi="Gill Sans MT"/>
                <w:color w:val="FFFFFF" w:themeColor="background1"/>
              </w:rPr>
            </w:pPr>
            <w:r w:rsidRPr="0096069E">
              <w:rPr>
                <w:rFonts w:ascii="Gill Sans MT" w:hAnsi="Gill Sans MT"/>
                <w:color w:val="FFFFFF" w:themeColor="background1"/>
              </w:rPr>
              <w:t>Type of Improvement</w:t>
            </w:r>
          </w:p>
        </w:tc>
        <w:tc>
          <w:tcPr>
            <w:tcW w:w="2498" w:type="dxa"/>
            <w:vMerge w:val="restart"/>
            <w:shd w:val="clear" w:color="auto" w:fill="365F91" w:themeFill="accent1" w:themeFillShade="BF"/>
          </w:tcPr>
          <w:p w:rsidR="00307348" w:rsidRPr="0096069E" w:rsidRDefault="00307348" w:rsidP="00764555">
            <w:pPr>
              <w:cnfStyle w:val="100000000000"/>
              <w:rPr>
                <w:rFonts w:ascii="Gill Sans MT" w:hAnsi="Gill Sans MT"/>
                <w:color w:val="FFFFFF" w:themeColor="background1"/>
              </w:rPr>
            </w:pPr>
            <w:r w:rsidRPr="0096069E">
              <w:rPr>
                <w:rFonts w:ascii="Gill Sans MT" w:hAnsi="Gill Sans MT"/>
                <w:color w:val="FFFFFF" w:themeColor="background1"/>
              </w:rPr>
              <w:t>Location</w:t>
            </w:r>
          </w:p>
        </w:tc>
        <w:tc>
          <w:tcPr>
            <w:tcW w:w="1223" w:type="dxa"/>
            <w:vMerge w:val="restart"/>
            <w:shd w:val="clear" w:color="auto" w:fill="365F91" w:themeFill="accent1" w:themeFillShade="BF"/>
          </w:tcPr>
          <w:p w:rsidR="00307348" w:rsidRPr="0096069E" w:rsidRDefault="00307348" w:rsidP="00764555">
            <w:pPr>
              <w:cnfStyle w:val="100000000000"/>
              <w:rPr>
                <w:rFonts w:ascii="Gill Sans MT" w:hAnsi="Gill Sans MT"/>
                <w:color w:val="FFFFFF" w:themeColor="background1"/>
              </w:rPr>
            </w:pPr>
            <w:r w:rsidRPr="0096069E">
              <w:rPr>
                <w:rFonts w:ascii="Gill Sans MT" w:hAnsi="Gill Sans MT"/>
                <w:color w:val="FFFFFF" w:themeColor="background1"/>
              </w:rPr>
              <w:t>Year</w:t>
            </w:r>
          </w:p>
        </w:tc>
        <w:tc>
          <w:tcPr>
            <w:tcW w:w="2732" w:type="dxa"/>
            <w:gridSpan w:val="2"/>
            <w:tcBorders>
              <w:bottom w:val="nil"/>
            </w:tcBorders>
            <w:shd w:val="clear" w:color="auto" w:fill="365F91" w:themeFill="accent1" w:themeFillShade="BF"/>
          </w:tcPr>
          <w:p w:rsidR="00307348" w:rsidRPr="0096069E" w:rsidRDefault="00307348" w:rsidP="00764555">
            <w:pPr>
              <w:cnfStyle w:val="100000000000"/>
              <w:rPr>
                <w:rFonts w:ascii="Gill Sans MT" w:hAnsi="Gill Sans MT"/>
                <w:color w:val="FFFFFF" w:themeColor="background1"/>
              </w:rPr>
            </w:pPr>
            <w:r w:rsidRPr="0096069E">
              <w:rPr>
                <w:rFonts w:ascii="Gill Sans MT" w:hAnsi="Gill Sans MT"/>
                <w:color w:val="FFFFFF" w:themeColor="background1"/>
              </w:rPr>
              <w:t>Annual Casualty Crash Rate</w:t>
            </w:r>
          </w:p>
        </w:tc>
      </w:tr>
      <w:tr w:rsidR="00307348" w:rsidRPr="0096069E" w:rsidTr="00764555">
        <w:trPr>
          <w:cnfStyle w:val="000000100000"/>
        </w:trPr>
        <w:tc>
          <w:tcPr>
            <w:cnfStyle w:val="001000000000"/>
            <w:tcW w:w="2075" w:type="dxa"/>
            <w:vMerge/>
          </w:tcPr>
          <w:p w:rsidR="00307348" w:rsidRPr="0096069E" w:rsidRDefault="00307348" w:rsidP="00764555">
            <w:pPr>
              <w:rPr>
                <w:rFonts w:ascii="Gill Sans MT" w:hAnsi="Gill Sans MT"/>
              </w:rPr>
            </w:pPr>
          </w:p>
        </w:tc>
        <w:tc>
          <w:tcPr>
            <w:tcW w:w="2498" w:type="dxa"/>
            <w:vMerge/>
          </w:tcPr>
          <w:p w:rsidR="00307348" w:rsidRPr="0096069E" w:rsidRDefault="00307348" w:rsidP="00764555">
            <w:pPr>
              <w:cnfStyle w:val="000000100000"/>
              <w:rPr>
                <w:rFonts w:ascii="Gill Sans MT" w:hAnsi="Gill Sans MT"/>
              </w:rPr>
            </w:pPr>
          </w:p>
        </w:tc>
        <w:tc>
          <w:tcPr>
            <w:tcW w:w="1223" w:type="dxa"/>
            <w:vMerge/>
          </w:tcPr>
          <w:p w:rsidR="00307348" w:rsidRPr="0096069E" w:rsidRDefault="00307348" w:rsidP="00764555">
            <w:pPr>
              <w:cnfStyle w:val="000000100000"/>
              <w:rPr>
                <w:rFonts w:ascii="Gill Sans MT" w:hAnsi="Gill Sans MT"/>
              </w:rPr>
            </w:pPr>
          </w:p>
        </w:tc>
        <w:tc>
          <w:tcPr>
            <w:tcW w:w="1302" w:type="dxa"/>
            <w:tcBorders>
              <w:top w:val="nil"/>
              <w:bottom w:val="nil"/>
            </w:tcBorders>
            <w:shd w:val="clear" w:color="auto" w:fill="365F91" w:themeFill="accent1" w:themeFillShade="BF"/>
          </w:tcPr>
          <w:p w:rsidR="00307348" w:rsidRPr="0096069E" w:rsidRDefault="00307348" w:rsidP="00764555">
            <w:pPr>
              <w:cnfStyle w:val="000000100000"/>
              <w:rPr>
                <w:rFonts w:ascii="Gill Sans MT" w:hAnsi="Gill Sans MT"/>
                <w:color w:val="FFFFFF" w:themeColor="background1"/>
              </w:rPr>
            </w:pPr>
            <w:r w:rsidRPr="0096069E">
              <w:rPr>
                <w:rFonts w:ascii="Gill Sans MT" w:hAnsi="Gill Sans MT"/>
                <w:color w:val="FFFFFF" w:themeColor="background1"/>
              </w:rPr>
              <w:t>Before Treatment</w:t>
            </w:r>
          </w:p>
        </w:tc>
        <w:tc>
          <w:tcPr>
            <w:tcW w:w="1430" w:type="dxa"/>
            <w:tcBorders>
              <w:top w:val="nil"/>
              <w:bottom w:val="nil"/>
            </w:tcBorders>
            <w:shd w:val="clear" w:color="auto" w:fill="365F91" w:themeFill="accent1" w:themeFillShade="BF"/>
          </w:tcPr>
          <w:p w:rsidR="00307348" w:rsidRPr="0096069E" w:rsidRDefault="00307348" w:rsidP="00764555">
            <w:pPr>
              <w:cnfStyle w:val="000000100000"/>
              <w:rPr>
                <w:rFonts w:ascii="Gill Sans MT" w:hAnsi="Gill Sans MT"/>
                <w:color w:val="FFFFFF" w:themeColor="background1"/>
              </w:rPr>
            </w:pPr>
            <w:r w:rsidRPr="0096069E">
              <w:rPr>
                <w:rFonts w:ascii="Gill Sans MT" w:hAnsi="Gill Sans MT"/>
                <w:color w:val="FFFFFF" w:themeColor="background1"/>
              </w:rPr>
              <w:t>After Treatment</w:t>
            </w:r>
          </w:p>
        </w:tc>
      </w:tr>
      <w:tr w:rsidR="00307348" w:rsidRPr="0096069E" w:rsidTr="00764555">
        <w:tc>
          <w:tcPr>
            <w:cnfStyle w:val="001000000000"/>
            <w:tcW w:w="2075" w:type="dxa"/>
          </w:tcPr>
          <w:p w:rsidR="00307348" w:rsidRPr="0096069E" w:rsidRDefault="00307348" w:rsidP="00764555">
            <w:pPr>
              <w:rPr>
                <w:rFonts w:ascii="Gill Sans MT" w:hAnsi="Gill Sans MT"/>
              </w:rPr>
            </w:pPr>
            <w:r w:rsidRPr="0096069E">
              <w:rPr>
                <w:rFonts w:ascii="Gill Sans MT" w:hAnsi="Gill Sans MT"/>
              </w:rPr>
              <w:t>Roundabout</w:t>
            </w:r>
          </w:p>
        </w:tc>
        <w:tc>
          <w:tcPr>
            <w:tcW w:w="2498" w:type="dxa"/>
          </w:tcPr>
          <w:p w:rsidR="00307348" w:rsidRPr="0096069E" w:rsidRDefault="00307348" w:rsidP="00764555">
            <w:pPr>
              <w:cnfStyle w:val="000000000000"/>
              <w:rPr>
                <w:rFonts w:ascii="Gill Sans MT" w:hAnsi="Gill Sans MT"/>
              </w:rPr>
            </w:pPr>
            <w:r w:rsidRPr="0096069E">
              <w:rPr>
                <w:rFonts w:ascii="Gill Sans MT" w:hAnsi="Gill Sans MT"/>
              </w:rPr>
              <w:t>Charles and Canning Streets, Launceston</w:t>
            </w:r>
          </w:p>
        </w:tc>
        <w:tc>
          <w:tcPr>
            <w:tcW w:w="1223" w:type="dxa"/>
          </w:tcPr>
          <w:p w:rsidR="00307348" w:rsidRPr="0096069E" w:rsidRDefault="00307348" w:rsidP="00764555">
            <w:pPr>
              <w:cnfStyle w:val="000000000000"/>
              <w:rPr>
                <w:rFonts w:ascii="Gill Sans MT" w:hAnsi="Gill Sans MT"/>
              </w:rPr>
            </w:pPr>
            <w:r w:rsidRPr="0096069E">
              <w:rPr>
                <w:rFonts w:ascii="Gill Sans MT" w:hAnsi="Gill Sans MT"/>
              </w:rPr>
              <w:t>1998</w:t>
            </w:r>
          </w:p>
        </w:tc>
        <w:tc>
          <w:tcPr>
            <w:tcW w:w="1302" w:type="dxa"/>
          </w:tcPr>
          <w:p w:rsidR="00307348" w:rsidRPr="0096069E" w:rsidRDefault="00307348" w:rsidP="00764555">
            <w:pPr>
              <w:cnfStyle w:val="000000000000"/>
              <w:rPr>
                <w:rFonts w:ascii="Gill Sans MT" w:hAnsi="Gill Sans MT"/>
              </w:rPr>
            </w:pPr>
            <w:r w:rsidRPr="0096069E">
              <w:rPr>
                <w:rFonts w:ascii="Gill Sans MT" w:hAnsi="Gill Sans MT"/>
              </w:rPr>
              <w:t>1.4</w:t>
            </w:r>
          </w:p>
        </w:tc>
        <w:tc>
          <w:tcPr>
            <w:tcW w:w="1430" w:type="dxa"/>
          </w:tcPr>
          <w:p w:rsidR="00307348" w:rsidRPr="0096069E" w:rsidRDefault="00307348" w:rsidP="00764555">
            <w:pPr>
              <w:cnfStyle w:val="000000000000"/>
              <w:rPr>
                <w:rFonts w:ascii="Gill Sans MT" w:hAnsi="Gill Sans MT"/>
              </w:rPr>
            </w:pPr>
            <w:r w:rsidRPr="0096069E">
              <w:rPr>
                <w:rFonts w:ascii="Gill Sans MT" w:hAnsi="Gill Sans MT"/>
              </w:rPr>
              <w:t>0.3</w:t>
            </w:r>
          </w:p>
          <w:p w:rsidR="00307348" w:rsidRPr="0096069E" w:rsidRDefault="00307348" w:rsidP="00764555">
            <w:pPr>
              <w:cnfStyle w:val="000000000000"/>
              <w:rPr>
                <w:rFonts w:ascii="Gill Sans MT" w:hAnsi="Gill Sans MT"/>
              </w:rPr>
            </w:pPr>
          </w:p>
        </w:tc>
      </w:tr>
      <w:tr w:rsidR="00307348" w:rsidRPr="0096069E" w:rsidTr="00764555">
        <w:trPr>
          <w:cnfStyle w:val="000000100000"/>
        </w:trPr>
        <w:tc>
          <w:tcPr>
            <w:cnfStyle w:val="001000000000"/>
            <w:tcW w:w="2075" w:type="dxa"/>
          </w:tcPr>
          <w:p w:rsidR="00307348" w:rsidRPr="0096069E" w:rsidRDefault="00307348" w:rsidP="00764555">
            <w:pPr>
              <w:rPr>
                <w:rFonts w:ascii="Gill Sans MT" w:hAnsi="Gill Sans MT"/>
              </w:rPr>
            </w:pPr>
            <w:r w:rsidRPr="0096069E">
              <w:rPr>
                <w:rFonts w:ascii="Gill Sans MT" w:hAnsi="Gill Sans MT"/>
              </w:rPr>
              <w:t>Traffic Signals</w:t>
            </w:r>
          </w:p>
        </w:tc>
        <w:tc>
          <w:tcPr>
            <w:tcW w:w="2498" w:type="dxa"/>
          </w:tcPr>
          <w:p w:rsidR="00307348" w:rsidRPr="0096069E" w:rsidRDefault="00307348" w:rsidP="00764555">
            <w:pPr>
              <w:cnfStyle w:val="000000100000"/>
              <w:rPr>
                <w:rFonts w:ascii="Gill Sans MT" w:hAnsi="Gill Sans MT"/>
              </w:rPr>
            </w:pPr>
            <w:proofErr w:type="spellStart"/>
            <w:r w:rsidRPr="0096069E">
              <w:rPr>
                <w:rFonts w:ascii="Gill Sans MT" w:hAnsi="Gill Sans MT"/>
              </w:rPr>
              <w:t>God</w:t>
            </w:r>
            <w:r w:rsidR="00F840B4">
              <w:rPr>
                <w:rFonts w:ascii="Gill Sans MT" w:hAnsi="Gill Sans MT"/>
              </w:rPr>
              <w:t>e</w:t>
            </w:r>
            <w:r w:rsidRPr="0096069E">
              <w:rPr>
                <w:rFonts w:ascii="Gill Sans MT" w:hAnsi="Gill Sans MT"/>
              </w:rPr>
              <w:t>rich</w:t>
            </w:r>
            <w:proofErr w:type="spellEnd"/>
            <w:r w:rsidRPr="0096069E">
              <w:rPr>
                <w:rFonts w:ascii="Gill Sans MT" w:hAnsi="Gill Sans MT"/>
              </w:rPr>
              <w:t xml:space="preserve"> and Lindsay Streets, Launceston</w:t>
            </w:r>
          </w:p>
        </w:tc>
        <w:tc>
          <w:tcPr>
            <w:tcW w:w="1223" w:type="dxa"/>
          </w:tcPr>
          <w:p w:rsidR="00307348" w:rsidRPr="0096069E" w:rsidRDefault="00307348" w:rsidP="00764555">
            <w:pPr>
              <w:cnfStyle w:val="000000100000"/>
              <w:rPr>
                <w:rFonts w:ascii="Gill Sans MT" w:hAnsi="Gill Sans MT"/>
              </w:rPr>
            </w:pPr>
            <w:r w:rsidRPr="0096069E">
              <w:rPr>
                <w:rFonts w:ascii="Gill Sans MT" w:hAnsi="Gill Sans MT"/>
              </w:rPr>
              <w:t>1998</w:t>
            </w:r>
          </w:p>
        </w:tc>
        <w:tc>
          <w:tcPr>
            <w:tcW w:w="1302" w:type="dxa"/>
          </w:tcPr>
          <w:p w:rsidR="00307348" w:rsidRPr="0096069E" w:rsidRDefault="00307348" w:rsidP="00764555">
            <w:pPr>
              <w:cnfStyle w:val="000000100000"/>
              <w:rPr>
                <w:rFonts w:ascii="Gill Sans MT" w:hAnsi="Gill Sans MT"/>
              </w:rPr>
            </w:pPr>
            <w:r w:rsidRPr="0096069E">
              <w:rPr>
                <w:rFonts w:ascii="Gill Sans MT" w:hAnsi="Gill Sans MT"/>
              </w:rPr>
              <w:t>1.4</w:t>
            </w:r>
          </w:p>
        </w:tc>
        <w:tc>
          <w:tcPr>
            <w:tcW w:w="1430" w:type="dxa"/>
          </w:tcPr>
          <w:p w:rsidR="00307348" w:rsidRPr="0096069E" w:rsidRDefault="00307348" w:rsidP="00764555">
            <w:pPr>
              <w:cnfStyle w:val="000000100000"/>
              <w:rPr>
                <w:rFonts w:ascii="Gill Sans MT" w:hAnsi="Gill Sans MT"/>
              </w:rPr>
            </w:pPr>
            <w:r w:rsidRPr="0096069E">
              <w:rPr>
                <w:rFonts w:ascii="Gill Sans MT" w:hAnsi="Gill Sans MT"/>
              </w:rPr>
              <w:t>0.4</w:t>
            </w:r>
          </w:p>
        </w:tc>
      </w:tr>
      <w:tr w:rsidR="00307348" w:rsidRPr="0096069E" w:rsidTr="00764555">
        <w:tc>
          <w:tcPr>
            <w:cnfStyle w:val="001000000000"/>
            <w:tcW w:w="2075" w:type="dxa"/>
          </w:tcPr>
          <w:p w:rsidR="00307348" w:rsidRPr="0096069E" w:rsidRDefault="00307348" w:rsidP="00764555">
            <w:pPr>
              <w:rPr>
                <w:rFonts w:ascii="Gill Sans MT" w:hAnsi="Gill Sans MT"/>
              </w:rPr>
            </w:pPr>
            <w:r w:rsidRPr="0096069E">
              <w:rPr>
                <w:rFonts w:ascii="Gill Sans MT" w:hAnsi="Gill Sans MT"/>
              </w:rPr>
              <w:t>Improved Delineation and Crash Barrier</w:t>
            </w:r>
          </w:p>
        </w:tc>
        <w:tc>
          <w:tcPr>
            <w:tcW w:w="2498" w:type="dxa"/>
          </w:tcPr>
          <w:p w:rsidR="00307348" w:rsidRPr="0096069E" w:rsidRDefault="00307348" w:rsidP="00764555">
            <w:pPr>
              <w:cnfStyle w:val="000000000000"/>
              <w:rPr>
                <w:rFonts w:ascii="Gill Sans MT" w:hAnsi="Gill Sans MT"/>
              </w:rPr>
            </w:pPr>
            <w:r w:rsidRPr="0096069E">
              <w:rPr>
                <w:rFonts w:ascii="Gill Sans MT" w:hAnsi="Gill Sans MT"/>
              </w:rPr>
              <w:t>Ravenswood Road, Ravenswood</w:t>
            </w:r>
          </w:p>
        </w:tc>
        <w:tc>
          <w:tcPr>
            <w:tcW w:w="1223" w:type="dxa"/>
          </w:tcPr>
          <w:p w:rsidR="00307348" w:rsidRPr="0096069E" w:rsidRDefault="00307348" w:rsidP="00764555">
            <w:pPr>
              <w:cnfStyle w:val="000000000000"/>
              <w:rPr>
                <w:rFonts w:ascii="Gill Sans MT" w:hAnsi="Gill Sans MT"/>
              </w:rPr>
            </w:pPr>
            <w:r w:rsidRPr="0096069E">
              <w:rPr>
                <w:rFonts w:ascii="Gill Sans MT" w:hAnsi="Gill Sans MT"/>
              </w:rPr>
              <w:t>2001</w:t>
            </w:r>
          </w:p>
        </w:tc>
        <w:tc>
          <w:tcPr>
            <w:tcW w:w="1302" w:type="dxa"/>
          </w:tcPr>
          <w:p w:rsidR="00307348" w:rsidRPr="0096069E" w:rsidRDefault="00307348" w:rsidP="00764555">
            <w:pPr>
              <w:cnfStyle w:val="000000000000"/>
              <w:rPr>
                <w:rFonts w:ascii="Gill Sans MT" w:hAnsi="Gill Sans MT"/>
              </w:rPr>
            </w:pPr>
            <w:r w:rsidRPr="0096069E">
              <w:rPr>
                <w:rFonts w:ascii="Gill Sans MT" w:hAnsi="Gill Sans MT"/>
              </w:rPr>
              <w:t>1.4</w:t>
            </w:r>
          </w:p>
        </w:tc>
        <w:tc>
          <w:tcPr>
            <w:tcW w:w="1430" w:type="dxa"/>
          </w:tcPr>
          <w:p w:rsidR="00307348" w:rsidRPr="0096069E" w:rsidRDefault="00307348" w:rsidP="00764555">
            <w:pPr>
              <w:cnfStyle w:val="000000000000"/>
              <w:rPr>
                <w:rFonts w:ascii="Gill Sans MT" w:hAnsi="Gill Sans MT"/>
              </w:rPr>
            </w:pPr>
            <w:r w:rsidRPr="0096069E">
              <w:rPr>
                <w:rFonts w:ascii="Gill Sans MT" w:hAnsi="Gill Sans MT"/>
              </w:rPr>
              <w:t>0.2</w:t>
            </w:r>
          </w:p>
        </w:tc>
      </w:tr>
      <w:tr w:rsidR="00307348" w:rsidRPr="0096069E" w:rsidTr="00764555">
        <w:trPr>
          <w:cnfStyle w:val="000000100000"/>
        </w:trPr>
        <w:tc>
          <w:tcPr>
            <w:cnfStyle w:val="001000000000"/>
            <w:tcW w:w="2075" w:type="dxa"/>
          </w:tcPr>
          <w:p w:rsidR="00307348" w:rsidRPr="0096069E" w:rsidRDefault="00307348" w:rsidP="00764555">
            <w:pPr>
              <w:rPr>
                <w:rFonts w:ascii="Gill Sans MT" w:hAnsi="Gill Sans MT"/>
              </w:rPr>
            </w:pPr>
            <w:r w:rsidRPr="0096069E">
              <w:rPr>
                <w:rFonts w:ascii="Gill Sans MT" w:hAnsi="Gill Sans MT"/>
              </w:rPr>
              <w:t>Improved Delineation and Crash Barrier</w:t>
            </w:r>
          </w:p>
        </w:tc>
        <w:tc>
          <w:tcPr>
            <w:tcW w:w="2498" w:type="dxa"/>
          </w:tcPr>
          <w:p w:rsidR="00307348" w:rsidRPr="0096069E" w:rsidRDefault="00307348" w:rsidP="00764555">
            <w:pPr>
              <w:cnfStyle w:val="000000100000"/>
              <w:rPr>
                <w:rFonts w:ascii="Gill Sans MT" w:hAnsi="Gill Sans MT"/>
              </w:rPr>
            </w:pPr>
            <w:r w:rsidRPr="0096069E">
              <w:rPr>
                <w:rFonts w:ascii="Gill Sans MT" w:hAnsi="Gill Sans MT"/>
              </w:rPr>
              <w:t>Bridport Road, Bridport</w:t>
            </w:r>
          </w:p>
        </w:tc>
        <w:tc>
          <w:tcPr>
            <w:tcW w:w="1223" w:type="dxa"/>
          </w:tcPr>
          <w:p w:rsidR="00307348" w:rsidRPr="0096069E" w:rsidRDefault="00307348" w:rsidP="00764555">
            <w:pPr>
              <w:cnfStyle w:val="000000100000"/>
              <w:rPr>
                <w:rFonts w:ascii="Gill Sans MT" w:hAnsi="Gill Sans MT"/>
              </w:rPr>
            </w:pPr>
            <w:r w:rsidRPr="0096069E">
              <w:rPr>
                <w:rFonts w:ascii="Gill Sans MT" w:hAnsi="Gill Sans MT"/>
              </w:rPr>
              <w:t>2001</w:t>
            </w:r>
          </w:p>
        </w:tc>
        <w:tc>
          <w:tcPr>
            <w:tcW w:w="1302" w:type="dxa"/>
          </w:tcPr>
          <w:p w:rsidR="00307348" w:rsidRPr="0096069E" w:rsidRDefault="00307348" w:rsidP="00764555">
            <w:pPr>
              <w:cnfStyle w:val="000000100000"/>
              <w:rPr>
                <w:rFonts w:ascii="Gill Sans MT" w:hAnsi="Gill Sans MT"/>
              </w:rPr>
            </w:pPr>
            <w:r w:rsidRPr="0096069E">
              <w:rPr>
                <w:rFonts w:ascii="Gill Sans MT" w:hAnsi="Gill Sans MT"/>
              </w:rPr>
              <w:t>0.9</w:t>
            </w:r>
          </w:p>
        </w:tc>
        <w:tc>
          <w:tcPr>
            <w:tcW w:w="1430" w:type="dxa"/>
          </w:tcPr>
          <w:p w:rsidR="00307348" w:rsidRPr="0096069E" w:rsidRDefault="00307348" w:rsidP="00764555">
            <w:pPr>
              <w:cnfStyle w:val="000000100000"/>
              <w:rPr>
                <w:rFonts w:ascii="Gill Sans MT" w:hAnsi="Gill Sans MT"/>
              </w:rPr>
            </w:pPr>
            <w:r w:rsidRPr="0096069E">
              <w:rPr>
                <w:rFonts w:ascii="Gill Sans MT" w:hAnsi="Gill Sans MT"/>
              </w:rPr>
              <w:t>0.4</w:t>
            </w:r>
          </w:p>
        </w:tc>
      </w:tr>
      <w:tr w:rsidR="00307348" w:rsidRPr="0096069E" w:rsidTr="00764555">
        <w:tc>
          <w:tcPr>
            <w:cnfStyle w:val="001000000000"/>
            <w:tcW w:w="2075" w:type="dxa"/>
          </w:tcPr>
          <w:p w:rsidR="00307348" w:rsidRPr="0096069E" w:rsidRDefault="008F0359" w:rsidP="00764555">
            <w:pPr>
              <w:rPr>
                <w:rFonts w:ascii="Gill Sans MT" w:hAnsi="Gill Sans MT"/>
              </w:rPr>
            </w:pPr>
            <w:r w:rsidRPr="008F0359">
              <w:rPr>
                <w:rFonts w:ascii="Gill Sans MT" w:hAnsi="Gill Sans MT"/>
                <w:noProof/>
                <w:lang w:val="en-US" w:eastAsia="zh-TW"/>
              </w:rPr>
              <w:pict>
                <v:shape id="_x0000_s1222" type="#_x0000_t202" style="position:absolute;margin-left:-2.65pt;margin-top:42.3pt;width:425.5pt;height:41.45pt;z-index:251691520;mso-position-horizontal-relative:text;mso-position-vertical-relative:text;mso-width-relative:margin;mso-height-relative:margin" filled="f" stroked="f">
                  <v:textbox>
                    <w:txbxContent>
                      <w:p w:rsidR="00A50F40" w:rsidRPr="00307348" w:rsidRDefault="00A50F40" w:rsidP="00141BD0">
                        <w:pPr>
                          <w:pStyle w:val="Heading3"/>
                          <w:spacing w:before="0"/>
                          <w:cnfStyle w:val="001000000000"/>
                          <w:rPr>
                            <w:color w:val="auto"/>
                          </w:rPr>
                        </w:pPr>
                        <w:bookmarkStart w:id="162" w:name="_Toc332114125"/>
                        <w:bookmarkStart w:id="163" w:name="_Toc332115700"/>
                        <w:bookmarkStart w:id="164" w:name="_Toc332115791"/>
                        <w:proofErr w:type="gramStart"/>
                        <w:r>
                          <w:rPr>
                            <w:i/>
                            <w:color w:val="auto"/>
                          </w:rPr>
                          <w:t>Figure 38</w:t>
                        </w:r>
                        <w:r w:rsidRPr="0096069E">
                          <w:rPr>
                            <w:color w:val="auto"/>
                          </w:rPr>
                          <w:t>.</w:t>
                        </w:r>
                        <w:proofErr w:type="gramEnd"/>
                        <w:r w:rsidRPr="0096069E">
                          <w:rPr>
                            <w:color w:val="auto"/>
                          </w:rPr>
                          <w:t xml:space="preserve"> </w:t>
                        </w:r>
                        <w:proofErr w:type="gramStart"/>
                        <w:r w:rsidRPr="00307348">
                          <w:rPr>
                            <w:color w:val="auto"/>
                          </w:rPr>
                          <w:t>Examples of Black Spot safety improvements in Northern Tasmania.</w:t>
                        </w:r>
                        <w:bookmarkEnd w:id="162"/>
                        <w:bookmarkEnd w:id="163"/>
                        <w:bookmarkEnd w:id="164"/>
                        <w:proofErr w:type="gramEnd"/>
                      </w:p>
                      <w:p w:rsidR="00A50F40" w:rsidRDefault="00A50F40">
                        <w:pPr>
                          <w:cnfStyle w:val="001000000000"/>
                        </w:pPr>
                      </w:p>
                    </w:txbxContent>
                  </v:textbox>
                </v:shape>
              </w:pict>
            </w:r>
            <w:r w:rsidR="00307348" w:rsidRPr="0096069E">
              <w:rPr>
                <w:rFonts w:ascii="Gill Sans MT" w:hAnsi="Gill Sans MT"/>
              </w:rPr>
              <w:t>Traffic Island and Kerb Extensions</w:t>
            </w:r>
          </w:p>
        </w:tc>
        <w:tc>
          <w:tcPr>
            <w:tcW w:w="2498" w:type="dxa"/>
          </w:tcPr>
          <w:p w:rsidR="00307348" w:rsidRPr="0096069E" w:rsidRDefault="00307348" w:rsidP="00764555">
            <w:pPr>
              <w:cnfStyle w:val="000000000000"/>
              <w:rPr>
                <w:rFonts w:ascii="Gill Sans MT" w:hAnsi="Gill Sans MT"/>
              </w:rPr>
            </w:pPr>
            <w:proofErr w:type="spellStart"/>
            <w:r w:rsidRPr="0096069E">
              <w:rPr>
                <w:rFonts w:ascii="Gill Sans MT" w:hAnsi="Gill Sans MT"/>
              </w:rPr>
              <w:t>Cimitiere</w:t>
            </w:r>
            <w:proofErr w:type="spellEnd"/>
            <w:r w:rsidRPr="0096069E">
              <w:rPr>
                <w:rFonts w:ascii="Gill Sans MT" w:hAnsi="Gill Sans MT"/>
              </w:rPr>
              <w:t xml:space="preserve"> and Elizabeth Streets, George Town</w:t>
            </w:r>
          </w:p>
        </w:tc>
        <w:tc>
          <w:tcPr>
            <w:tcW w:w="1223" w:type="dxa"/>
          </w:tcPr>
          <w:p w:rsidR="00307348" w:rsidRPr="0096069E" w:rsidRDefault="00307348" w:rsidP="00764555">
            <w:pPr>
              <w:cnfStyle w:val="000000000000"/>
              <w:rPr>
                <w:rFonts w:ascii="Gill Sans MT" w:hAnsi="Gill Sans MT"/>
              </w:rPr>
            </w:pPr>
            <w:r w:rsidRPr="0096069E">
              <w:rPr>
                <w:rFonts w:ascii="Gill Sans MT" w:hAnsi="Gill Sans MT"/>
              </w:rPr>
              <w:t>1999</w:t>
            </w:r>
          </w:p>
        </w:tc>
        <w:tc>
          <w:tcPr>
            <w:tcW w:w="1302" w:type="dxa"/>
          </w:tcPr>
          <w:p w:rsidR="00307348" w:rsidRPr="0096069E" w:rsidRDefault="00307348" w:rsidP="00764555">
            <w:pPr>
              <w:cnfStyle w:val="000000000000"/>
              <w:rPr>
                <w:rFonts w:ascii="Gill Sans MT" w:hAnsi="Gill Sans MT"/>
              </w:rPr>
            </w:pPr>
            <w:r w:rsidRPr="0096069E">
              <w:rPr>
                <w:rFonts w:ascii="Gill Sans MT" w:hAnsi="Gill Sans MT"/>
              </w:rPr>
              <w:t>0.6</w:t>
            </w:r>
          </w:p>
        </w:tc>
        <w:tc>
          <w:tcPr>
            <w:tcW w:w="1430" w:type="dxa"/>
          </w:tcPr>
          <w:p w:rsidR="00307348" w:rsidRPr="0096069E" w:rsidRDefault="00307348" w:rsidP="00764555">
            <w:pPr>
              <w:cnfStyle w:val="000000000000"/>
              <w:rPr>
                <w:rFonts w:ascii="Gill Sans MT" w:hAnsi="Gill Sans MT"/>
              </w:rPr>
            </w:pPr>
            <w:r w:rsidRPr="0096069E">
              <w:rPr>
                <w:rFonts w:ascii="Gill Sans MT" w:hAnsi="Gill Sans MT"/>
              </w:rPr>
              <w:t>0.1</w:t>
            </w:r>
          </w:p>
        </w:tc>
      </w:tr>
    </w:tbl>
    <w:p w:rsidR="00307348" w:rsidRPr="0096069E" w:rsidRDefault="00307348" w:rsidP="00307348">
      <w:pPr>
        <w:pStyle w:val="Caption"/>
        <w:keepNext/>
        <w:ind w:left="993" w:hanging="993"/>
        <w:rPr>
          <w:rFonts w:ascii="Gill Sans MT" w:hAnsi="Gill Sans MT"/>
          <w:sz w:val="22"/>
          <w:szCs w:val="22"/>
        </w:rPr>
      </w:pPr>
      <w:r w:rsidRPr="0096069E">
        <w:rPr>
          <w:rFonts w:ascii="Gill Sans MT" w:hAnsi="Gill Sans MT"/>
          <w:sz w:val="22"/>
          <w:szCs w:val="22"/>
        </w:rPr>
        <w:lastRenderedPageBreak/>
        <w:t>Rail Safety</w:t>
      </w:r>
    </w:p>
    <w:p w:rsidR="00307348" w:rsidRPr="0096069E" w:rsidRDefault="00307348" w:rsidP="00307348">
      <w:pPr>
        <w:autoSpaceDE w:val="0"/>
        <w:autoSpaceDN w:val="0"/>
        <w:adjustRightInd w:val="0"/>
        <w:spacing w:after="0"/>
        <w:rPr>
          <w:rFonts w:ascii="Gill Sans MT" w:hAnsi="Gill Sans MT" w:cstheme="minorHAnsi"/>
        </w:rPr>
      </w:pPr>
      <w:r w:rsidRPr="0096069E">
        <w:rPr>
          <w:rFonts w:ascii="Gill Sans MT" w:hAnsi="Gill Sans MT" w:cstheme="minorHAnsi"/>
        </w:rPr>
        <w:t xml:space="preserve">Regulation of rail safety in Tasmania is administered under the </w:t>
      </w:r>
      <w:r w:rsidRPr="0096069E">
        <w:rPr>
          <w:rFonts w:ascii="Gill Sans MT" w:hAnsi="Gill Sans MT" w:cstheme="minorHAnsi"/>
          <w:i/>
          <w:iCs/>
        </w:rPr>
        <w:t xml:space="preserve">Rail Safety Act 2009 </w:t>
      </w:r>
      <w:r w:rsidRPr="0096069E">
        <w:rPr>
          <w:rFonts w:ascii="Gill Sans MT" w:hAnsi="Gill Sans MT" w:cstheme="minorHAnsi"/>
        </w:rPr>
        <w:t xml:space="preserve">which commenced on 24 November 2010 and repealed the </w:t>
      </w:r>
      <w:r w:rsidRPr="0096069E">
        <w:rPr>
          <w:rFonts w:ascii="Gill Sans MT" w:hAnsi="Gill Sans MT" w:cstheme="minorHAnsi"/>
          <w:i/>
          <w:iCs/>
        </w:rPr>
        <w:t>Rail Safety Act 1997</w:t>
      </w:r>
      <w:r w:rsidRPr="0096069E">
        <w:rPr>
          <w:rFonts w:ascii="Gill Sans MT" w:hAnsi="Gill Sans MT" w:cstheme="minorHAnsi"/>
        </w:rPr>
        <w:t xml:space="preserve">. The </w:t>
      </w:r>
      <w:r w:rsidRPr="0096069E">
        <w:rPr>
          <w:rFonts w:ascii="Gill Sans MT" w:hAnsi="Gill Sans MT" w:cstheme="minorHAnsi"/>
          <w:i/>
          <w:iCs/>
        </w:rPr>
        <w:t xml:space="preserve">Rail Safety Act 2009 </w:t>
      </w:r>
      <w:r w:rsidRPr="0096069E">
        <w:rPr>
          <w:rFonts w:ascii="Gill Sans MT" w:hAnsi="Gill Sans MT" w:cstheme="minorHAnsi"/>
        </w:rPr>
        <w:t>establishes an accreditation system that ensures railway operators have the competence and capacity to manage risks to safety. The Rail Safety Regulator is an independent statutory officer charged with managing the accreditation system and ensuring compliance with the Act. The Rail Safety Regulator is supported by the Rail Safety Unit, within the Tasmanian Government Department of Infrastructure, Energy and Resources (DIER).</w:t>
      </w:r>
    </w:p>
    <w:p w:rsidR="00307348" w:rsidRPr="0096069E" w:rsidRDefault="00307348" w:rsidP="00307348">
      <w:pPr>
        <w:autoSpaceDE w:val="0"/>
        <w:autoSpaceDN w:val="0"/>
        <w:adjustRightInd w:val="0"/>
        <w:spacing w:after="0"/>
        <w:rPr>
          <w:rFonts w:ascii="Gill Sans MT" w:hAnsi="Gill Sans MT" w:cstheme="minorHAnsi"/>
        </w:rPr>
      </w:pPr>
    </w:p>
    <w:p w:rsidR="00307348" w:rsidRPr="0096069E" w:rsidRDefault="00307348" w:rsidP="00307348">
      <w:pPr>
        <w:autoSpaceDE w:val="0"/>
        <w:autoSpaceDN w:val="0"/>
        <w:adjustRightInd w:val="0"/>
        <w:spacing w:after="0"/>
        <w:rPr>
          <w:rFonts w:ascii="Gill Sans MT" w:hAnsi="Gill Sans MT" w:cstheme="minorHAnsi"/>
        </w:rPr>
      </w:pPr>
      <w:r w:rsidRPr="0096069E">
        <w:rPr>
          <w:rFonts w:ascii="Gill Sans MT" w:hAnsi="Gill Sans MT" w:cstheme="minorHAnsi"/>
        </w:rPr>
        <w:t>Across Australia, rail safety regulation is based on a co-regulatory model. Under this model, the Rail Safety Regulator does not approve or certify implementation of risk control or reduction, but has an oversight role to review and audit rail safety activities of accredited railways. Rail infrastructure managers and rolling stock operators are responsible for assessing the risks associated with their railway operations and for establishing a safety management system to identify and control these risks. There are two Rail Transport Operators which hold accreditation for the operation of trains in the Northern Region: Tasmanian Railway Pty Ltd (</w:t>
      </w:r>
      <w:proofErr w:type="spellStart"/>
      <w:r w:rsidRPr="0096069E">
        <w:rPr>
          <w:rFonts w:ascii="Gill Sans MT" w:hAnsi="Gill Sans MT" w:cstheme="minorHAnsi"/>
        </w:rPr>
        <w:t>TasRail</w:t>
      </w:r>
      <w:proofErr w:type="spellEnd"/>
      <w:r w:rsidRPr="0096069E">
        <w:rPr>
          <w:rFonts w:ascii="Gill Sans MT" w:hAnsi="Gill Sans MT" w:cstheme="minorHAnsi"/>
        </w:rPr>
        <w:t>) and the Launceston Tramway Museum Society Inc.</w:t>
      </w:r>
    </w:p>
    <w:p w:rsidR="00307348" w:rsidRPr="0096069E" w:rsidRDefault="00307348" w:rsidP="00307348">
      <w:pPr>
        <w:autoSpaceDE w:val="0"/>
        <w:autoSpaceDN w:val="0"/>
        <w:adjustRightInd w:val="0"/>
        <w:spacing w:after="0"/>
        <w:rPr>
          <w:rFonts w:ascii="Gill Sans MT" w:hAnsi="Gill Sans MT" w:cstheme="minorHAnsi"/>
        </w:rPr>
      </w:pPr>
    </w:p>
    <w:p w:rsidR="00307348" w:rsidRPr="0096069E" w:rsidRDefault="00307348" w:rsidP="00307348">
      <w:pPr>
        <w:rPr>
          <w:rFonts w:ascii="Gill Sans MT" w:hAnsi="Gill Sans MT"/>
        </w:rPr>
      </w:pPr>
      <w:r w:rsidRPr="0096069E">
        <w:rPr>
          <w:rFonts w:ascii="Gill Sans MT" w:hAnsi="Gill Sans MT"/>
        </w:rPr>
        <w:t>Currently, the main rail network only carries freight. While the majority of the state’s freight task is moved by road, rail is an important modal option for taking large volumes of commodities off the road network and away from more vulnerable users of the transport network.</w:t>
      </w:r>
    </w:p>
    <w:p w:rsidR="00307348" w:rsidRPr="0096069E" w:rsidRDefault="00307348" w:rsidP="00307348">
      <w:pPr>
        <w:autoSpaceDE w:val="0"/>
        <w:autoSpaceDN w:val="0"/>
        <w:adjustRightInd w:val="0"/>
        <w:spacing w:after="0" w:line="240" w:lineRule="auto"/>
        <w:rPr>
          <w:rFonts w:ascii="Gill Sans MT" w:hAnsi="Gill Sans MT" w:cstheme="minorHAnsi"/>
        </w:rPr>
      </w:pPr>
      <w:r w:rsidRPr="0096069E">
        <w:rPr>
          <w:rFonts w:ascii="Gill Sans MT" w:hAnsi="Gill Sans MT" w:cstheme="minorHAnsi"/>
        </w:rPr>
        <w:t>While there were unfortunately two fatal rail collisions in 2010/11, there have been notable improvements made to the Tasmanian rail network in recent years:</w:t>
      </w:r>
    </w:p>
    <w:p w:rsidR="00307348" w:rsidRPr="0096069E" w:rsidRDefault="00307348" w:rsidP="00307348">
      <w:pPr>
        <w:autoSpaceDE w:val="0"/>
        <w:autoSpaceDN w:val="0"/>
        <w:adjustRightInd w:val="0"/>
        <w:spacing w:after="0" w:line="240" w:lineRule="auto"/>
        <w:rPr>
          <w:rFonts w:ascii="Gill Sans MT" w:hAnsi="Gill Sans MT" w:cstheme="minorHAnsi"/>
        </w:rPr>
      </w:pPr>
    </w:p>
    <w:p w:rsidR="00307348" w:rsidRPr="0096069E" w:rsidRDefault="00307348" w:rsidP="00307348">
      <w:pPr>
        <w:pStyle w:val="ListParagraph"/>
        <w:numPr>
          <w:ilvl w:val="0"/>
          <w:numId w:val="93"/>
        </w:numPr>
        <w:autoSpaceDE w:val="0"/>
        <w:autoSpaceDN w:val="0"/>
        <w:adjustRightInd w:val="0"/>
        <w:spacing w:after="0"/>
        <w:ind w:left="426"/>
        <w:rPr>
          <w:rFonts w:ascii="Gill Sans MT" w:hAnsi="Gill Sans MT" w:cstheme="minorHAnsi"/>
        </w:rPr>
      </w:pPr>
      <w:r w:rsidRPr="0096069E">
        <w:rPr>
          <w:rFonts w:ascii="Gill Sans MT" w:hAnsi="Gill Sans MT" w:cstheme="minorHAnsi"/>
        </w:rPr>
        <w:t>50% reduction in total derailments between 2009/10 to 2010/11;</w:t>
      </w:r>
    </w:p>
    <w:p w:rsidR="00307348" w:rsidRPr="0096069E" w:rsidRDefault="00307348" w:rsidP="00307348">
      <w:pPr>
        <w:pStyle w:val="ListParagraph"/>
        <w:numPr>
          <w:ilvl w:val="0"/>
          <w:numId w:val="93"/>
        </w:numPr>
        <w:autoSpaceDE w:val="0"/>
        <w:autoSpaceDN w:val="0"/>
        <w:adjustRightInd w:val="0"/>
        <w:spacing w:after="0"/>
        <w:ind w:left="426"/>
        <w:rPr>
          <w:rFonts w:ascii="Gill Sans MT" w:hAnsi="Gill Sans MT" w:cstheme="minorHAnsi"/>
        </w:rPr>
      </w:pPr>
      <w:r w:rsidRPr="0096069E">
        <w:rPr>
          <w:rFonts w:ascii="Gill Sans MT" w:hAnsi="Gill Sans MT" w:cstheme="minorHAnsi"/>
        </w:rPr>
        <w:t>124 Active Level Crossings upgraded;</w:t>
      </w:r>
    </w:p>
    <w:p w:rsidR="00307348" w:rsidRPr="0096069E" w:rsidRDefault="00307348" w:rsidP="00307348">
      <w:pPr>
        <w:pStyle w:val="ListParagraph"/>
        <w:numPr>
          <w:ilvl w:val="0"/>
          <w:numId w:val="93"/>
        </w:numPr>
        <w:autoSpaceDE w:val="0"/>
        <w:autoSpaceDN w:val="0"/>
        <w:adjustRightInd w:val="0"/>
        <w:spacing w:after="0"/>
        <w:ind w:left="426"/>
        <w:rPr>
          <w:rFonts w:ascii="Gill Sans MT" w:hAnsi="Gill Sans MT" w:cstheme="minorHAnsi"/>
        </w:rPr>
      </w:pPr>
      <w:r w:rsidRPr="0096069E">
        <w:rPr>
          <w:rFonts w:ascii="Gill Sans MT" w:hAnsi="Gill Sans MT" w:cstheme="minorHAnsi"/>
        </w:rPr>
        <w:t>Completion of the Brighton Transport Hub, providing safer loading and movements of rail freight; and</w:t>
      </w:r>
    </w:p>
    <w:p w:rsidR="00307348" w:rsidRPr="0096069E" w:rsidRDefault="00307348" w:rsidP="00307348">
      <w:pPr>
        <w:pStyle w:val="ListParagraph"/>
        <w:numPr>
          <w:ilvl w:val="0"/>
          <w:numId w:val="93"/>
        </w:numPr>
        <w:autoSpaceDE w:val="0"/>
        <w:autoSpaceDN w:val="0"/>
        <w:adjustRightInd w:val="0"/>
        <w:ind w:left="426"/>
        <w:rPr>
          <w:rFonts w:ascii="Gill Sans MT" w:hAnsi="Gill Sans MT" w:cstheme="minorHAnsi"/>
        </w:rPr>
      </w:pPr>
      <w:r w:rsidRPr="0096069E">
        <w:rPr>
          <w:rFonts w:ascii="Gill Sans MT" w:hAnsi="Gill Sans MT" w:cstheme="minorHAnsi"/>
        </w:rPr>
        <w:t>17 new locomotives, expected to be operational around mid 2013, will improve overall safety of train movements.</w:t>
      </w:r>
    </w:p>
    <w:p w:rsidR="00307348" w:rsidRPr="0096069E" w:rsidRDefault="00307348" w:rsidP="00307348">
      <w:pPr>
        <w:pStyle w:val="Heading3"/>
      </w:pPr>
      <w:r w:rsidRPr="0096069E">
        <w:t xml:space="preserve"> </w:t>
      </w:r>
      <w:bookmarkStart w:id="165" w:name="_Toc332114126"/>
      <w:bookmarkStart w:id="166" w:name="_Toc332115701"/>
      <w:bookmarkStart w:id="167" w:name="_Toc332115792"/>
      <w:r w:rsidRPr="0096069E">
        <w:t>National Reform of Rail Safety Regulation</w:t>
      </w:r>
      <w:bookmarkEnd w:id="165"/>
      <w:bookmarkEnd w:id="166"/>
      <w:bookmarkEnd w:id="167"/>
    </w:p>
    <w:p w:rsidR="00307348" w:rsidRPr="0096069E" w:rsidRDefault="00307348" w:rsidP="00307348">
      <w:pPr>
        <w:autoSpaceDE w:val="0"/>
        <w:autoSpaceDN w:val="0"/>
        <w:adjustRightInd w:val="0"/>
        <w:spacing w:after="0"/>
        <w:rPr>
          <w:rFonts w:ascii="Gill Sans MT" w:hAnsi="Gill Sans MT" w:cstheme="minorHAnsi"/>
        </w:rPr>
      </w:pPr>
      <w:r w:rsidRPr="0096069E">
        <w:rPr>
          <w:rFonts w:ascii="Gill Sans MT" w:hAnsi="Gill Sans MT" w:cstheme="minorHAnsi"/>
        </w:rPr>
        <w:t>In December 2009, the Council of Australian Governments (COAG) agreed to establish a single national rail safety regulator by the end of 2012. It is expected the Regulator will be established and functioning from 2013. </w:t>
      </w:r>
    </w:p>
    <w:p w:rsidR="00307348" w:rsidRPr="0096069E" w:rsidRDefault="00307348" w:rsidP="00307348">
      <w:pPr>
        <w:autoSpaceDE w:val="0"/>
        <w:autoSpaceDN w:val="0"/>
        <w:adjustRightInd w:val="0"/>
        <w:spacing w:after="0"/>
        <w:rPr>
          <w:rFonts w:ascii="Gill Sans MT" w:hAnsi="Gill Sans MT" w:cstheme="minorHAnsi"/>
        </w:rPr>
      </w:pPr>
    </w:p>
    <w:p w:rsidR="00307348" w:rsidRDefault="00307348" w:rsidP="00307348">
      <w:pPr>
        <w:rPr>
          <w:rFonts w:ascii="Gill Sans MT" w:hAnsi="Gill Sans MT"/>
        </w:rPr>
        <w:sectPr w:rsidR="00307348" w:rsidSect="00103702">
          <w:pgSz w:w="11906" w:h="16838"/>
          <w:pgMar w:top="1440" w:right="1797" w:bottom="709" w:left="1797" w:header="709" w:footer="544" w:gutter="0"/>
          <w:cols w:space="708"/>
          <w:docGrid w:linePitch="360"/>
        </w:sectPr>
      </w:pPr>
    </w:p>
    <w:p w:rsidR="00756B53" w:rsidRPr="00E83DA2" w:rsidRDefault="00756B53" w:rsidP="00756B53">
      <w:pPr>
        <w:pStyle w:val="Heading1"/>
        <w:rPr>
          <w:rFonts w:ascii="Gill Sans MT" w:hAnsi="Gill Sans MT"/>
        </w:rPr>
      </w:pPr>
      <w:r w:rsidRPr="00E83DA2">
        <w:rPr>
          <w:rFonts w:ascii="Gill Sans MT" w:hAnsi="Gill Sans MT"/>
        </w:rPr>
        <w:lastRenderedPageBreak/>
        <w:t>Transport and the environment</w:t>
      </w:r>
      <w:bookmarkEnd w:id="110"/>
    </w:p>
    <w:p w:rsidR="00756B53" w:rsidRPr="00E83DA2" w:rsidRDefault="00756B53" w:rsidP="00756B53">
      <w:pPr>
        <w:pStyle w:val="Heading2"/>
      </w:pPr>
      <w:bookmarkStart w:id="168" w:name="_Toc332033606"/>
      <w:bookmarkStart w:id="169" w:name="_Toc332114128"/>
      <w:bookmarkStart w:id="170" w:name="_Toc332115703"/>
      <w:bookmarkStart w:id="171" w:name="_Toc332115794"/>
      <w:r w:rsidRPr="00E83DA2">
        <w:t>Key strategic issues</w:t>
      </w:r>
      <w:bookmarkEnd w:id="168"/>
      <w:bookmarkEnd w:id="169"/>
      <w:bookmarkEnd w:id="170"/>
      <w:bookmarkEnd w:id="171"/>
    </w:p>
    <w:p w:rsidR="00756B53" w:rsidRPr="00E83DA2" w:rsidRDefault="00756B53" w:rsidP="00756B53">
      <w:pPr>
        <w:pStyle w:val="ListParagraph"/>
        <w:numPr>
          <w:ilvl w:val="0"/>
          <w:numId w:val="22"/>
        </w:numPr>
        <w:rPr>
          <w:rFonts w:ascii="Gill Sans MT" w:hAnsi="Gill Sans MT"/>
        </w:rPr>
      </w:pPr>
      <w:r w:rsidRPr="00E83DA2">
        <w:rPr>
          <w:rFonts w:ascii="Gill Sans MT" w:hAnsi="Gill Sans MT"/>
        </w:rPr>
        <w:t>Environmental impacts of transport and potential for greater use of alternative transport energy sources</w:t>
      </w:r>
    </w:p>
    <w:p w:rsidR="00756B53" w:rsidRPr="00E83DA2" w:rsidRDefault="00756B53" w:rsidP="00756B53">
      <w:pPr>
        <w:pStyle w:val="ListParagraph"/>
        <w:numPr>
          <w:ilvl w:val="0"/>
          <w:numId w:val="22"/>
        </w:numPr>
        <w:rPr>
          <w:rFonts w:ascii="Gill Sans MT" w:hAnsi="Gill Sans MT"/>
        </w:rPr>
      </w:pPr>
      <w:r w:rsidRPr="00E83DA2">
        <w:rPr>
          <w:rFonts w:ascii="Gill Sans MT" w:hAnsi="Gill Sans MT"/>
        </w:rPr>
        <w:t>Impacts of extreme weather events and climate change on the transport network</w:t>
      </w:r>
    </w:p>
    <w:p w:rsidR="00756B53" w:rsidRPr="00E83DA2" w:rsidRDefault="00756B53" w:rsidP="00756B53">
      <w:pPr>
        <w:pStyle w:val="ListParagraph"/>
        <w:numPr>
          <w:ilvl w:val="0"/>
          <w:numId w:val="22"/>
        </w:numPr>
        <w:rPr>
          <w:rFonts w:ascii="Gill Sans MT" w:hAnsi="Gill Sans MT"/>
        </w:rPr>
      </w:pPr>
      <w:r w:rsidRPr="00E83DA2">
        <w:rPr>
          <w:rFonts w:ascii="Gill Sans MT" w:hAnsi="Gill Sans MT"/>
        </w:rPr>
        <w:t>Preparedness of industry to respond to increasing climatic uncertainties and volatility</w:t>
      </w:r>
    </w:p>
    <w:p w:rsidR="00756B53" w:rsidRPr="00E83DA2" w:rsidRDefault="00756B53" w:rsidP="00756B53">
      <w:pPr>
        <w:pStyle w:val="ListParagraph"/>
        <w:numPr>
          <w:ilvl w:val="0"/>
          <w:numId w:val="22"/>
        </w:numPr>
        <w:rPr>
          <w:rFonts w:ascii="Gill Sans MT" w:hAnsi="Gill Sans MT"/>
        </w:rPr>
      </w:pPr>
      <w:r w:rsidRPr="00E83DA2">
        <w:rPr>
          <w:rFonts w:ascii="Gill Sans MT" w:hAnsi="Gill Sans MT"/>
        </w:rPr>
        <w:t>Growing transport demand  from expanding urban areas</w:t>
      </w:r>
    </w:p>
    <w:p w:rsidR="00756B53" w:rsidRPr="00E83DA2" w:rsidRDefault="00756B53" w:rsidP="00756B53">
      <w:pPr>
        <w:pStyle w:val="ListParagraph"/>
        <w:numPr>
          <w:ilvl w:val="0"/>
          <w:numId w:val="22"/>
        </w:numPr>
        <w:rPr>
          <w:rFonts w:ascii="Gill Sans MT" w:hAnsi="Gill Sans MT"/>
        </w:rPr>
      </w:pPr>
      <w:r w:rsidRPr="00E83DA2">
        <w:rPr>
          <w:rFonts w:ascii="Gill Sans MT" w:hAnsi="Gill Sans MT"/>
        </w:rPr>
        <w:t>Encouraging the uptake of more sustainable and non-motorised forms of transport</w:t>
      </w:r>
    </w:p>
    <w:p w:rsidR="00756B53" w:rsidRPr="00E83DA2" w:rsidRDefault="00756B53" w:rsidP="00756B53">
      <w:pPr>
        <w:pStyle w:val="ListParagraph"/>
        <w:numPr>
          <w:ilvl w:val="0"/>
          <w:numId w:val="22"/>
        </w:numPr>
        <w:rPr>
          <w:rFonts w:ascii="Gill Sans MT" w:hAnsi="Gill Sans MT"/>
        </w:rPr>
      </w:pPr>
      <w:r w:rsidRPr="00E83DA2">
        <w:rPr>
          <w:rFonts w:ascii="Gill Sans MT" w:hAnsi="Gill Sans MT"/>
        </w:rPr>
        <w:t>Promoting rail as an environmentally-friendly alternative to road use</w:t>
      </w:r>
    </w:p>
    <w:p w:rsidR="00756B53" w:rsidRPr="00E83DA2" w:rsidRDefault="00756B53" w:rsidP="00756B53">
      <w:pPr>
        <w:pStyle w:val="Heading2"/>
      </w:pPr>
      <w:bookmarkStart w:id="172" w:name="_Toc332033607"/>
      <w:bookmarkStart w:id="173" w:name="_Toc332114130"/>
      <w:bookmarkStart w:id="174" w:name="_Toc332115705"/>
      <w:bookmarkStart w:id="175" w:name="_Toc332115796"/>
      <w:r w:rsidRPr="00E83DA2">
        <w:t>Background</w:t>
      </w:r>
      <w:bookmarkEnd w:id="172"/>
      <w:bookmarkEnd w:id="173"/>
      <w:bookmarkEnd w:id="174"/>
      <w:bookmarkEnd w:id="175"/>
    </w:p>
    <w:p w:rsidR="00756B53" w:rsidRPr="00E83DA2" w:rsidRDefault="00756B53" w:rsidP="00756B53">
      <w:pPr>
        <w:rPr>
          <w:rFonts w:ascii="Gill Sans MT" w:hAnsi="Gill Sans MT"/>
        </w:rPr>
      </w:pPr>
      <w:r w:rsidRPr="00E83DA2">
        <w:rPr>
          <w:rFonts w:ascii="Gill Sans MT" w:hAnsi="Gill Sans MT"/>
        </w:rPr>
        <w:t>Transport is one of the highest contributors to environmental and climate change issues –particularly through high levels of private motor vehicle usage. Increasing per capita private vehicle ownership and an increase in the number of ageing vehicles has resulted in more cars on the road and more air pollutants.  There is a need to continue integrating land use with transport planning to reduce travel time and distances, reduce overall vehicle usage, and facilitate shifts to more sustainable transport modes.  There are significant challenges in maintaining, adapting and planning transport infrastructure for the future impacts of climate change. Government also has an important role in minimising the impact that new and existing transport infrastructure has, along with the use of this infrastructure, on native fauna and flora.</w:t>
      </w:r>
    </w:p>
    <w:p w:rsidR="00756B53" w:rsidRPr="00E83DA2" w:rsidRDefault="00756B53" w:rsidP="00756B53">
      <w:pPr>
        <w:rPr>
          <w:rFonts w:ascii="Gill Sans MT" w:hAnsi="Gill Sans MT"/>
        </w:rPr>
      </w:pPr>
      <w:r w:rsidRPr="00E83DA2">
        <w:rPr>
          <w:rFonts w:ascii="Gill Sans MT" w:hAnsi="Gill Sans MT"/>
        </w:rPr>
        <w:t>Geographically, the Northern Region of Tasmania encompasses eight municipal areas: City of Launceston, Break O’Day, Dorset, Flinders, George Town, Meander Valley, Northern Midlands, and West Tamar. The natural landscape of the Northern Region is diverse yet balanced, ranging from rainforests to marshlands, from beaches to rocky headlands. Over 600,000ha is residual vegetation cover, being the largest land use type in the region. Agriculture and forestry make up the next two largest areas (approximately 636,000ha and 496,000ha respectively), and together these three groups make up over three-quarters of the land use; the result is a region which has maintained much of its natural heritage.</w:t>
      </w:r>
    </w:p>
    <w:p w:rsidR="00756B53" w:rsidRPr="00E83DA2" w:rsidRDefault="00756B53" w:rsidP="00756B53">
      <w:pPr>
        <w:pStyle w:val="Heading2"/>
      </w:pPr>
      <w:bookmarkStart w:id="176" w:name="_Toc332033608"/>
      <w:bookmarkStart w:id="177" w:name="_Toc332114131"/>
      <w:bookmarkStart w:id="178" w:name="_Toc332115706"/>
      <w:bookmarkStart w:id="179" w:name="_Toc332115797"/>
      <w:r w:rsidRPr="00E83DA2">
        <w:t>Government approach</w:t>
      </w:r>
      <w:bookmarkEnd w:id="176"/>
      <w:bookmarkEnd w:id="177"/>
      <w:bookmarkEnd w:id="178"/>
      <w:bookmarkEnd w:id="179"/>
    </w:p>
    <w:p w:rsidR="00756B53" w:rsidRDefault="00756B53" w:rsidP="00756B53">
      <w:pPr>
        <w:rPr>
          <w:rFonts w:ascii="Gill Sans MT" w:hAnsi="Gill Sans MT"/>
        </w:rPr>
      </w:pPr>
      <w:r w:rsidRPr="00E83DA2">
        <w:rPr>
          <w:rFonts w:ascii="Gill Sans MT" w:hAnsi="Gill Sans MT"/>
        </w:rPr>
        <w:t>The Tasmanian Government manages, regulates and provides policy direction on the environmental impacts of transport through numerous Commonwealth and State policy and legislative frameworks:</w:t>
      </w:r>
    </w:p>
    <w:p w:rsidR="00196871" w:rsidRPr="00E83DA2" w:rsidRDefault="00196871" w:rsidP="00756B53">
      <w:pPr>
        <w:rPr>
          <w:rFonts w:ascii="Gill Sans MT" w:hAnsi="Gill Sans MT"/>
        </w:rPr>
      </w:pPr>
    </w:p>
    <w:tbl>
      <w:tblPr>
        <w:tblStyle w:val="MediumGrid1-Accent1"/>
        <w:tblW w:w="0" w:type="auto"/>
        <w:tblLook w:val="04A0"/>
      </w:tblPr>
      <w:tblGrid>
        <w:gridCol w:w="4273"/>
        <w:gridCol w:w="4255"/>
      </w:tblGrid>
      <w:tr w:rsidR="00196871" w:rsidRPr="00E83DA2" w:rsidTr="008A2E3C">
        <w:trPr>
          <w:cnfStyle w:val="100000000000"/>
          <w:tblHeader/>
        </w:trPr>
        <w:tc>
          <w:tcPr>
            <w:cnfStyle w:val="001000000000"/>
            <w:tcW w:w="8528" w:type="dxa"/>
            <w:gridSpan w:val="2"/>
            <w:shd w:val="clear" w:color="auto" w:fill="1F497D" w:themeFill="text2"/>
          </w:tcPr>
          <w:p w:rsidR="00196871" w:rsidRPr="00196871" w:rsidRDefault="00666BF3" w:rsidP="008D2E39">
            <w:pPr>
              <w:rPr>
                <w:rFonts w:ascii="Gill Sans MT" w:hAnsi="Gill Sans MT"/>
                <w:color w:val="FFFFFF" w:themeColor="background1"/>
              </w:rPr>
            </w:pPr>
            <w:r>
              <w:rPr>
                <w:rFonts w:ascii="Gill Sans MT" w:hAnsi="Gill Sans MT"/>
                <w:i/>
                <w:color w:val="FFFFFF" w:themeColor="background1"/>
              </w:rPr>
              <w:lastRenderedPageBreak/>
              <w:t>Figure 39</w:t>
            </w:r>
            <w:r w:rsidR="00196871">
              <w:rPr>
                <w:rFonts w:ascii="Gill Sans MT" w:hAnsi="Gill Sans MT"/>
                <w:i/>
                <w:color w:val="FFFFFF" w:themeColor="background1"/>
              </w:rPr>
              <w:t xml:space="preserve">. </w:t>
            </w:r>
            <w:r w:rsidR="008A2E3C">
              <w:rPr>
                <w:rFonts w:ascii="Gill Sans MT" w:hAnsi="Gill Sans MT"/>
                <w:color w:val="FFFFFF" w:themeColor="background1"/>
              </w:rPr>
              <w:t>Gov</w:t>
            </w:r>
            <w:r w:rsidR="008A2E3C" w:rsidRPr="008A2E3C">
              <w:rPr>
                <w:rFonts w:ascii="Gill Sans MT" w:hAnsi="Gill Sans MT"/>
                <w:color w:val="FFFFFF" w:themeColor="background1"/>
                <w:shd w:val="clear" w:color="auto" w:fill="1F497D" w:themeFill="text2"/>
              </w:rPr>
              <w:t>ernment policies affecting transport and the environment</w:t>
            </w:r>
          </w:p>
        </w:tc>
      </w:tr>
      <w:tr w:rsidR="00756B53" w:rsidRPr="00E83DA2" w:rsidTr="008A2E3C">
        <w:trPr>
          <w:cnfStyle w:val="100000000000"/>
          <w:tblHeader/>
        </w:trPr>
        <w:tc>
          <w:tcPr>
            <w:cnfStyle w:val="001000000000"/>
            <w:tcW w:w="4273" w:type="dxa"/>
            <w:shd w:val="clear" w:color="auto" w:fill="DBE5F1" w:themeFill="accent1" w:themeFillTint="33"/>
          </w:tcPr>
          <w:p w:rsidR="00756B53" w:rsidRPr="00E83DA2" w:rsidRDefault="00756B53" w:rsidP="008D2E39">
            <w:pPr>
              <w:rPr>
                <w:rFonts w:ascii="Gill Sans MT" w:hAnsi="Gill Sans MT"/>
              </w:rPr>
            </w:pPr>
            <w:r w:rsidRPr="00E83DA2">
              <w:rPr>
                <w:rFonts w:ascii="Gill Sans MT" w:hAnsi="Gill Sans MT"/>
              </w:rPr>
              <w:t>Policies</w:t>
            </w:r>
          </w:p>
        </w:tc>
        <w:tc>
          <w:tcPr>
            <w:tcW w:w="4255" w:type="dxa"/>
            <w:shd w:val="clear" w:color="auto" w:fill="DBE5F1" w:themeFill="accent1" w:themeFillTint="33"/>
          </w:tcPr>
          <w:p w:rsidR="00756B53" w:rsidRPr="00E83DA2" w:rsidRDefault="00756B53" w:rsidP="008D2E39">
            <w:pPr>
              <w:cnfStyle w:val="100000000000"/>
              <w:rPr>
                <w:rFonts w:ascii="Gill Sans MT" w:hAnsi="Gill Sans MT"/>
              </w:rPr>
            </w:pPr>
            <w:r w:rsidRPr="00E83DA2">
              <w:rPr>
                <w:rFonts w:ascii="Gill Sans MT" w:hAnsi="Gill Sans MT"/>
              </w:rPr>
              <w:t>Purpose</w:t>
            </w:r>
          </w:p>
        </w:tc>
      </w:tr>
      <w:tr w:rsidR="00756B53" w:rsidRPr="00E83DA2" w:rsidTr="008A2E3C">
        <w:trPr>
          <w:cnfStyle w:val="000000100000"/>
        </w:trPr>
        <w:tc>
          <w:tcPr>
            <w:cnfStyle w:val="001000000000"/>
            <w:tcW w:w="4273" w:type="dxa"/>
          </w:tcPr>
          <w:p w:rsidR="00756B53" w:rsidRPr="00E83DA2" w:rsidRDefault="00756B53" w:rsidP="008D2E39">
            <w:pPr>
              <w:ind w:left="360"/>
              <w:rPr>
                <w:rFonts w:ascii="Gill Sans MT" w:hAnsi="Gill Sans MT"/>
              </w:rPr>
            </w:pPr>
            <w:r w:rsidRPr="00E83DA2">
              <w:rPr>
                <w:rFonts w:ascii="Gill Sans MT" w:hAnsi="Gill Sans MT"/>
                <w:i/>
              </w:rPr>
              <w:t>Environment Protection and Biodiversity Conservation Act 1999</w:t>
            </w:r>
          </w:p>
        </w:tc>
        <w:tc>
          <w:tcPr>
            <w:tcW w:w="4255" w:type="dxa"/>
          </w:tcPr>
          <w:p w:rsidR="00756B53" w:rsidRPr="00E83DA2" w:rsidRDefault="00756B53" w:rsidP="008D2E39">
            <w:pPr>
              <w:cnfStyle w:val="000000100000"/>
              <w:rPr>
                <w:rFonts w:ascii="Gill Sans MT" w:hAnsi="Gill Sans MT"/>
              </w:rPr>
            </w:pPr>
            <w:r w:rsidRPr="00E83DA2">
              <w:rPr>
                <w:rFonts w:ascii="Gill Sans MT" w:hAnsi="Gill Sans MT"/>
              </w:rPr>
              <w:t>The Commonwealth Government’s principal environmental legislation to protect matters of national significance, which guides environmental assessment and approval processes on infrastructure projects.</w:t>
            </w:r>
          </w:p>
        </w:tc>
      </w:tr>
      <w:tr w:rsidR="00756B53" w:rsidRPr="00E83DA2" w:rsidTr="008A2E3C">
        <w:tc>
          <w:tcPr>
            <w:cnfStyle w:val="001000000000"/>
            <w:tcW w:w="4273" w:type="dxa"/>
          </w:tcPr>
          <w:p w:rsidR="00756B53" w:rsidRPr="00E83DA2" w:rsidRDefault="00756B53" w:rsidP="008D2E39">
            <w:pPr>
              <w:ind w:left="360"/>
              <w:rPr>
                <w:rFonts w:ascii="Gill Sans MT" w:hAnsi="Gill Sans MT"/>
                <w:i/>
              </w:rPr>
            </w:pPr>
            <w:r w:rsidRPr="00E83DA2">
              <w:rPr>
                <w:rFonts w:ascii="Gill Sans MT" w:hAnsi="Gill Sans MT"/>
              </w:rPr>
              <w:t>Tasmanian Resource Management and Planning System (RMPS)</w:t>
            </w:r>
          </w:p>
        </w:tc>
        <w:tc>
          <w:tcPr>
            <w:tcW w:w="4255" w:type="dxa"/>
          </w:tcPr>
          <w:p w:rsidR="00756B53" w:rsidRPr="00E83DA2" w:rsidRDefault="00756B53" w:rsidP="008D2E39">
            <w:pPr>
              <w:autoSpaceDE w:val="0"/>
              <w:autoSpaceDN w:val="0"/>
              <w:adjustRightInd w:val="0"/>
              <w:cnfStyle w:val="000000000000"/>
              <w:rPr>
                <w:rFonts w:ascii="Gill Sans MT" w:hAnsi="Gill Sans MT" w:cstheme="minorHAnsi"/>
              </w:rPr>
            </w:pPr>
            <w:r w:rsidRPr="00E83DA2">
              <w:rPr>
                <w:rFonts w:ascii="Gill Sans MT" w:hAnsi="Gill Sans MT" w:cstheme="minorHAnsi"/>
              </w:rPr>
              <w:t>Integrated system aiming to achieve sustainable outcomes from the use and development of Tasmania’s natural and physical resources. This system lists common and consistent schedules across all relevant Acts.</w:t>
            </w:r>
          </w:p>
        </w:tc>
      </w:tr>
      <w:tr w:rsidR="00756B53" w:rsidRPr="00E83DA2" w:rsidTr="008A2E3C">
        <w:trPr>
          <w:cnfStyle w:val="000000100000"/>
        </w:trPr>
        <w:tc>
          <w:tcPr>
            <w:cnfStyle w:val="001000000000"/>
            <w:tcW w:w="4273" w:type="dxa"/>
          </w:tcPr>
          <w:p w:rsidR="00756B53" w:rsidRPr="00E83DA2" w:rsidRDefault="00756B53" w:rsidP="008D2E39">
            <w:pPr>
              <w:ind w:left="360"/>
              <w:rPr>
                <w:rFonts w:ascii="Gill Sans MT" w:hAnsi="Gill Sans MT"/>
                <w:i/>
              </w:rPr>
            </w:pPr>
            <w:r w:rsidRPr="00E83DA2">
              <w:rPr>
                <w:rFonts w:ascii="Gill Sans MT" w:hAnsi="Gill Sans MT"/>
                <w:i/>
              </w:rPr>
              <w:t xml:space="preserve">Environmental Management and Protection Control Act 1994 </w:t>
            </w:r>
            <w:r w:rsidRPr="00E83DA2">
              <w:rPr>
                <w:rFonts w:ascii="Gill Sans MT" w:hAnsi="Gill Sans MT"/>
              </w:rPr>
              <w:t>(EMPCA)</w:t>
            </w:r>
          </w:p>
        </w:tc>
        <w:tc>
          <w:tcPr>
            <w:tcW w:w="4255" w:type="dxa"/>
          </w:tcPr>
          <w:p w:rsidR="00756B53" w:rsidRPr="00E83DA2" w:rsidRDefault="00756B53" w:rsidP="008D2E39">
            <w:pPr>
              <w:cnfStyle w:val="000000100000"/>
              <w:rPr>
                <w:rFonts w:ascii="Gill Sans MT" w:hAnsi="Gill Sans MT"/>
              </w:rPr>
            </w:pPr>
            <w:r w:rsidRPr="00E83DA2">
              <w:rPr>
                <w:rFonts w:ascii="Gill Sans MT" w:hAnsi="Gill Sans MT"/>
              </w:rPr>
              <w:t>The primary environmental protection and pollution control legislation in Tasmania, and part of the RMPS. Oversees the prevention, reduction and remediation of environmental harm, in particular from pollution and waste.</w:t>
            </w:r>
          </w:p>
        </w:tc>
      </w:tr>
      <w:tr w:rsidR="00756B53" w:rsidRPr="00E83DA2" w:rsidTr="008A2E3C">
        <w:tc>
          <w:tcPr>
            <w:cnfStyle w:val="001000000000"/>
            <w:tcW w:w="4273" w:type="dxa"/>
          </w:tcPr>
          <w:p w:rsidR="00756B53" w:rsidRPr="00E83DA2" w:rsidRDefault="00756B53" w:rsidP="008D2E39">
            <w:pPr>
              <w:ind w:left="360"/>
              <w:rPr>
                <w:rFonts w:ascii="Gill Sans MT" w:hAnsi="Gill Sans MT"/>
                <w:i/>
              </w:rPr>
            </w:pPr>
            <w:r w:rsidRPr="00E83DA2">
              <w:rPr>
                <w:rFonts w:ascii="Gill Sans MT" w:hAnsi="Gill Sans MT"/>
                <w:i/>
              </w:rPr>
              <w:t>Land Use Planning and Approvals Act 1993</w:t>
            </w:r>
          </w:p>
        </w:tc>
        <w:tc>
          <w:tcPr>
            <w:tcW w:w="4255" w:type="dxa"/>
          </w:tcPr>
          <w:p w:rsidR="00756B53" w:rsidRPr="00E83DA2" w:rsidRDefault="00756B53" w:rsidP="008D2E39">
            <w:pPr>
              <w:cnfStyle w:val="000000000000"/>
              <w:rPr>
                <w:rFonts w:ascii="Gill Sans MT" w:hAnsi="Gill Sans MT"/>
              </w:rPr>
            </w:pPr>
            <w:r w:rsidRPr="00E83DA2">
              <w:rPr>
                <w:rFonts w:ascii="Gill Sans MT" w:hAnsi="Gill Sans MT"/>
              </w:rPr>
              <w:t>The primary planning legislation in Tasmania, and a central part of RMPS, focusing on both sustainable development and resource use during planning processes.</w:t>
            </w:r>
          </w:p>
        </w:tc>
      </w:tr>
      <w:tr w:rsidR="00756B53" w:rsidRPr="00E83DA2" w:rsidTr="008A2E3C">
        <w:trPr>
          <w:cnfStyle w:val="000000100000"/>
        </w:trPr>
        <w:tc>
          <w:tcPr>
            <w:cnfStyle w:val="001000000000"/>
            <w:tcW w:w="4273" w:type="dxa"/>
          </w:tcPr>
          <w:p w:rsidR="00756B53" w:rsidRPr="00E83DA2" w:rsidRDefault="00756B53" w:rsidP="008D2E39">
            <w:pPr>
              <w:ind w:left="360"/>
              <w:rPr>
                <w:rFonts w:ascii="Gill Sans MT" w:hAnsi="Gill Sans MT"/>
              </w:rPr>
            </w:pPr>
            <w:r w:rsidRPr="00E83DA2">
              <w:rPr>
                <w:rFonts w:ascii="Gill Sans MT" w:hAnsi="Gill Sans MT"/>
              </w:rPr>
              <w:t>Tasmanian Urban Passenger Transport Framework 2010</w:t>
            </w:r>
          </w:p>
        </w:tc>
        <w:tc>
          <w:tcPr>
            <w:tcW w:w="4255" w:type="dxa"/>
          </w:tcPr>
          <w:p w:rsidR="00756B53" w:rsidRPr="00E83DA2" w:rsidRDefault="00756B53" w:rsidP="008D2E39">
            <w:pPr>
              <w:cnfStyle w:val="000000100000"/>
              <w:rPr>
                <w:rFonts w:ascii="Gill Sans MT" w:hAnsi="Gill Sans MT"/>
              </w:rPr>
            </w:pPr>
            <w:r w:rsidRPr="00E83DA2">
              <w:rPr>
                <w:rFonts w:ascii="Gill Sans MT" w:hAnsi="Gill Sans MT"/>
              </w:rPr>
              <w:t>Addresses urban passenger transport needs, guiding the development and delivery of transport options with a focus on economic, social and environmental sustainability.</w:t>
            </w:r>
          </w:p>
        </w:tc>
      </w:tr>
      <w:tr w:rsidR="00756B53" w:rsidRPr="00E83DA2" w:rsidTr="008A2E3C">
        <w:tc>
          <w:tcPr>
            <w:cnfStyle w:val="001000000000"/>
            <w:tcW w:w="4273" w:type="dxa"/>
          </w:tcPr>
          <w:p w:rsidR="00756B53" w:rsidRPr="00E83DA2" w:rsidRDefault="00756B53" w:rsidP="008D2E39">
            <w:pPr>
              <w:ind w:left="360"/>
              <w:rPr>
                <w:rFonts w:ascii="Gill Sans MT" w:hAnsi="Gill Sans MT"/>
              </w:rPr>
            </w:pPr>
            <w:r w:rsidRPr="00E83DA2">
              <w:rPr>
                <w:rFonts w:ascii="Gill Sans MT" w:hAnsi="Gill Sans MT"/>
              </w:rPr>
              <w:t>Tasmania’s Action Plan to Reduce Emissions 2011</w:t>
            </w:r>
          </w:p>
        </w:tc>
        <w:tc>
          <w:tcPr>
            <w:tcW w:w="4255" w:type="dxa"/>
          </w:tcPr>
          <w:p w:rsidR="00756B53" w:rsidRPr="00E83DA2" w:rsidRDefault="00756B53" w:rsidP="008D2E39">
            <w:pPr>
              <w:cnfStyle w:val="000000000000"/>
              <w:rPr>
                <w:rFonts w:ascii="Gill Sans MT" w:hAnsi="Gill Sans MT"/>
              </w:rPr>
            </w:pPr>
            <w:r w:rsidRPr="00E83DA2">
              <w:rPr>
                <w:rFonts w:ascii="Gill Sans MT" w:hAnsi="Gill Sans MT"/>
              </w:rPr>
              <w:t>An action plan outlining priority actions for the Tasmanian Government for reducing emissions and increasing energy efficiency.</w:t>
            </w:r>
          </w:p>
        </w:tc>
      </w:tr>
      <w:tr w:rsidR="00756B53" w:rsidRPr="00E83DA2" w:rsidTr="008A2E3C">
        <w:trPr>
          <w:cnfStyle w:val="000000100000"/>
        </w:trPr>
        <w:tc>
          <w:tcPr>
            <w:cnfStyle w:val="001000000000"/>
            <w:tcW w:w="4273" w:type="dxa"/>
          </w:tcPr>
          <w:p w:rsidR="00756B53" w:rsidRPr="00E83DA2" w:rsidRDefault="00756B53" w:rsidP="008D2E39">
            <w:pPr>
              <w:ind w:left="360"/>
              <w:rPr>
                <w:rFonts w:ascii="Gill Sans MT" w:hAnsi="Gill Sans MT"/>
              </w:rPr>
            </w:pPr>
            <w:r w:rsidRPr="00E83DA2">
              <w:rPr>
                <w:rFonts w:ascii="Gill Sans MT" w:hAnsi="Gill Sans MT"/>
              </w:rPr>
              <w:t>Tasmanian Walking and Cycling for Active Transport Strategy</w:t>
            </w:r>
          </w:p>
        </w:tc>
        <w:tc>
          <w:tcPr>
            <w:tcW w:w="4255" w:type="dxa"/>
          </w:tcPr>
          <w:p w:rsidR="00756B53" w:rsidRPr="00E83DA2" w:rsidRDefault="00756B53" w:rsidP="008D2E39">
            <w:pPr>
              <w:cnfStyle w:val="000000100000"/>
              <w:rPr>
                <w:rFonts w:ascii="Gill Sans MT" w:hAnsi="Gill Sans MT"/>
              </w:rPr>
            </w:pPr>
            <w:r w:rsidRPr="00E83DA2">
              <w:rPr>
                <w:rFonts w:ascii="Gill Sans MT" w:hAnsi="Gill Sans MT"/>
              </w:rPr>
              <w:t>A key initiative under the Tasmanian Urban Passenger Transport Framework. Outlines the Government’s plan for improving urban environmental conditions for pedestrians and cyclists.</w:t>
            </w:r>
          </w:p>
        </w:tc>
      </w:tr>
      <w:tr w:rsidR="00756B53" w:rsidRPr="00E83DA2" w:rsidTr="008A2E3C">
        <w:tc>
          <w:tcPr>
            <w:cnfStyle w:val="001000000000"/>
            <w:tcW w:w="4273" w:type="dxa"/>
          </w:tcPr>
          <w:p w:rsidR="00756B53" w:rsidRPr="00E83DA2" w:rsidRDefault="00756B53" w:rsidP="008D2E39">
            <w:pPr>
              <w:ind w:left="360"/>
              <w:rPr>
                <w:rFonts w:ascii="Gill Sans MT" w:hAnsi="Gill Sans MT"/>
              </w:rPr>
            </w:pPr>
            <w:r w:rsidRPr="00E83DA2">
              <w:rPr>
                <w:rFonts w:ascii="Gill Sans MT" w:hAnsi="Gill Sans MT"/>
              </w:rPr>
              <w:t>Tasmanian Air Quality Strategy 2006</w:t>
            </w:r>
          </w:p>
        </w:tc>
        <w:tc>
          <w:tcPr>
            <w:tcW w:w="4255" w:type="dxa"/>
          </w:tcPr>
          <w:p w:rsidR="00756B53" w:rsidRPr="00E83DA2" w:rsidRDefault="00756B53" w:rsidP="008D2E39">
            <w:pPr>
              <w:cnfStyle w:val="000000000000"/>
              <w:rPr>
                <w:rFonts w:ascii="Gill Sans MT" w:hAnsi="Gill Sans MT"/>
              </w:rPr>
            </w:pPr>
            <w:r w:rsidRPr="00E83DA2">
              <w:rPr>
                <w:rFonts w:ascii="Gill Sans MT" w:hAnsi="Gill Sans MT"/>
              </w:rPr>
              <w:t>Focuses on the reduction of air particulates (PM</w:t>
            </w:r>
            <w:r w:rsidRPr="00E83DA2">
              <w:rPr>
                <w:rFonts w:ascii="Gill Sans MT" w:hAnsi="Gill Sans MT"/>
                <w:vertAlign w:val="subscript"/>
              </w:rPr>
              <w:t>10</w:t>
            </w:r>
            <w:r w:rsidRPr="00E83DA2">
              <w:rPr>
                <w:rFonts w:ascii="Gill Sans MT" w:hAnsi="Gill Sans MT"/>
              </w:rPr>
              <w:t xml:space="preserve"> and PM</w:t>
            </w:r>
            <w:r w:rsidRPr="00E83DA2">
              <w:rPr>
                <w:rFonts w:ascii="Gill Sans MT" w:hAnsi="Gill Sans MT"/>
                <w:vertAlign w:val="subscript"/>
              </w:rPr>
              <w:t>25</w:t>
            </w:r>
            <w:r w:rsidRPr="00E83DA2">
              <w:rPr>
                <w:rFonts w:ascii="Gill Sans MT" w:hAnsi="Gill Sans MT"/>
              </w:rPr>
              <w:t>). Transport is responsible for a significant proportion of these emissions.</w:t>
            </w:r>
          </w:p>
        </w:tc>
      </w:tr>
      <w:tr w:rsidR="00756B53" w:rsidRPr="00E83DA2" w:rsidTr="008A2E3C">
        <w:trPr>
          <w:cnfStyle w:val="000000100000"/>
        </w:trPr>
        <w:tc>
          <w:tcPr>
            <w:cnfStyle w:val="001000000000"/>
            <w:tcW w:w="4273" w:type="dxa"/>
          </w:tcPr>
          <w:p w:rsidR="00756B53" w:rsidRPr="00E83DA2" w:rsidRDefault="00756B53" w:rsidP="008D2E39">
            <w:pPr>
              <w:ind w:left="360"/>
              <w:rPr>
                <w:rFonts w:ascii="Gill Sans MT" w:hAnsi="Gill Sans MT"/>
              </w:rPr>
            </w:pPr>
            <w:r w:rsidRPr="00E83DA2">
              <w:rPr>
                <w:rFonts w:ascii="Gill Sans MT" w:hAnsi="Gill Sans MT"/>
              </w:rPr>
              <w:t>Tasmanian Oil Price Vulnerability Study 2011</w:t>
            </w:r>
          </w:p>
        </w:tc>
        <w:tc>
          <w:tcPr>
            <w:tcW w:w="4255" w:type="dxa"/>
          </w:tcPr>
          <w:p w:rsidR="00756B53" w:rsidRPr="00E83DA2" w:rsidRDefault="00756B53" w:rsidP="008D2E39">
            <w:pPr>
              <w:cnfStyle w:val="000000100000"/>
              <w:rPr>
                <w:rFonts w:ascii="Gill Sans MT" w:hAnsi="Gill Sans MT"/>
              </w:rPr>
            </w:pPr>
            <w:r w:rsidRPr="00E83DA2">
              <w:rPr>
                <w:rFonts w:ascii="Gill Sans MT" w:hAnsi="Gill Sans MT"/>
              </w:rPr>
              <w:t xml:space="preserve">A study commissioned by the Tasmanian Government to investigate the impacts world oil prices may have on the Tasmanian </w:t>
            </w:r>
            <w:r w:rsidRPr="00E83DA2">
              <w:rPr>
                <w:rFonts w:ascii="Gill Sans MT" w:hAnsi="Gill Sans MT"/>
              </w:rPr>
              <w:lastRenderedPageBreak/>
              <w:t>economy.</w:t>
            </w:r>
          </w:p>
        </w:tc>
      </w:tr>
      <w:tr w:rsidR="00756B53" w:rsidRPr="00E83DA2" w:rsidTr="008A2E3C">
        <w:tc>
          <w:tcPr>
            <w:cnfStyle w:val="001000000000"/>
            <w:tcW w:w="4273" w:type="dxa"/>
          </w:tcPr>
          <w:p w:rsidR="00756B53" w:rsidRPr="00E83DA2" w:rsidRDefault="00756B53" w:rsidP="008D2E39">
            <w:pPr>
              <w:ind w:left="360"/>
              <w:rPr>
                <w:rFonts w:ascii="Gill Sans MT" w:hAnsi="Gill Sans MT"/>
              </w:rPr>
            </w:pPr>
            <w:r w:rsidRPr="00E83DA2">
              <w:rPr>
                <w:rFonts w:ascii="Gill Sans MT" w:hAnsi="Gill Sans MT"/>
                <w:i/>
              </w:rPr>
              <w:lastRenderedPageBreak/>
              <w:t>Climate Change (State Action) Act 2008</w:t>
            </w:r>
          </w:p>
        </w:tc>
        <w:tc>
          <w:tcPr>
            <w:tcW w:w="4255" w:type="dxa"/>
          </w:tcPr>
          <w:p w:rsidR="00756B53" w:rsidRPr="00E83DA2" w:rsidRDefault="00756B53" w:rsidP="008D2E39">
            <w:pPr>
              <w:cnfStyle w:val="000000000000"/>
              <w:rPr>
                <w:rFonts w:ascii="Gill Sans MT" w:hAnsi="Gill Sans MT"/>
              </w:rPr>
            </w:pPr>
            <w:r w:rsidRPr="00E83DA2">
              <w:rPr>
                <w:rFonts w:ascii="Gill Sans MT" w:hAnsi="Gill Sans MT"/>
              </w:rPr>
              <w:t>Legislative foundation for the Government’s greenhouse gas emission reduction target and the establishment and review of the Tasmanian Climate Action Council.</w:t>
            </w:r>
          </w:p>
        </w:tc>
      </w:tr>
      <w:tr w:rsidR="00756B53" w:rsidRPr="00E83DA2" w:rsidTr="008A2E3C">
        <w:trPr>
          <w:cnfStyle w:val="000000100000"/>
        </w:trPr>
        <w:tc>
          <w:tcPr>
            <w:cnfStyle w:val="001000000000"/>
            <w:tcW w:w="4273" w:type="dxa"/>
          </w:tcPr>
          <w:p w:rsidR="00756B53" w:rsidRPr="00E83DA2" w:rsidRDefault="00756B53" w:rsidP="008D2E39">
            <w:pPr>
              <w:ind w:left="360"/>
              <w:rPr>
                <w:rFonts w:ascii="Gill Sans MT" w:hAnsi="Gill Sans MT"/>
                <w:i/>
              </w:rPr>
            </w:pPr>
            <w:r w:rsidRPr="00E83DA2">
              <w:rPr>
                <w:rFonts w:ascii="Gill Sans MT" w:hAnsi="Gill Sans MT"/>
                <w:i/>
              </w:rPr>
              <w:t>Environment Protection Policy (Air Quality) Act 2004</w:t>
            </w:r>
          </w:p>
        </w:tc>
        <w:tc>
          <w:tcPr>
            <w:tcW w:w="4255" w:type="dxa"/>
          </w:tcPr>
          <w:p w:rsidR="00756B53" w:rsidRPr="00E83DA2" w:rsidRDefault="00756B53" w:rsidP="008D2E39">
            <w:pPr>
              <w:cnfStyle w:val="000000100000"/>
              <w:rPr>
                <w:rFonts w:ascii="Gill Sans MT" w:hAnsi="Gill Sans MT"/>
              </w:rPr>
            </w:pPr>
            <w:r w:rsidRPr="00E83DA2">
              <w:rPr>
                <w:rFonts w:ascii="Gill Sans MT" w:hAnsi="Gill Sans MT"/>
              </w:rPr>
              <w:t>A framework for the management and regulation of point and diffuse sources of emissions that have the potential to cause environmental harm. Developed in accordance with the EMPCA.</w:t>
            </w:r>
          </w:p>
        </w:tc>
      </w:tr>
      <w:tr w:rsidR="00756B53" w:rsidRPr="00E83DA2" w:rsidTr="008A2E3C">
        <w:tc>
          <w:tcPr>
            <w:cnfStyle w:val="001000000000"/>
            <w:tcW w:w="4273" w:type="dxa"/>
          </w:tcPr>
          <w:p w:rsidR="00756B53" w:rsidRPr="00E83DA2" w:rsidRDefault="00756B53" w:rsidP="008D2E39">
            <w:pPr>
              <w:ind w:left="360"/>
              <w:rPr>
                <w:rFonts w:ascii="Gill Sans MT" w:hAnsi="Gill Sans MT"/>
              </w:rPr>
            </w:pPr>
            <w:r w:rsidRPr="00E83DA2">
              <w:rPr>
                <w:rFonts w:ascii="Gill Sans MT" w:hAnsi="Gill Sans MT"/>
              </w:rPr>
              <w:t>Australian Design Rules</w:t>
            </w:r>
          </w:p>
        </w:tc>
        <w:tc>
          <w:tcPr>
            <w:tcW w:w="4255" w:type="dxa"/>
          </w:tcPr>
          <w:p w:rsidR="00756B53" w:rsidRPr="00E83DA2" w:rsidRDefault="00756B53" w:rsidP="008D2E39">
            <w:pPr>
              <w:cnfStyle w:val="000000000000"/>
              <w:rPr>
                <w:rFonts w:ascii="Gill Sans MT" w:hAnsi="Gill Sans MT"/>
              </w:rPr>
            </w:pPr>
            <w:r w:rsidRPr="00E83DA2">
              <w:rPr>
                <w:rFonts w:ascii="Gill Sans MT" w:hAnsi="Gill Sans MT"/>
              </w:rPr>
              <w:t>National standards for vehicle safety, anti-theft and emissions. Covers issues including external noise, exhaust emissions and fuel-usage.</w:t>
            </w:r>
          </w:p>
        </w:tc>
      </w:tr>
    </w:tbl>
    <w:p w:rsidR="007C4D68" w:rsidRDefault="007C4D68" w:rsidP="00756B53">
      <w:pPr>
        <w:rPr>
          <w:rFonts w:ascii="Gill Sans MT" w:hAnsi="Gill Sans MT"/>
        </w:rPr>
      </w:pPr>
    </w:p>
    <w:p w:rsidR="00756B53" w:rsidRPr="00E83DA2" w:rsidRDefault="00756B53" w:rsidP="00756B53">
      <w:pPr>
        <w:rPr>
          <w:rFonts w:ascii="Gill Sans MT" w:hAnsi="Gill Sans MT"/>
        </w:rPr>
      </w:pPr>
      <w:r w:rsidRPr="00E83DA2">
        <w:rPr>
          <w:rFonts w:ascii="Gill Sans MT" w:hAnsi="Gill Sans MT"/>
        </w:rPr>
        <w:t>These policies and frameworks provide greater focus on reducing environmental impacts by:</w:t>
      </w:r>
    </w:p>
    <w:p w:rsidR="00756B53" w:rsidRPr="00E83DA2" w:rsidRDefault="00756B53" w:rsidP="008A2E3C">
      <w:pPr>
        <w:pStyle w:val="ListParagraph"/>
        <w:numPr>
          <w:ilvl w:val="0"/>
          <w:numId w:val="19"/>
        </w:numPr>
        <w:ind w:left="426"/>
        <w:rPr>
          <w:rFonts w:ascii="Gill Sans MT" w:hAnsi="Gill Sans MT"/>
        </w:rPr>
      </w:pPr>
      <w:r w:rsidRPr="00E83DA2">
        <w:rPr>
          <w:rFonts w:ascii="Gill Sans MT" w:hAnsi="Gill Sans MT"/>
        </w:rPr>
        <w:t>Reducing total and average distance travelled – particularly road-based;</w:t>
      </w:r>
    </w:p>
    <w:p w:rsidR="00756B53" w:rsidRPr="00E83DA2" w:rsidRDefault="00756B53" w:rsidP="008A2E3C">
      <w:pPr>
        <w:pStyle w:val="ListParagraph"/>
        <w:numPr>
          <w:ilvl w:val="0"/>
          <w:numId w:val="19"/>
        </w:numPr>
        <w:ind w:left="426"/>
        <w:rPr>
          <w:rFonts w:ascii="Gill Sans MT" w:hAnsi="Gill Sans MT"/>
        </w:rPr>
      </w:pPr>
      <w:r w:rsidRPr="00E83DA2">
        <w:rPr>
          <w:rFonts w:ascii="Gill Sans MT" w:hAnsi="Gill Sans MT"/>
        </w:rPr>
        <w:t>Increasing modal shift – to public and non-motorised transport options;</w:t>
      </w:r>
    </w:p>
    <w:p w:rsidR="00756B53" w:rsidRPr="00E83DA2" w:rsidRDefault="00756B53" w:rsidP="008A2E3C">
      <w:pPr>
        <w:pStyle w:val="ListParagraph"/>
        <w:numPr>
          <w:ilvl w:val="0"/>
          <w:numId w:val="19"/>
        </w:numPr>
        <w:ind w:left="426"/>
        <w:rPr>
          <w:rFonts w:ascii="Gill Sans MT" w:hAnsi="Gill Sans MT"/>
        </w:rPr>
      </w:pPr>
      <w:r w:rsidRPr="00E83DA2">
        <w:rPr>
          <w:rFonts w:ascii="Gill Sans MT" w:hAnsi="Gill Sans MT"/>
        </w:rPr>
        <w:t>Increased integration of transport and planning;</w:t>
      </w:r>
    </w:p>
    <w:p w:rsidR="00756B53" w:rsidRPr="00E83DA2" w:rsidRDefault="00756B53" w:rsidP="008A2E3C">
      <w:pPr>
        <w:pStyle w:val="ListParagraph"/>
        <w:numPr>
          <w:ilvl w:val="0"/>
          <w:numId w:val="19"/>
        </w:numPr>
        <w:ind w:left="426"/>
        <w:rPr>
          <w:rFonts w:ascii="Gill Sans MT" w:hAnsi="Gill Sans MT"/>
        </w:rPr>
      </w:pPr>
      <w:r w:rsidRPr="00E83DA2">
        <w:rPr>
          <w:rFonts w:ascii="Gill Sans MT" w:hAnsi="Gill Sans MT"/>
        </w:rPr>
        <w:t>Implementing technological advances – including travel demand management (TDM) and intelligent transport systems (ITS);</w:t>
      </w:r>
    </w:p>
    <w:p w:rsidR="00756B53" w:rsidRPr="00E83DA2" w:rsidRDefault="00756B53" w:rsidP="008A2E3C">
      <w:pPr>
        <w:pStyle w:val="ListParagraph"/>
        <w:numPr>
          <w:ilvl w:val="0"/>
          <w:numId w:val="19"/>
        </w:numPr>
        <w:ind w:left="426"/>
        <w:rPr>
          <w:rFonts w:ascii="Gill Sans MT" w:hAnsi="Gill Sans MT"/>
        </w:rPr>
      </w:pPr>
      <w:r w:rsidRPr="00E83DA2">
        <w:rPr>
          <w:rFonts w:ascii="Gill Sans MT" w:hAnsi="Gill Sans MT"/>
        </w:rPr>
        <w:t>Using economic and pricing incentives to influence transport mode and travel choices;</w:t>
      </w:r>
    </w:p>
    <w:p w:rsidR="00756B53" w:rsidRPr="00E83DA2" w:rsidRDefault="00756B53" w:rsidP="008A2E3C">
      <w:pPr>
        <w:pStyle w:val="ListParagraph"/>
        <w:numPr>
          <w:ilvl w:val="0"/>
          <w:numId w:val="19"/>
        </w:numPr>
        <w:ind w:left="426"/>
        <w:rPr>
          <w:rFonts w:ascii="Gill Sans MT" w:hAnsi="Gill Sans MT"/>
        </w:rPr>
      </w:pPr>
      <w:r w:rsidRPr="00E83DA2">
        <w:rPr>
          <w:rFonts w:ascii="Gill Sans MT" w:hAnsi="Gill Sans MT"/>
        </w:rPr>
        <w:t>Encouraging greater adoption of vehicle technology developments; and</w:t>
      </w:r>
    </w:p>
    <w:p w:rsidR="00756B53" w:rsidRPr="00E83DA2" w:rsidRDefault="00756B53" w:rsidP="008A2E3C">
      <w:pPr>
        <w:pStyle w:val="ListParagraph"/>
        <w:numPr>
          <w:ilvl w:val="0"/>
          <w:numId w:val="19"/>
        </w:numPr>
        <w:ind w:left="426"/>
        <w:rPr>
          <w:rFonts w:ascii="Gill Sans MT" w:hAnsi="Gill Sans MT"/>
        </w:rPr>
      </w:pPr>
      <w:r w:rsidRPr="00E83DA2">
        <w:rPr>
          <w:rFonts w:ascii="Gill Sans MT" w:hAnsi="Gill Sans MT"/>
        </w:rPr>
        <w:t xml:space="preserve">Applying land use planning processes to reduce motor vehicle dependency. </w:t>
      </w:r>
    </w:p>
    <w:p w:rsidR="00756B53" w:rsidRPr="00E83DA2" w:rsidRDefault="00756B53" w:rsidP="00756B53">
      <w:pPr>
        <w:pStyle w:val="Heading2"/>
      </w:pPr>
      <w:bookmarkStart w:id="180" w:name="_Toc332033609"/>
      <w:bookmarkStart w:id="181" w:name="_Toc332114132"/>
      <w:bookmarkStart w:id="182" w:name="_Toc332115707"/>
      <w:bookmarkStart w:id="183" w:name="_Toc332115798"/>
      <w:r w:rsidRPr="00E83DA2">
        <w:t>Environmental impacts</w:t>
      </w:r>
      <w:bookmarkEnd w:id="180"/>
      <w:bookmarkEnd w:id="181"/>
      <w:bookmarkEnd w:id="182"/>
      <w:bookmarkEnd w:id="183"/>
    </w:p>
    <w:p w:rsidR="00756B53" w:rsidRPr="00E83DA2" w:rsidRDefault="00756B53" w:rsidP="007C4D68">
      <w:pPr>
        <w:spacing w:after="0"/>
        <w:rPr>
          <w:rFonts w:ascii="Gill Sans MT" w:hAnsi="Gill Sans MT"/>
        </w:rPr>
      </w:pPr>
      <w:r w:rsidRPr="00E83DA2">
        <w:rPr>
          <w:rFonts w:ascii="Gill Sans MT" w:hAnsi="Gill Sans MT"/>
        </w:rPr>
        <w:t>Transport can have significant impacts on the environment, including greenhouse gas emissions, noise, air and water pollution, and the dislocation and mortality of native fauna and flora. These result from a variety of transport-related activities, including vehicle use, the construction of infrastructure and transport waste products.</w:t>
      </w:r>
      <w:r w:rsidRPr="00E83DA2" w:rsidDel="00793E09">
        <w:rPr>
          <w:rFonts w:ascii="Gill Sans MT" w:hAnsi="Gill Sans MT"/>
        </w:rPr>
        <w:t xml:space="preserve"> </w:t>
      </w:r>
      <w:r w:rsidRPr="00E83DA2">
        <w:rPr>
          <w:rFonts w:ascii="Gill Sans MT" w:hAnsi="Gill Sans MT"/>
        </w:rPr>
        <w:t>The key transport influences on the environment are:</w:t>
      </w:r>
    </w:p>
    <w:p w:rsidR="00756B53" w:rsidRPr="00E83DA2" w:rsidRDefault="00756B53" w:rsidP="008A2E3C">
      <w:pPr>
        <w:pStyle w:val="ListParagraph"/>
        <w:numPr>
          <w:ilvl w:val="0"/>
          <w:numId w:val="12"/>
        </w:numPr>
        <w:ind w:left="426"/>
        <w:rPr>
          <w:rFonts w:ascii="Gill Sans MT" w:hAnsi="Gill Sans MT"/>
        </w:rPr>
      </w:pPr>
      <w:r w:rsidRPr="00E83DA2">
        <w:rPr>
          <w:rFonts w:ascii="Gill Sans MT" w:hAnsi="Gill Sans MT"/>
        </w:rPr>
        <w:t>High, on-going  private car use;</w:t>
      </w:r>
    </w:p>
    <w:p w:rsidR="00756B53" w:rsidRPr="00E83DA2" w:rsidRDefault="00756B53" w:rsidP="008A2E3C">
      <w:pPr>
        <w:pStyle w:val="ListParagraph"/>
        <w:numPr>
          <w:ilvl w:val="0"/>
          <w:numId w:val="12"/>
        </w:numPr>
        <w:ind w:left="426"/>
        <w:rPr>
          <w:rFonts w:ascii="Gill Sans MT" w:hAnsi="Gill Sans MT"/>
        </w:rPr>
      </w:pPr>
      <w:r w:rsidRPr="00E83DA2">
        <w:rPr>
          <w:rFonts w:ascii="Gill Sans MT" w:hAnsi="Gill Sans MT"/>
        </w:rPr>
        <w:t>Ageing vehicles;</w:t>
      </w:r>
    </w:p>
    <w:p w:rsidR="00756B53" w:rsidRPr="00E83DA2" w:rsidRDefault="00756B53" w:rsidP="008A2E3C">
      <w:pPr>
        <w:pStyle w:val="ListParagraph"/>
        <w:numPr>
          <w:ilvl w:val="0"/>
          <w:numId w:val="12"/>
        </w:numPr>
        <w:ind w:left="426"/>
        <w:rPr>
          <w:rFonts w:ascii="Gill Sans MT" w:hAnsi="Gill Sans MT"/>
        </w:rPr>
      </w:pPr>
      <w:r w:rsidRPr="00E83DA2">
        <w:rPr>
          <w:rFonts w:ascii="Gill Sans MT" w:hAnsi="Gill Sans MT"/>
        </w:rPr>
        <w:t>Dispersed and expanding urban settlements;</w:t>
      </w:r>
    </w:p>
    <w:p w:rsidR="00756B53" w:rsidRPr="00E83DA2" w:rsidRDefault="00756B53" w:rsidP="008A2E3C">
      <w:pPr>
        <w:pStyle w:val="ListParagraph"/>
        <w:numPr>
          <w:ilvl w:val="0"/>
          <w:numId w:val="12"/>
        </w:numPr>
        <w:ind w:left="426"/>
        <w:rPr>
          <w:rFonts w:ascii="Gill Sans MT" w:hAnsi="Gill Sans MT"/>
        </w:rPr>
      </w:pPr>
      <w:r w:rsidRPr="00E83DA2">
        <w:rPr>
          <w:rFonts w:ascii="Gill Sans MT" w:hAnsi="Gill Sans MT"/>
        </w:rPr>
        <w:t>Low use of alternative transport modes, including walking, cycling and public transport;</w:t>
      </w:r>
    </w:p>
    <w:p w:rsidR="00756B53" w:rsidRPr="00E83DA2" w:rsidRDefault="00756B53" w:rsidP="008A2E3C">
      <w:pPr>
        <w:pStyle w:val="ListParagraph"/>
        <w:numPr>
          <w:ilvl w:val="0"/>
          <w:numId w:val="12"/>
        </w:numPr>
        <w:ind w:left="426"/>
        <w:rPr>
          <w:rFonts w:ascii="Gill Sans MT" w:hAnsi="Gill Sans MT"/>
        </w:rPr>
      </w:pPr>
      <w:r w:rsidRPr="00E83DA2">
        <w:rPr>
          <w:rFonts w:ascii="Gill Sans MT" w:hAnsi="Gill Sans MT"/>
        </w:rPr>
        <w:t>Extensive transport networks, often with low volumes;</w:t>
      </w:r>
    </w:p>
    <w:p w:rsidR="00756B53" w:rsidRPr="00E83DA2" w:rsidRDefault="00756B53" w:rsidP="008A2E3C">
      <w:pPr>
        <w:pStyle w:val="ListParagraph"/>
        <w:numPr>
          <w:ilvl w:val="0"/>
          <w:numId w:val="12"/>
        </w:numPr>
        <w:ind w:left="426"/>
        <w:rPr>
          <w:rFonts w:ascii="Gill Sans MT" w:hAnsi="Gill Sans MT"/>
        </w:rPr>
      </w:pPr>
      <w:r w:rsidRPr="00E83DA2">
        <w:rPr>
          <w:rFonts w:ascii="Gill Sans MT" w:hAnsi="Gill Sans MT"/>
        </w:rPr>
        <w:t>Increasing freight task.</w:t>
      </w:r>
    </w:p>
    <w:p w:rsidR="00756B53" w:rsidRPr="00E83DA2" w:rsidRDefault="00756B53" w:rsidP="00756B53">
      <w:pPr>
        <w:pStyle w:val="Heading2"/>
      </w:pPr>
      <w:bookmarkStart w:id="184" w:name="_Toc332033610"/>
      <w:bookmarkStart w:id="185" w:name="_Toc332114133"/>
      <w:bookmarkStart w:id="186" w:name="_Toc332115708"/>
      <w:bookmarkStart w:id="187" w:name="_Toc332115799"/>
      <w:r w:rsidRPr="00E83DA2">
        <w:lastRenderedPageBreak/>
        <w:t>Choice of alternative transport modes</w:t>
      </w:r>
      <w:bookmarkEnd w:id="184"/>
      <w:bookmarkEnd w:id="185"/>
      <w:bookmarkEnd w:id="186"/>
      <w:bookmarkEnd w:id="187"/>
    </w:p>
    <w:p w:rsidR="00756B53" w:rsidRPr="00E83DA2" w:rsidRDefault="00756B53" w:rsidP="00756B53">
      <w:pPr>
        <w:pStyle w:val="Heading3"/>
      </w:pPr>
      <w:bookmarkStart w:id="188" w:name="_Toc332114134"/>
      <w:bookmarkStart w:id="189" w:name="_Toc332115709"/>
      <w:bookmarkStart w:id="190" w:name="_Toc332115800"/>
      <w:r w:rsidRPr="00E83DA2">
        <w:t>Public Transport</w:t>
      </w:r>
      <w:bookmarkEnd w:id="188"/>
      <w:bookmarkEnd w:id="189"/>
      <w:bookmarkEnd w:id="190"/>
    </w:p>
    <w:p w:rsidR="00756B53" w:rsidRPr="00E83DA2" w:rsidRDefault="00756B53" w:rsidP="00756B53">
      <w:pPr>
        <w:rPr>
          <w:rFonts w:ascii="Gill Sans MT" w:hAnsi="Gill Sans MT"/>
        </w:rPr>
      </w:pPr>
      <w:r w:rsidRPr="00E83DA2">
        <w:rPr>
          <w:rFonts w:ascii="Gill Sans MT" w:hAnsi="Gill Sans MT"/>
        </w:rPr>
        <w:t xml:space="preserve">Public passenger services and </w:t>
      </w:r>
      <w:r w:rsidR="00F840B4">
        <w:rPr>
          <w:rFonts w:ascii="Gill Sans MT" w:hAnsi="Gill Sans MT"/>
        </w:rPr>
        <w:t>non-motorised transport provide</w:t>
      </w:r>
      <w:r w:rsidRPr="00E83DA2">
        <w:rPr>
          <w:rFonts w:ascii="Gill Sans MT" w:hAnsi="Gill Sans MT"/>
        </w:rPr>
        <w:t xml:space="preserve"> important alternatives to car use, going a long way to reducing the impact of transport on the environment. Census 2011 data shows that around 89.6% of households in the Northern Region garage one or more motor vehicles, with around 1 in 5 households garaging three or more. While this represents numbers only marginally higher than those for the rest of the country (88.4% and 18.7% respectively), it does reinforce the need for a continued focus on the development of both public and non-motorised forms of transport, as well as more integrated land use planning, in reducing dependency on private vehicle use. The </w:t>
      </w:r>
      <w:r w:rsidRPr="00E83DA2">
        <w:rPr>
          <w:rFonts w:ascii="Gill Sans MT" w:hAnsi="Gill Sans MT"/>
          <w:i/>
        </w:rPr>
        <w:t xml:space="preserve">Tasmanian Urban Passenger Transport Framework </w:t>
      </w:r>
      <w:r w:rsidRPr="00E83DA2">
        <w:rPr>
          <w:rFonts w:ascii="Gill Sans MT" w:hAnsi="Gill Sans MT"/>
        </w:rPr>
        <w:t xml:space="preserve">and the </w:t>
      </w:r>
      <w:r w:rsidRPr="00E83DA2">
        <w:rPr>
          <w:rFonts w:ascii="Gill Sans MT" w:hAnsi="Gill Sans MT"/>
          <w:i/>
        </w:rPr>
        <w:t>Tasmanian Walking and Cycling for Active Transport Strategy</w:t>
      </w:r>
      <w:r w:rsidRPr="00E83DA2">
        <w:rPr>
          <w:rFonts w:ascii="Gill Sans MT" w:hAnsi="Gill Sans MT"/>
        </w:rPr>
        <w:t xml:space="preserve"> together detail the benefits of integrating transport and land use planning to achieve this aim. By planning for improved convenience and increased accessibility to desired locations by means of active transport (walking and cycling) and public transport, this can result in a decreased need for car travel, and consequently a decrease in the total travel time required.</w:t>
      </w:r>
    </w:p>
    <w:p w:rsidR="00756B53" w:rsidRPr="00E83DA2" w:rsidRDefault="00756B53" w:rsidP="00756B53">
      <w:pPr>
        <w:rPr>
          <w:rFonts w:ascii="Gill Sans MT" w:hAnsi="Gill Sans MT"/>
        </w:rPr>
      </w:pPr>
      <w:r w:rsidRPr="00E83DA2">
        <w:rPr>
          <w:rFonts w:ascii="Gill Sans MT" w:hAnsi="Gill Sans MT"/>
        </w:rPr>
        <w:t xml:space="preserve">Tasmania has a bus-based urban public transport system, with limited services in rural and regional areas. In 2010-11, 10.55 million trips were made on Metro bus services in Tasmania; 1.94 million of these were for Greater Launceston. Additional bus services are scheduled through major regional centres within the Region by private bus operators. </w:t>
      </w:r>
    </w:p>
    <w:p w:rsidR="00756B53" w:rsidRPr="00E83DA2" w:rsidRDefault="00756B53" w:rsidP="00756B53">
      <w:pPr>
        <w:pStyle w:val="Heading3"/>
      </w:pPr>
      <w:bookmarkStart w:id="191" w:name="_Toc332114135"/>
      <w:bookmarkStart w:id="192" w:name="_Toc332115710"/>
      <w:bookmarkStart w:id="193" w:name="_Toc332115801"/>
      <w:r w:rsidRPr="00E83DA2">
        <w:t>Rail Network</w:t>
      </w:r>
      <w:bookmarkEnd w:id="191"/>
      <w:bookmarkEnd w:id="192"/>
      <w:bookmarkEnd w:id="193"/>
    </w:p>
    <w:p w:rsidR="00756B53" w:rsidRPr="00E83DA2" w:rsidRDefault="00756B53" w:rsidP="00756B53">
      <w:pPr>
        <w:rPr>
          <w:rFonts w:ascii="Gill Sans MT" w:hAnsi="Gill Sans MT"/>
        </w:rPr>
      </w:pPr>
      <w:r w:rsidRPr="00E83DA2">
        <w:rPr>
          <w:rFonts w:ascii="Gill Sans MT" w:hAnsi="Gill Sans MT"/>
        </w:rPr>
        <w:t>Government investment into improving the safety and efficiency of the rail network in Tasmania is ensuring that rail remains a viable alternative to freighting goods by road. Analysis suggests that rail is up to three times more fuel efficient and generates less noise, air- and water-borne pollutants than road transport alternatives. The recent purchase of 17 new locomotives – the first of which will become active from mid 2013 – will further enhance the environmental efficiency of the rail network.</w:t>
      </w:r>
    </w:p>
    <w:p w:rsidR="00756B53" w:rsidRPr="00E83DA2" w:rsidRDefault="00756B53" w:rsidP="00756B53">
      <w:pPr>
        <w:pStyle w:val="Heading2"/>
      </w:pPr>
      <w:bookmarkStart w:id="194" w:name="_Toc332033611"/>
      <w:bookmarkStart w:id="195" w:name="_Toc332114136"/>
      <w:bookmarkStart w:id="196" w:name="_Toc332115711"/>
      <w:bookmarkStart w:id="197" w:name="_Toc332115802"/>
      <w:r w:rsidRPr="00E83DA2">
        <w:t>Air pollution and greenhouse gas emissions</w:t>
      </w:r>
      <w:bookmarkEnd w:id="194"/>
      <w:bookmarkEnd w:id="195"/>
      <w:bookmarkEnd w:id="196"/>
      <w:bookmarkEnd w:id="197"/>
    </w:p>
    <w:p w:rsidR="00756B53" w:rsidRPr="00E83DA2" w:rsidRDefault="00756B53" w:rsidP="00756B53">
      <w:pPr>
        <w:rPr>
          <w:rFonts w:ascii="Gill Sans MT" w:hAnsi="Gill Sans MT"/>
        </w:rPr>
      </w:pPr>
      <w:r w:rsidRPr="00E83DA2">
        <w:rPr>
          <w:rFonts w:ascii="Gill Sans MT" w:hAnsi="Gill Sans MT"/>
        </w:rPr>
        <w:t>Motor vehicles are the primary source of five of the six major air pollutants: carbon monoxide, nitrogen dioxide, ozone, lead and particulates. The age and condition of a vehicle, along with frequent stop-start traffic conditions, plays a significant role in the levels of greenhouse gas emissions produced. Tasmania has the oldest fleet of motor vehicles in the country: In 2011, around 56% of passenger vehicles in the Region were over 10 years of age, wit</w:t>
      </w:r>
      <w:r w:rsidR="00F840B4">
        <w:rPr>
          <w:rFonts w:ascii="Gill Sans MT" w:hAnsi="Gill Sans MT"/>
        </w:rPr>
        <w:t>h nearly a third over 15 years.</w:t>
      </w:r>
      <w:r w:rsidRPr="00E83DA2">
        <w:rPr>
          <w:rFonts w:ascii="Gill Sans MT" w:hAnsi="Gill Sans MT"/>
        </w:rPr>
        <w:t xml:space="preserve"> Significant technological advances into cleaner vehicle emissions has occurred over the last decade; a lack in uptake of this technology, seen through the number of older vehicles still on Tasmanian </w:t>
      </w:r>
      <w:r w:rsidRPr="00E83DA2">
        <w:rPr>
          <w:rFonts w:ascii="Gill Sans MT" w:hAnsi="Gill Sans MT"/>
        </w:rPr>
        <w:lastRenderedPageBreak/>
        <w:t xml:space="preserve">roads, has resulted in a continual rise in transport-produced emissions, with transport responsible for a fifth of the State’s total greenhouse gas emissions. </w:t>
      </w:r>
      <w:r w:rsidRPr="00E83DA2">
        <w:rPr>
          <w:rFonts w:ascii="Gill Sans MT" w:hAnsi="Gill Sans MT"/>
          <w:color w:val="FF0000"/>
        </w:rPr>
        <w:t xml:space="preserve"> </w:t>
      </w:r>
    </w:p>
    <w:p w:rsidR="00756B53" w:rsidRPr="00E83DA2" w:rsidRDefault="008F0359" w:rsidP="00756B53">
      <w:pPr>
        <w:jc w:val="center"/>
        <w:rPr>
          <w:rFonts w:ascii="Gill Sans MT" w:hAnsi="Gill Sans MT"/>
        </w:rPr>
      </w:pPr>
      <w:r>
        <w:rPr>
          <w:rFonts w:ascii="Gill Sans MT" w:hAnsi="Gill Sans MT"/>
          <w:noProof/>
          <w:lang w:eastAsia="en-AU"/>
        </w:rPr>
        <w:pict>
          <v:group id="_x0000_s1185" style="position:absolute;left:0;text-align:left;margin-left:340.5pt;margin-top:138pt;width:6.75pt;height:66.2pt;z-index:251663872" coordorigin="8235,4216" coordsize="135,1324">
            <v:shape id="_x0000_s1186" type="#_x0000_t32" style="position:absolute;left:8235;top:5330;width:105;height:45;flip:y" o:connectortype="straight" strokeweight="1pt"/>
            <v:shape id="_x0000_s1187" type="#_x0000_t32" style="position:absolute;left:8235;top:5465;width:105;height:75" o:connectortype="straight" strokeweight="1pt"/>
            <v:shape id="_x0000_s1188" type="#_x0000_t32" style="position:absolute;left:8235;top:5135;width:105;height:45;flip:y" o:connectortype="straight" strokeweight="1pt"/>
            <v:shape id="_x0000_s1189" type="#_x0000_t32" style="position:absolute;left:8235;top:4216;width:135;height:1" o:connectortype="straight" strokeweight="1pt"/>
          </v:group>
        </w:pict>
      </w:r>
      <w:r w:rsidR="00756B53" w:rsidRPr="00E83DA2">
        <w:rPr>
          <w:rFonts w:ascii="Gill Sans MT" w:hAnsi="Gill Sans MT"/>
          <w:noProof/>
          <w:lang w:eastAsia="en-AU"/>
        </w:rPr>
        <w:drawing>
          <wp:inline distT="0" distB="0" distL="0" distR="0">
            <wp:extent cx="5486400" cy="3200400"/>
            <wp:effectExtent l="19050" t="0" r="19050" b="0"/>
            <wp:docPr id="9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A2E3C" w:rsidRPr="008A2E3C" w:rsidRDefault="008A2E3C" w:rsidP="008A2E3C">
      <w:pPr>
        <w:rPr>
          <w:rFonts w:ascii="Gill Sans MT" w:hAnsi="Gill Sans MT"/>
          <w:b/>
        </w:rPr>
      </w:pPr>
      <w:proofErr w:type="gramStart"/>
      <w:r w:rsidRPr="008A2E3C">
        <w:rPr>
          <w:rFonts w:ascii="Gill Sans MT" w:hAnsi="Gill Sans MT"/>
          <w:b/>
          <w:i/>
        </w:rPr>
        <w:t xml:space="preserve">Figure </w:t>
      </w:r>
      <w:r w:rsidR="00666BF3">
        <w:rPr>
          <w:rFonts w:ascii="Gill Sans MT" w:hAnsi="Gill Sans MT"/>
          <w:b/>
          <w:i/>
        </w:rPr>
        <w:t>40</w:t>
      </w:r>
      <w:r w:rsidRPr="008A2E3C">
        <w:rPr>
          <w:rFonts w:ascii="Gill Sans MT" w:hAnsi="Gill Sans MT"/>
          <w:b/>
        </w:rPr>
        <w:t>.</w:t>
      </w:r>
      <w:proofErr w:type="gramEnd"/>
      <w:r w:rsidRPr="008A2E3C">
        <w:rPr>
          <w:rFonts w:ascii="Gill Sans MT" w:hAnsi="Gill Sans MT"/>
          <w:b/>
        </w:rPr>
        <w:t xml:space="preserve"> Total greenhouse gas emissions for Tasmania, 2009/10. </w:t>
      </w:r>
      <w:r w:rsidRPr="008A2E3C">
        <w:rPr>
          <w:rFonts w:ascii="Gill Sans MT" w:hAnsi="Gill Sans MT"/>
          <w:i/>
        </w:rPr>
        <w:t>Source: State and Territory Greenhouse Gas Inventories 2009/10</w:t>
      </w:r>
      <w:r>
        <w:rPr>
          <w:rFonts w:ascii="Gill Sans MT" w:hAnsi="Gill Sans MT"/>
          <w:i/>
        </w:rPr>
        <w:t>.</w:t>
      </w:r>
    </w:p>
    <w:p w:rsidR="00756B53" w:rsidRPr="00E83DA2" w:rsidRDefault="00756B53" w:rsidP="00756B53">
      <w:pPr>
        <w:pStyle w:val="Heading2"/>
      </w:pPr>
      <w:bookmarkStart w:id="198" w:name="_Toc332033612"/>
      <w:bookmarkStart w:id="199" w:name="_Toc332114137"/>
      <w:bookmarkStart w:id="200" w:name="_Toc332115712"/>
      <w:bookmarkStart w:id="201" w:name="_Toc332115803"/>
      <w:r w:rsidRPr="00E83DA2">
        <w:t>Oil price vulnerability</w:t>
      </w:r>
      <w:bookmarkEnd w:id="198"/>
      <w:bookmarkEnd w:id="199"/>
      <w:bookmarkEnd w:id="200"/>
      <w:bookmarkEnd w:id="201"/>
    </w:p>
    <w:p w:rsidR="00756B53" w:rsidRPr="00E83DA2" w:rsidRDefault="00756B53" w:rsidP="00756B53">
      <w:pPr>
        <w:rPr>
          <w:rFonts w:ascii="Gill Sans MT" w:hAnsi="Gill Sans MT"/>
        </w:rPr>
      </w:pPr>
      <w:r w:rsidRPr="00E83DA2">
        <w:rPr>
          <w:rFonts w:ascii="Gill Sans MT" w:hAnsi="Gill Sans MT"/>
        </w:rPr>
        <w:t>An independent study was commissioned by the Tasmanian Government into the vulnerability of the Tasmanian economy to world oil price variability. It acknowledges that an increase in the price of oil will shift through the economy via increases in the prices of fuel and transport margins, but that the Tasmanian economy is considerably well-structured to respond. Nonetheless, it will have noticeable impacts on the costs of using transport – for the movement of both freight and people – highlighting the continuing importance for increasing a shift from fuel-intensive to more sustainable methods of transportation.</w:t>
      </w:r>
    </w:p>
    <w:p w:rsidR="00756B53" w:rsidRPr="00E83DA2" w:rsidRDefault="00756B53" w:rsidP="00756B53">
      <w:pPr>
        <w:pStyle w:val="Heading2"/>
      </w:pPr>
      <w:bookmarkStart w:id="202" w:name="_Toc332033613"/>
      <w:bookmarkStart w:id="203" w:name="_Toc332114138"/>
      <w:bookmarkStart w:id="204" w:name="_Toc332115713"/>
      <w:bookmarkStart w:id="205" w:name="_Toc332115804"/>
      <w:r w:rsidRPr="00E83DA2">
        <w:t>Noise pollution</w:t>
      </w:r>
      <w:bookmarkEnd w:id="202"/>
      <w:bookmarkEnd w:id="203"/>
      <w:bookmarkEnd w:id="204"/>
      <w:bookmarkEnd w:id="205"/>
    </w:p>
    <w:p w:rsidR="00756B53" w:rsidRPr="00E83DA2" w:rsidRDefault="00756B53" w:rsidP="00756B53">
      <w:pPr>
        <w:pStyle w:val="TNSBody"/>
        <w:ind w:left="0"/>
        <w:jc w:val="left"/>
        <w:rPr>
          <w:rFonts w:ascii="Gill Sans MT" w:hAnsi="Gill Sans MT" w:cstheme="minorHAnsi"/>
        </w:rPr>
      </w:pPr>
      <w:r w:rsidRPr="00E83DA2">
        <w:rPr>
          <w:rFonts w:ascii="Gill Sans MT" w:hAnsi="Gill Sans MT" w:cstheme="minorHAnsi"/>
        </w:rPr>
        <w:t xml:space="preserve">The emission of noise that unreasonably interferes with, or is likely to unreasonably interfere with, a person's enjoyment of the environment is defined in EMPCA as ‘environmental nuisance.’ While overall traffic volumes remain low in Tasmania, they are growing with steady increases to both total and average distances travelled. As traffic volumes have increased, both the number of individuals potentially affected by transport-related noise and the complexity of addressing transport noise issues have increased. </w:t>
      </w:r>
    </w:p>
    <w:p w:rsidR="00756B53" w:rsidRPr="00E83DA2" w:rsidRDefault="00756B53" w:rsidP="00756B53">
      <w:pPr>
        <w:pStyle w:val="TNSBody"/>
        <w:ind w:left="0"/>
        <w:jc w:val="left"/>
        <w:rPr>
          <w:rFonts w:ascii="Gill Sans MT" w:hAnsi="Gill Sans MT" w:cstheme="minorHAnsi"/>
        </w:rPr>
      </w:pPr>
      <w:r w:rsidRPr="00E83DA2">
        <w:rPr>
          <w:rFonts w:ascii="Gill Sans MT" w:hAnsi="Gill Sans MT" w:cstheme="minorHAnsi"/>
        </w:rPr>
        <w:t>Some noise-related transport issues include:</w:t>
      </w:r>
    </w:p>
    <w:p w:rsidR="00756B53" w:rsidRPr="00E83DA2" w:rsidRDefault="00756B53" w:rsidP="008A2E3C">
      <w:pPr>
        <w:pStyle w:val="TNSBullet"/>
        <w:ind w:left="426"/>
        <w:rPr>
          <w:rFonts w:ascii="Gill Sans MT" w:hAnsi="Gill Sans MT" w:cstheme="minorHAnsi"/>
        </w:rPr>
      </w:pPr>
      <w:r w:rsidRPr="00E83DA2">
        <w:rPr>
          <w:rFonts w:ascii="Gill Sans MT" w:hAnsi="Gill Sans MT" w:cstheme="minorHAnsi"/>
        </w:rPr>
        <w:t>An extensive, substantially mature road network.</w:t>
      </w:r>
    </w:p>
    <w:p w:rsidR="00756B53" w:rsidRPr="00E83DA2" w:rsidRDefault="00756B53" w:rsidP="008A2E3C">
      <w:pPr>
        <w:pStyle w:val="TNSBullet"/>
        <w:ind w:left="426"/>
        <w:rPr>
          <w:rFonts w:ascii="Gill Sans MT" w:hAnsi="Gill Sans MT" w:cstheme="minorHAnsi"/>
        </w:rPr>
      </w:pPr>
      <w:r w:rsidRPr="00E83DA2">
        <w:rPr>
          <w:rFonts w:ascii="Gill Sans MT" w:hAnsi="Gill Sans MT" w:cstheme="minorHAnsi"/>
        </w:rPr>
        <w:t xml:space="preserve">Historic and continued development of residential areas along key transport corridors. </w:t>
      </w:r>
    </w:p>
    <w:p w:rsidR="00756B53" w:rsidRPr="00E83DA2" w:rsidRDefault="00756B53" w:rsidP="008A2E3C">
      <w:pPr>
        <w:pStyle w:val="TNSBullet"/>
        <w:ind w:left="426"/>
        <w:rPr>
          <w:rFonts w:ascii="Gill Sans MT" w:hAnsi="Gill Sans MT" w:cstheme="minorHAnsi"/>
        </w:rPr>
      </w:pPr>
      <w:r w:rsidRPr="00E83DA2">
        <w:rPr>
          <w:rFonts w:ascii="Gill Sans MT" w:hAnsi="Gill Sans MT" w:cstheme="minorHAnsi"/>
        </w:rPr>
        <w:lastRenderedPageBreak/>
        <w:t>Location of major freight routes through urban areas, including the East Tamar Highway, Frankford-</w:t>
      </w:r>
      <w:proofErr w:type="spellStart"/>
      <w:r w:rsidRPr="00E83DA2">
        <w:rPr>
          <w:rFonts w:ascii="Gill Sans MT" w:hAnsi="Gill Sans MT" w:cstheme="minorHAnsi"/>
        </w:rPr>
        <w:t>Birralee</w:t>
      </w:r>
      <w:proofErr w:type="spellEnd"/>
      <w:r w:rsidRPr="00E83DA2">
        <w:rPr>
          <w:rFonts w:ascii="Gill Sans MT" w:hAnsi="Gill Sans MT" w:cstheme="minorHAnsi"/>
        </w:rPr>
        <w:t>-Batman corridor, and Wellington-</w:t>
      </w:r>
      <w:proofErr w:type="spellStart"/>
      <w:r w:rsidRPr="00E83DA2">
        <w:rPr>
          <w:rFonts w:ascii="Gill Sans MT" w:hAnsi="Gill Sans MT" w:cstheme="minorHAnsi"/>
        </w:rPr>
        <w:t>Bathurst</w:t>
      </w:r>
      <w:proofErr w:type="spellEnd"/>
      <w:r w:rsidRPr="00E83DA2">
        <w:rPr>
          <w:rFonts w:ascii="Gill Sans MT" w:hAnsi="Gill Sans MT" w:cstheme="minorHAnsi"/>
        </w:rPr>
        <w:t xml:space="preserve"> couplet. </w:t>
      </w:r>
    </w:p>
    <w:p w:rsidR="00756B53" w:rsidRPr="00E83DA2" w:rsidRDefault="00756B53" w:rsidP="008A2E3C">
      <w:pPr>
        <w:pStyle w:val="TNSBullet"/>
        <w:ind w:left="426"/>
        <w:rPr>
          <w:rFonts w:ascii="Gill Sans MT" w:hAnsi="Gill Sans MT" w:cstheme="minorHAnsi"/>
        </w:rPr>
      </w:pPr>
      <w:r w:rsidRPr="00E83DA2">
        <w:rPr>
          <w:rFonts w:ascii="Gill Sans MT" w:hAnsi="Gill Sans MT" w:cstheme="minorHAnsi"/>
        </w:rPr>
        <w:t xml:space="preserve">Location of industrial areas in or adjacent to urban areas. </w:t>
      </w:r>
    </w:p>
    <w:p w:rsidR="00756B53" w:rsidRPr="00E83DA2" w:rsidRDefault="00756B53" w:rsidP="008A2E3C">
      <w:pPr>
        <w:pStyle w:val="TNSBullet"/>
        <w:ind w:left="426"/>
        <w:rPr>
          <w:rFonts w:ascii="Gill Sans MT" w:hAnsi="Gill Sans MT" w:cstheme="minorHAnsi"/>
        </w:rPr>
      </w:pPr>
      <w:r w:rsidRPr="00E83DA2">
        <w:rPr>
          <w:rFonts w:ascii="Gill Sans MT" w:hAnsi="Gill Sans MT" w:cstheme="minorHAnsi"/>
        </w:rPr>
        <w:t>An ageing vehicle fleet – Tasmania has one of the oldest vehicle fleets in Australia – resulting in generally noisier cars.</w:t>
      </w:r>
    </w:p>
    <w:p w:rsidR="00756B53" w:rsidRPr="00E83DA2" w:rsidRDefault="00756B53" w:rsidP="00756B53">
      <w:pPr>
        <w:pStyle w:val="TNSBody"/>
        <w:ind w:left="0"/>
        <w:jc w:val="left"/>
        <w:rPr>
          <w:rFonts w:ascii="Gill Sans MT" w:hAnsi="Gill Sans MT" w:cstheme="minorHAnsi"/>
        </w:rPr>
      </w:pPr>
      <w:r w:rsidRPr="00E83DA2">
        <w:rPr>
          <w:rFonts w:ascii="Gill Sans MT" w:hAnsi="Gill Sans MT" w:cstheme="minorHAnsi"/>
          <w:iCs/>
          <w:szCs w:val="22"/>
        </w:rPr>
        <w:t>Minimising road noise is a complex, costly and challenging process. Many of Tasmania’s strategic roads are located in built-up areas, where both the road network and adjacent land uses are established but largely incompatible.</w:t>
      </w:r>
      <w:r w:rsidRPr="00E83DA2">
        <w:rPr>
          <w:rFonts w:ascii="Gill Sans MT" w:hAnsi="Gill Sans MT" w:cstheme="minorHAnsi"/>
        </w:rPr>
        <w:t xml:space="preserve"> By identifying roads that will take higher volumes of general traffic or higher volumes of freight according to a strategic hierarchy, the State Road Network prioritises roads that are likely to have higher noise levels, such as corridors and arterial roads, within future and existing urban arrangements.</w:t>
      </w:r>
    </w:p>
    <w:p w:rsidR="00756B53" w:rsidRPr="00E83DA2" w:rsidRDefault="00756B53" w:rsidP="00756B53">
      <w:pPr>
        <w:autoSpaceDE w:val="0"/>
        <w:autoSpaceDN w:val="0"/>
        <w:adjustRightInd w:val="0"/>
        <w:spacing w:after="0" w:line="240" w:lineRule="auto"/>
        <w:rPr>
          <w:rFonts w:ascii="Gill Sans MT" w:hAnsi="Gill Sans MT"/>
        </w:rPr>
      </w:pPr>
      <w:r w:rsidRPr="00E83DA2">
        <w:rPr>
          <w:rFonts w:ascii="Gill Sans MT" w:hAnsi="Gill Sans MT"/>
        </w:rPr>
        <w:t xml:space="preserve">The State Road Noise Strategy, released in June 2011 by DIER, </w:t>
      </w:r>
      <w:r w:rsidRPr="00E83DA2">
        <w:rPr>
          <w:rFonts w:ascii="Gill Sans MT" w:hAnsi="Gill Sans MT" w:cs="Arial"/>
        </w:rPr>
        <w:t xml:space="preserve">provides </w:t>
      </w:r>
      <w:r w:rsidRPr="00E83DA2">
        <w:rPr>
          <w:rFonts w:ascii="Gill Sans MT" w:hAnsi="Gill Sans MT" w:cstheme="minorHAnsi"/>
        </w:rPr>
        <w:t xml:space="preserve">a </w:t>
      </w:r>
      <w:r w:rsidRPr="00E83DA2">
        <w:rPr>
          <w:rFonts w:ascii="Gill Sans MT" w:hAnsi="Gill Sans MT" w:cstheme="minorHAnsi"/>
          <w:lang w:eastAsia="en-AU"/>
        </w:rPr>
        <w:t xml:space="preserve">framework to better understand and reduce community exposure to transport-related noise through </w:t>
      </w:r>
      <w:r w:rsidRPr="00E83DA2">
        <w:rPr>
          <w:rFonts w:ascii="Gill Sans MT" w:hAnsi="Gill Sans MT" w:cs="Arial"/>
        </w:rPr>
        <w:t xml:space="preserve">high-level policy and planning </w:t>
      </w:r>
      <w:r w:rsidRPr="00E83DA2">
        <w:rPr>
          <w:rFonts w:ascii="Gill Sans MT" w:hAnsi="Gill Sans MT" w:cstheme="minorHAnsi"/>
        </w:rPr>
        <w:t xml:space="preserve">guidance on the impacts of road noise and strategies for ameliorating increasing levels of noise exposure. </w:t>
      </w:r>
    </w:p>
    <w:p w:rsidR="00756B53" w:rsidRPr="00E83DA2" w:rsidRDefault="00756B53" w:rsidP="00756B53">
      <w:pPr>
        <w:rPr>
          <w:rFonts w:ascii="Gill Sans MT" w:hAnsi="Gill Sans MT"/>
        </w:rPr>
      </w:pPr>
    </w:p>
    <w:p w:rsidR="00756B53" w:rsidRPr="00E83DA2" w:rsidRDefault="00756B53" w:rsidP="00756B53">
      <w:pPr>
        <w:pStyle w:val="Heading2"/>
      </w:pPr>
      <w:bookmarkStart w:id="206" w:name="_Toc332033614"/>
      <w:bookmarkStart w:id="207" w:name="_Toc332114139"/>
      <w:bookmarkStart w:id="208" w:name="_Toc332115714"/>
      <w:bookmarkStart w:id="209" w:name="_Toc332115805"/>
      <w:r w:rsidRPr="00E83DA2">
        <w:t>Land use and development</w:t>
      </w:r>
      <w:bookmarkEnd w:id="206"/>
      <w:bookmarkEnd w:id="207"/>
      <w:bookmarkEnd w:id="208"/>
      <w:bookmarkEnd w:id="209"/>
    </w:p>
    <w:p w:rsidR="00756B53" w:rsidRPr="00E83DA2" w:rsidRDefault="00756B53" w:rsidP="00756B53">
      <w:pPr>
        <w:rPr>
          <w:rFonts w:ascii="Gill Sans MT" w:hAnsi="Gill Sans MT"/>
        </w:rPr>
      </w:pPr>
      <w:r w:rsidRPr="00E83DA2">
        <w:rPr>
          <w:rFonts w:ascii="Gill Sans MT" w:hAnsi="Gill Sans MT" w:cs="Lucida Grande"/>
          <w:color w:val="000000"/>
        </w:rPr>
        <w:t xml:space="preserve">Industries that rely directly on the natural environment make up a significant component of the Northern Region’s economy.  </w:t>
      </w:r>
      <w:r w:rsidRPr="00E83DA2">
        <w:rPr>
          <w:rFonts w:ascii="Gill Sans MT" w:hAnsi="Gill Sans MT"/>
        </w:rPr>
        <w:t>The Regional Land Use Strategy of Northern Tasmania outlines the importance of planning future developments that are consistent with the environmental integrity of the Region’s landscape and resources. Yet, it also acknowledges that sustainable development and environmental resilience are the cornerstones of human health, social equity and the overall sense of liveability: ongoing environmental consideration through better integration of land use planning with the transport network can improve each of these aspects of human society.</w:t>
      </w:r>
    </w:p>
    <w:p w:rsidR="00756B53" w:rsidRPr="00E83DA2" w:rsidRDefault="00756B53" w:rsidP="00756B53">
      <w:pPr>
        <w:rPr>
          <w:rFonts w:ascii="Gill Sans MT" w:hAnsi="Gill Sans MT"/>
        </w:rPr>
      </w:pPr>
      <w:r w:rsidRPr="00E83DA2">
        <w:rPr>
          <w:rFonts w:ascii="Gill Sans MT" w:hAnsi="Gill Sans MT"/>
        </w:rPr>
        <w:t>Key objectives for addressing environmental issues through land use planning can be summarised as:</w:t>
      </w:r>
    </w:p>
    <w:p w:rsidR="00756B53" w:rsidRPr="00E83DA2" w:rsidRDefault="00756B53" w:rsidP="008A2E3C">
      <w:pPr>
        <w:pStyle w:val="ListParagraph"/>
        <w:numPr>
          <w:ilvl w:val="0"/>
          <w:numId w:val="95"/>
        </w:numPr>
        <w:ind w:left="426"/>
        <w:rPr>
          <w:rFonts w:ascii="Gill Sans MT" w:hAnsi="Gill Sans MT"/>
        </w:rPr>
      </w:pPr>
      <w:r w:rsidRPr="00E83DA2">
        <w:rPr>
          <w:rFonts w:ascii="Gill Sans MT" w:hAnsi="Gill Sans MT"/>
        </w:rPr>
        <w:t>Considering the potential impacts of climate change on current land use and future development;</w:t>
      </w:r>
    </w:p>
    <w:p w:rsidR="00756B53" w:rsidRPr="00E83DA2" w:rsidRDefault="00756B53" w:rsidP="008A2E3C">
      <w:pPr>
        <w:pStyle w:val="ListParagraph"/>
        <w:numPr>
          <w:ilvl w:val="0"/>
          <w:numId w:val="95"/>
        </w:numPr>
        <w:ind w:left="426"/>
        <w:rPr>
          <w:rFonts w:ascii="Gill Sans MT" w:hAnsi="Gill Sans MT"/>
        </w:rPr>
      </w:pPr>
      <w:r w:rsidRPr="00E83DA2">
        <w:rPr>
          <w:rFonts w:ascii="Gill Sans MT" w:hAnsi="Gill Sans MT"/>
        </w:rPr>
        <w:t>Locating new development in appropriate areas to manage noise and environmental impacts;</w:t>
      </w:r>
    </w:p>
    <w:p w:rsidR="00756B53" w:rsidRPr="00E83DA2" w:rsidRDefault="00756B53" w:rsidP="008A2E3C">
      <w:pPr>
        <w:pStyle w:val="ListParagraph"/>
        <w:numPr>
          <w:ilvl w:val="0"/>
          <w:numId w:val="95"/>
        </w:numPr>
        <w:ind w:left="426"/>
        <w:rPr>
          <w:rFonts w:ascii="Gill Sans MT" w:hAnsi="Gill Sans MT"/>
        </w:rPr>
      </w:pPr>
      <w:r w:rsidRPr="00E83DA2">
        <w:rPr>
          <w:rFonts w:ascii="Gill Sans MT" w:hAnsi="Gill Sans MT"/>
        </w:rPr>
        <w:t>The need for design that supports and encourages increasing levels of walking and cycling;</w:t>
      </w:r>
    </w:p>
    <w:p w:rsidR="00756B53" w:rsidRPr="00E83DA2" w:rsidRDefault="00756B53" w:rsidP="008A2E3C">
      <w:pPr>
        <w:pStyle w:val="ListParagraph"/>
        <w:numPr>
          <w:ilvl w:val="0"/>
          <w:numId w:val="95"/>
        </w:numPr>
        <w:ind w:left="426"/>
        <w:rPr>
          <w:rFonts w:ascii="Gill Sans MT" w:hAnsi="Gill Sans MT"/>
        </w:rPr>
      </w:pPr>
      <w:r w:rsidRPr="00E83DA2">
        <w:rPr>
          <w:rFonts w:ascii="Gill Sans MT" w:hAnsi="Gill Sans MT"/>
        </w:rPr>
        <w:t>Ensuring adequate transport options and accessibility for low socioeconomic areas;</w:t>
      </w:r>
    </w:p>
    <w:p w:rsidR="00756B53" w:rsidRPr="00E83DA2" w:rsidRDefault="00756B53" w:rsidP="008A2E3C">
      <w:pPr>
        <w:pStyle w:val="ListParagraph"/>
        <w:numPr>
          <w:ilvl w:val="0"/>
          <w:numId w:val="95"/>
        </w:numPr>
        <w:ind w:left="426"/>
        <w:rPr>
          <w:rFonts w:ascii="Gill Sans MT" w:hAnsi="Gill Sans MT"/>
        </w:rPr>
      </w:pPr>
      <w:r w:rsidRPr="00E83DA2">
        <w:rPr>
          <w:rFonts w:ascii="Gill Sans MT" w:hAnsi="Gill Sans MT"/>
        </w:rPr>
        <w:t xml:space="preserve">Planning for more contained urban areas; and </w:t>
      </w:r>
    </w:p>
    <w:p w:rsidR="00756B53" w:rsidRPr="00E83DA2" w:rsidRDefault="00756B53" w:rsidP="008A2E3C">
      <w:pPr>
        <w:pStyle w:val="ListParagraph"/>
        <w:numPr>
          <w:ilvl w:val="0"/>
          <w:numId w:val="95"/>
        </w:numPr>
        <w:ind w:left="426"/>
        <w:rPr>
          <w:rFonts w:ascii="Gill Sans MT" w:hAnsi="Gill Sans MT"/>
        </w:rPr>
      </w:pPr>
      <w:r w:rsidRPr="00E83DA2">
        <w:rPr>
          <w:rFonts w:ascii="Gill Sans MT" w:hAnsi="Gill Sans MT"/>
        </w:rPr>
        <w:t>Continue developing technological improvements, such as travel demand modelling and Intelligent Transport Systems (ITS).</w:t>
      </w:r>
    </w:p>
    <w:p w:rsidR="007C4D68" w:rsidRDefault="007C4D68" w:rsidP="00756B53">
      <w:pPr>
        <w:rPr>
          <w:rFonts w:ascii="Gill Sans MT" w:hAnsi="Gill Sans MT"/>
        </w:rPr>
      </w:pPr>
    </w:p>
    <w:p w:rsidR="00756B53" w:rsidRPr="00E83DA2" w:rsidRDefault="00756B53" w:rsidP="00756B53">
      <w:pPr>
        <w:rPr>
          <w:rFonts w:ascii="Gill Sans MT" w:hAnsi="Gill Sans MT"/>
        </w:rPr>
      </w:pPr>
      <w:r w:rsidRPr="00E83DA2">
        <w:rPr>
          <w:rFonts w:ascii="Gill Sans MT" w:hAnsi="Gill Sans MT"/>
        </w:rPr>
        <w:lastRenderedPageBreak/>
        <w:t>The outcomes of these objectives will be to:</w:t>
      </w:r>
    </w:p>
    <w:p w:rsidR="00756B53" w:rsidRPr="00E83DA2" w:rsidRDefault="00756B53" w:rsidP="008A2E3C">
      <w:pPr>
        <w:pStyle w:val="ListParagraph"/>
        <w:numPr>
          <w:ilvl w:val="0"/>
          <w:numId w:val="21"/>
        </w:numPr>
        <w:ind w:left="426"/>
        <w:rPr>
          <w:rFonts w:ascii="Gill Sans MT" w:hAnsi="Gill Sans MT"/>
        </w:rPr>
      </w:pPr>
      <w:r w:rsidRPr="00E83DA2">
        <w:rPr>
          <w:rFonts w:ascii="Gill Sans MT" w:hAnsi="Gill Sans MT"/>
        </w:rPr>
        <w:t>Encourage the uptake of more efficient and accessible public transport facilitation;</w:t>
      </w:r>
    </w:p>
    <w:p w:rsidR="00756B53" w:rsidRPr="00E83DA2" w:rsidRDefault="00756B53" w:rsidP="008A2E3C">
      <w:pPr>
        <w:pStyle w:val="ListParagraph"/>
        <w:numPr>
          <w:ilvl w:val="0"/>
          <w:numId w:val="21"/>
        </w:numPr>
        <w:ind w:left="426"/>
        <w:rPr>
          <w:rFonts w:ascii="Gill Sans MT" w:hAnsi="Gill Sans MT"/>
        </w:rPr>
      </w:pPr>
      <w:r w:rsidRPr="00E83DA2">
        <w:rPr>
          <w:rFonts w:ascii="Gill Sans MT" w:hAnsi="Gill Sans MT"/>
        </w:rPr>
        <w:t>Provide greater connectivity between residential areas and destinations of daily activities, such as employment, schools, shopping and services;</w:t>
      </w:r>
    </w:p>
    <w:p w:rsidR="00756B53" w:rsidRPr="00E83DA2" w:rsidRDefault="00756B53" w:rsidP="008A2E3C">
      <w:pPr>
        <w:pStyle w:val="ListParagraph"/>
        <w:numPr>
          <w:ilvl w:val="0"/>
          <w:numId w:val="21"/>
        </w:numPr>
        <w:ind w:left="426"/>
        <w:rPr>
          <w:rFonts w:ascii="Gill Sans MT" w:hAnsi="Gill Sans MT"/>
        </w:rPr>
      </w:pPr>
      <w:r w:rsidRPr="00E83DA2">
        <w:rPr>
          <w:rFonts w:ascii="Gill Sans MT" w:hAnsi="Gill Sans MT"/>
        </w:rPr>
        <w:t>Reduce the necessary length of motor vehicle trips, providing more opportunity for trips to be undertaken by walking, cycling and public transport; and</w:t>
      </w:r>
    </w:p>
    <w:p w:rsidR="00756B53" w:rsidRPr="00E83DA2" w:rsidRDefault="00756B53" w:rsidP="008A2E3C">
      <w:pPr>
        <w:pStyle w:val="ListParagraph"/>
        <w:numPr>
          <w:ilvl w:val="0"/>
          <w:numId w:val="21"/>
        </w:numPr>
        <w:ind w:left="426"/>
        <w:rPr>
          <w:rFonts w:ascii="Gill Sans MT" w:hAnsi="Gill Sans MT"/>
        </w:rPr>
      </w:pPr>
      <w:r w:rsidRPr="00E83DA2">
        <w:rPr>
          <w:rFonts w:ascii="Gill Sans MT" w:hAnsi="Gill Sans MT"/>
        </w:rPr>
        <w:t>Employ more technology to improve the efficiency and capacity of current infrastructure.</w:t>
      </w:r>
    </w:p>
    <w:p w:rsidR="00756B53" w:rsidRPr="00E83DA2" w:rsidRDefault="00756B53" w:rsidP="00756B53">
      <w:pPr>
        <w:pStyle w:val="Heading2"/>
      </w:pPr>
      <w:bookmarkStart w:id="210" w:name="_Toc332033615"/>
      <w:bookmarkStart w:id="211" w:name="_Toc332114140"/>
      <w:bookmarkStart w:id="212" w:name="_Toc332115715"/>
      <w:bookmarkStart w:id="213" w:name="_Toc332115806"/>
      <w:r w:rsidRPr="00E83DA2">
        <w:t>Fauna and flora</w:t>
      </w:r>
      <w:bookmarkEnd w:id="210"/>
      <w:bookmarkEnd w:id="211"/>
      <w:bookmarkEnd w:id="212"/>
      <w:bookmarkEnd w:id="213"/>
    </w:p>
    <w:p w:rsidR="00756B53" w:rsidRPr="00E83DA2" w:rsidRDefault="00756B53" w:rsidP="00756B53">
      <w:pPr>
        <w:rPr>
          <w:rFonts w:ascii="Gill Sans MT" w:hAnsi="Gill Sans MT"/>
        </w:rPr>
      </w:pPr>
      <w:r w:rsidRPr="00E83DA2">
        <w:rPr>
          <w:rFonts w:ascii="Gill Sans MT" w:hAnsi="Gill Sans MT"/>
        </w:rPr>
        <w:t>The use and development of transport infrastructure can have significant impacts on Tasmania’s fauna and flora communities. These impacts can include:</w:t>
      </w:r>
    </w:p>
    <w:p w:rsidR="00756B53" w:rsidRPr="00E83DA2" w:rsidRDefault="00756B53" w:rsidP="008A2E3C">
      <w:pPr>
        <w:pStyle w:val="ListParagraph"/>
        <w:numPr>
          <w:ilvl w:val="0"/>
          <w:numId w:val="13"/>
        </w:numPr>
        <w:ind w:left="426"/>
        <w:rPr>
          <w:rFonts w:ascii="Gill Sans MT" w:hAnsi="Gill Sans MT"/>
        </w:rPr>
      </w:pPr>
      <w:r w:rsidRPr="00E83DA2">
        <w:rPr>
          <w:rFonts w:ascii="Gill Sans MT" w:hAnsi="Gill Sans MT"/>
          <w:b/>
        </w:rPr>
        <w:t>Roadside vegetation and habitat fragmentation</w:t>
      </w:r>
      <w:r w:rsidRPr="00E83DA2">
        <w:rPr>
          <w:rFonts w:ascii="Gill Sans MT" w:hAnsi="Gill Sans MT"/>
        </w:rPr>
        <w:t xml:space="preserve"> – The expansion of the road network can generate fragmentation in otherwise undisturbed environments. The preservation of remnant vegetation alongside road and rail corridors can be pivotal in maintaining habitat connectivity for vulnerable terrestrial and arboreal fauna, as well as in providing buffers for native plants and grasses.</w:t>
      </w:r>
    </w:p>
    <w:p w:rsidR="00756B53" w:rsidRPr="00E83DA2" w:rsidRDefault="00756B53" w:rsidP="008A2E3C">
      <w:pPr>
        <w:pStyle w:val="ListParagraph"/>
        <w:numPr>
          <w:ilvl w:val="0"/>
          <w:numId w:val="13"/>
        </w:numPr>
        <w:ind w:left="426"/>
        <w:rPr>
          <w:rFonts w:ascii="Gill Sans MT" w:hAnsi="Gill Sans MT"/>
        </w:rPr>
      </w:pPr>
      <w:r w:rsidRPr="00E83DA2">
        <w:rPr>
          <w:rFonts w:ascii="Gill Sans MT" w:hAnsi="Gill Sans MT"/>
          <w:b/>
        </w:rPr>
        <w:t xml:space="preserve">Wildlife and </w:t>
      </w:r>
      <w:proofErr w:type="spellStart"/>
      <w:r w:rsidRPr="00E83DA2">
        <w:rPr>
          <w:rFonts w:ascii="Gill Sans MT" w:hAnsi="Gill Sans MT"/>
          <w:b/>
        </w:rPr>
        <w:t>roadkill</w:t>
      </w:r>
      <w:proofErr w:type="spellEnd"/>
      <w:r w:rsidRPr="00E83DA2">
        <w:rPr>
          <w:rFonts w:ascii="Gill Sans MT" w:hAnsi="Gill Sans MT"/>
          <w:b/>
        </w:rPr>
        <w:t xml:space="preserve"> </w:t>
      </w:r>
      <w:r w:rsidRPr="00E83DA2">
        <w:rPr>
          <w:rFonts w:ascii="Gill Sans MT" w:hAnsi="Gill Sans MT"/>
        </w:rPr>
        <w:t xml:space="preserve">– Tasmania sadly has a high incident rate of </w:t>
      </w:r>
      <w:proofErr w:type="spellStart"/>
      <w:r w:rsidRPr="00E83DA2">
        <w:rPr>
          <w:rFonts w:ascii="Gill Sans MT" w:hAnsi="Gill Sans MT"/>
        </w:rPr>
        <w:t>roadkill</w:t>
      </w:r>
      <w:proofErr w:type="spellEnd"/>
      <w:r w:rsidRPr="00E83DA2">
        <w:rPr>
          <w:rFonts w:ascii="Gill Sans MT" w:hAnsi="Gill Sans MT"/>
        </w:rPr>
        <w:t xml:space="preserve">, in line with its high proportion of natural environmental settings. Measures to mitigate a significant amount of </w:t>
      </w:r>
      <w:proofErr w:type="spellStart"/>
      <w:r w:rsidRPr="00E83DA2">
        <w:rPr>
          <w:rFonts w:ascii="Gill Sans MT" w:hAnsi="Gill Sans MT"/>
        </w:rPr>
        <w:t>roadkill</w:t>
      </w:r>
      <w:proofErr w:type="spellEnd"/>
      <w:r w:rsidRPr="00E83DA2">
        <w:rPr>
          <w:rFonts w:ascii="Gill Sans MT" w:hAnsi="Gill Sans MT"/>
        </w:rPr>
        <w:t xml:space="preserve"> can include identifying high-risk areas and effecting changes in driving behaviours.</w:t>
      </w:r>
    </w:p>
    <w:p w:rsidR="00756B53" w:rsidRPr="00E83DA2" w:rsidRDefault="00756B53" w:rsidP="008A2E3C">
      <w:pPr>
        <w:pStyle w:val="ListParagraph"/>
        <w:numPr>
          <w:ilvl w:val="0"/>
          <w:numId w:val="13"/>
        </w:numPr>
        <w:ind w:left="426"/>
        <w:rPr>
          <w:rFonts w:ascii="Gill Sans MT" w:hAnsi="Gill Sans MT"/>
        </w:rPr>
      </w:pPr>
      <w:r w:rsidRPr="00E83DA2">
        <w:rPr>
          <w:rFonts w:ascii="Gill Sans MT" w:hAnsi="Gill Sans MT"/>
          <w:b/>
        </w:rPr>
        <w:t xml:space="preserve">Spread of weeds and invasive species – </w:t>
      </w:r>
      <w:r w:rsidRPr="00E83DA2">
        <w:rPr>
          <w:rFonts w:ascii="Gill Sans MT" w:hAnsi="Gill Sans MT"/>
        </w:rPr>
        <w:t>Transport corridors are also corridors for the spread of invasive plants and animals. Vehicle movements further compound this problem by transmitting and relocating seeds and pollen over vast distances in very short periods of time. Quarantine is also of considerable focus given the geographic isolation of Tasmania as an island state.</w:t>
      </w:r>
    </w:p>
    <w:p w:rsidR="00756B53" w:rsidRPr="00E83DA2" w:rsidRDefault="00756B53" w:rsidP="008A2E3C">
      <w:pPr>
        <w:pStyle w:val="ListParagraph"/>
        <w:numPr>
          <w:ilvl w:val="0"/>
          <w:numId w:val="13"/>
        </w:numPr>
        <w:ind w:left="426"/>
        <w:rPr>
          <w:rFonts w:ascii="Gill Sans MT" w:hAnsi="Gill Sans MT"/>
        </w:rPr>
      </w:pPr>
      <w:r w:rsidRPr="00E83DA2">
        <w:rPr>
          <w:rFonts w:ascii="Gill Sans MT" w:hAnsi="Gill Sans MT"/>
          <w:b/>
        </w:rPr>
        <w:t>Run-off –</w:t>
      </w:r>
      <w:r w:rsidRPr="00E83DA2">
        <w:rPr>
          <w:rFonts w:ascii="Gill Sans MT" w:hAnsi="Gill Sans MT"/>
        </w:rPr>
        <w:t xml:space="preserve"> Roads accumulate nutrients and heavy metals that are washed into waterways following rain, causing pollution and possible </w:t>
      </w:r>
      <w:proofErr w:type="spellStart"/>
      <w:r w:rsidRPr="00E83DA2">
        <w:rPr>
          <w:rFonts w:ascii="Gill Sans MT" w:hAnsi="Gill Sans MT"/>
        </w:rPr>
        <w:t>eutrophication</w:t>
      </w:r>
      <w:proofErr w:type="spellEnd"/>
      <w:r w:rsidRPr="00E83DA2">
        <w:rPr>
          <w:rFonts w:ascii="Gill Sans MT" w:hAnsi="Gill Sans MT"/>
        </w:rPr>
        <w:t xml:space="preserve"> of waterways.</w:t>
      </w:r>
    </w:p>
    <w:p w:rsidR="00756B53" w:rsidRPr="00E83DA2" w:rsidRDefault="00756B53" w:rsidP="00756B53">
      <w:pPr>
        <w:rPr>
          <w:rFonts w:ascii="Gill Sans MT" w:hAnsi="Gill Sans MT"/>
        </w:rPr>
      </w:pPr>
      <w:r w:rsidRPr="00E83DA2">
        <w:rPr>
          <w:rFonts w:ascii="Gill Sans MT" w:hAnsi="Gill Sans MT"/>
        </w:rPr>
        <w:t xml:space="preserve">The environmental impacts of roads are considered in the design and implementation phases of all road projects. Where possible, road design is modified to minimise or mitigate impacts to known environmental values, and offsets are applied as needed. DIER maintains a road information database system (RIMS) which identifies locations of significant environmental value within the State Road network, and this is used in conjunction with detailed environmental specifications and standards which ensure the highest level of environmental compliance in the development of road infrastructure and works. </w:t>
      </w:r>
    </w:p>
    <w:p w:rsidR="00756B53" w:rsidRPr="00E83DA2" w:rsidRDefault="00756B53" w:rsidP="00756B53">
      <w:pPr>
        <w:pStyle w:val="Heading2"/>
      </w:pPr>
      <w:bookmarkStart w:id="214" w:name="_Toc332033616"/>
      <w:bookmarkStart w:id="215" w:name="_Toc332114141"/>
      <w:bookmarkStart w:id="216" w:name="_Toc332115716"/>
      <w:bookmarkStart w:id="217" w:name="_Toc332115807"/>
      <w:r w:rsidRPr="00E83DA2">
        <w:lastRenderedPageBreak/>
        <w:t>Climate Change</w:t>
      </w:r>
      <w:bookmarkEnd w:id="214"/>
      <w:bookmarkEnd w:id="215"/>
      <w:bookmarkEnd w:id="216"/>
      <w:bookmarkEnd w:id="217"/>
    </w:p>
    <w:p w:rsidR="00756B53" w:rsidRPr="00E83DA2" w:rsidRDefault="00756B53" w:rsidP="00756B53">
      <w:pPr>
        <w:rPr>
          <w:rFonts w:ascii="Gill Sans MT" w:hAnsi="Gill Sans MT"/>
        </w:rPr>
      </w:pPr>
      <w:r w:rsidRPr="00E83DA2">
        <w:rPr>
          <w:rFonts w:ascii="Gill Sans MT" w:hAnsi="Gill Sans MT"/>
        </w:rPr>
        <w:t>While Tasmania will be better positioned to weather</w:t>
      </w:r>
      <w:r w:rsidRPr="00E83DA2">
        <w:rPr>
          <w:rFonts w:ascii="Gill Sans MT" w:hAnsi="Gill Sans MT"/>
          <w:color w:val="FF0000"/>
        </w:rPr>
        <w:t xml:space="preserve"> </w:t>
      </w:r>
      <w:r w:rsidRPr="00E83DA2">
        <w:rPr>
          <w:rFonts w:ascii="Gill Sans MT" w:hAnsi="Gill Sans MT"/>
        </w:rPr>
        <w:t>the effects of climate change, it will not remain completely immune. Expected increases in extreme rainfall events, sea level rise and higher temperatures will all impact on Tasmania’s transport infrastructure and the communities it connects. Ongoing maintenance and planning for climate change adaptation can reduce the strain on road, rail and bridge infrastructure to keep Tasmanians moving. Adaptation for many of the impacts of climate change are already accounted for in the planning and maintenance of transport infrastructure, and the Tasmanian Climate Change Office is currently developing detailed analysis of the future direction Government should take towards climate change adaptation.</w:t>
      </w:r>
    </w:p>
    <w:p w:rsidR="00756B53" w:rsidRPr="00E83DA2" w:rsidRDefault="00756B53" w:rsidP="00756B53">
      <w:pPr>
        <w:rPr>
          <w:rFonts w:ascii="Gill Sans MT" w:hAnsi="Gill Sans MT"/>
        </w:rPr>
      </w:pPr>
      <w:r w:rsidRPr="00E83DA2">
        <w:rPr>
          <w:rFonts w:ascii="Gill Sans MT" w:hAnsi="Gill Sans MT"/>
        </w:rPr>
        <w:t>Transport, communications, energy, water, emergency services and social infrastructure (such as schools and hospitals) are vulnerable to the long-term impacts of climate change. With 75 per cent of the population currently living in coastal areas, Tasmanian settlements are vulnerable to both current and future risks including the impacts of storm surge, coastal erosion and sea level rise. Extreme rainfall events and associated flash flooding, which are predicted to increase in frequency and intensity with climate change, may cause significant damage to bridge and road infrastructure. Roads and rail networks may also be threatened by higher temperatures, which may damage bitumen or buckle railway lines.</w:t>
      </w:r>
    </w:p>
    <w:p w:rsidR="00756B53" w:rsidRPr="00E83DA2" w:rsidRDefault="00756B53" w:rsidP="00756B53">
      <w:pPr>
        <w:rPr>
          <w:rFonts w:ascii="Gill Sans MT" w:hAnsi="Gill Sans MT"/>
        </w:rPr>
      </w:pPr>
      <w:r w:rsidRPr="00E83DA2">
        <w:rPr>
          <w:rFonts w:ascii="Gill Sans MT" w:hAnsi="Gill Sans MT"/>
        </w:rPr>
        <w:t>The Tasmanian Coastal Adaptation Decision Pathways (TCAP) project, lead by the Tasmanian Climate Change Office, aims to tackle some of these difficulties and significantly improve the ability of Tasmanian communities and decision-makers to adapt to climate change. The project explores the types of realistic options available to councils and communities when tackling the localised effects of climate change, and to then plan and respond appropriately to likely future scenarios in their area. St. Helens, in Break O’Day Council, has been one of four focus areas for the project. The project will use climate change and coastal hazard risk assessments, along with hazard mapping currently underway. These assessments will factor in local differences and run through a process that will give the participating communities and government some realistic options for action with an indication of likely costs.</w:t>
      </w:r>
    </w:p>
    <w:p w:rsidR="00756B53" w:rsidRPr="00E83DA2" w:rsidRDefault="00756B53" w:rsidP="00756B53">
      <w:pPr>
        <w:rPr>
          <w:rFonts w:ascii="Gill Sans MT" w:hAnsi="Gill Sans MT"/>
        </w:rPr>
      </w:pPr>
      <w:r w:rsidRPr="00E83DA2">
        <w:rPr>
          <w:rFonts w:ascii="Gill Sans MT" w:hAnsi="Gill Sans MT"/>
        </w:rPr>
        <w:t>DIER has used climate modelled data to inform specifications for the design of five bridges in the Mathinna/Evercreech area of Northern Tasmania. This project stemmed from key outcomes of the North East Freight Strategy and was the first time DIER has used climate modelling data to inform infrastructure design and implementation. This approach is likely to become common practice for adapting new infrastructure developments and upgrades to the possible future impacts of climate change.</w:t>
      </w:r>
    </w:p>
    <w:p w:rsidR="00756B53" w:rsidRPr="00E83DA2" w:rsidRDefault="00756B53" w:rsidP="00756B53">
      <w:pPr>
        <w:pStyle w:val="ListParagraph"/>
        <w:rPr>
          <w:rFonts w:ascii="Gill Sans MT" w:hAnsi="Gill Sans MT"/>
        </w:rPr>
        <w:sectPr w:rsidR="00756B53" w:rsidRPr="00E83DA2" w:rsidSect="00103702">
          <w:pgSz w:w="11906" w:h="16838"/>
          <w:pgMar w:top="1440" w:right="1797" w:bottom="709" w:left="1797" w:header="709" w:footer="544" w:gutter="0"/>
          <w:cols w:space="708"/>
          <w:docGrid w:linePitch="360"/>
        </w:sectPr>
      </w:pPr>
    </w:p>
    <w:p w:rsidR="00756B53" w:rsidRPr="00E83DA2" w:rsidRDefault="00756B53" w:rsidP="00756B53">
      <w:pPr>
        <w:pStyle w:val="Heading1"/>
        <w:rPr>
          <w:rFonts w:ascii="Gill Sans MT" w:hAnsi="Gill Sans MT"/>
        </w:rPr>
      </w:pPr>
      <w:bookmarkStart w:id="218" w:name="_Toc332115808"/>
      <w:r w:rsidRPr="00E83DA2">
        <w:rPr>
          <w:rFonts w:ascii="Gill Sans MT" w:hAnsi="Gill Sans MT"/>
        </w:rPr>
        <w:lastRenderedPageBreak/>
        <w:t>Transport and tourism</w:t>
      </w:r>
      <w:bookmarkEnd w:id="218"/>
    </w:p>
    <w:p w:rsidR="00756B53" w:rsidRPr="00E83DA2" w:rsidRDefault="00756B53" w:rsidP="00756B53">
      <w:pPr>
        <w:pStyle w:val="Heading2"/>
      </w:pPr>
      <w:bookmarkStart w:id="219" w:name="_Toc332033617"/>
      <w:bookmarkStart w:id="220" w:name="_Toc332114143"/>
      <w:bookmarkStart w:id="221" w:name="_Toc332115809"/>
      <w:r w:rsidRPr="00E83DA2">
        <w:t>Key strategic issues</w:t>
      </w:r>
      <w:bookmarkEnd w:id="219"/>
      <w:bookmarkEnd w:id="220"/>
      <w:bookmarkEnd w:id="221"/>
    </w:p>
    <w:p w:rsidR="00756B53" w:rsidRPr="00E83DA2" w:rsidRDefault="00756B53" w:rsidP="00756B53">
      <w:pPr>
        <w:pStyle w:val="ListParagraph"/>
        <w:numPr>
          <w:ilvl w:val="0"/>
          <w:numId w:val="36"/>
        </w:numPr>
        <w:rPr>
          <w:rFonts w:ascii="Gill Sans MT" w:hAnsi="Gill Sans MT"/>
        </w:rPr>
      </w:pPr>
      <w:r w:rsidRPr="00E83DA2">
        <w:rPr>
          <w:rFonts w:ascii="Gill Sans MT" w:hAnsi="Gill Sans MT"/>
        </w:rPr>
        <w:t>Potential for increased tourism through promotion of region’s liveability</w:t>
      </w:r>
    </w:p>
    <w:p w:rsidR="00756B53" w:rsidRPr="00E83DA2" w:rsidRDefault="00756B53" w:rsidP="00756B53">
      <w:pPr>
        <w:pStyle w:val="ListParagraph"/>
        <w:numPr>
          <w:ilvl w:val="0"/>
          <w:numId w:val="36"/>
        </w:numPr>
        <w:rPr>
          <w:rFonts w:ascii="Gill Sans MT" w:hAnsi="Gill Sans MT"/>
        </w:rPr>
      </w:pPr>
      <w:r w:rsidRPr="00E83DA2">
        <w:rPr>
          <w:rFonts w:ascii="Gill Sans MT" w:hAnsi="Gill Sans MT"/>
        </w:rPr>
        <w:t>Supporting safe travel for tourists both into and within the Region</w:t>
      </w:r>
    </w:p>
    <w:p w:rsidR="00756B53" w:rsidRPr="00E83DA2" w:rsidRDefault="00756B53" w:rsidP="00756B53">
      <w:pPr>
        <w:pStyle w:val="ListParagraph"/>
        <w:numPr>
          <w:ilvl w:val="0"/>
          <w:numId w:val="36"/>
        </w:numPr>
        <w:rPr>
          <w:rFonts w:ascii="Gill Sans MT" w:hAnsi="Gill Sans MT"/>
        </w:rPr>
      </w:pPr>
      <w:r w:rsidRPr="00E83DA2">
        <w:rPr>
          <w:rFonts w:ascii="Gill Sans MT" w:hAnsi="Gill Sans MT"/>
        </w:rPr>
        <w:t>Air access to the Region, and within (particularly Flinders Island)</w:t>
      </w:r>
    </w:p>
    <w:p w:rsidR="00756B53" w:rsidRPr="00E83DA2" w:rsidRDefault="00756B53" w:rsidP="00756B53">
      <w:pPr>
        <w:pStyle w:val="ListParagraph"/>
        <w:numPr>
          <w:ilvl w:val="0"/>
          <w:numId w:val="36"/>
        </w:numPr>
        <w:rPr>
          <w:rFonts w:ascii="Gill Sans MT" w:hAnsi="Gill Sans MT"/>
        </w:rPr>
      </w:pPr>
      <w:r w:rsidRPr="00E83DA2">
        <w:rPr>
          <w:rFonts w:ascii="Gill Sans MT" w:hAnsi="Gill Sans MT"/>
        </w:rPr>
        <w:t>Availability of information on tourist needs and movements</w:t>
      </w:r>
    </w:p>
    <w:p w:rsidR="00756B53" w:rsidRPr="00E83DA2" w:rsidRDefault="00756B53" w:rsidP="00756B53">
      <w:pPr>
        <w:pStyle w:val="ListParagraph"/>
        <w:numPr>
          <w:ilvl w:val="0"/>
          <w:numId w:val="36"/>
        </w:numPr>
        <w:rPr>
          <w:rFonts w:ascii="Gill Sans MT" w:hAnsi="Gill Sans MT"/>
        </w:rPr>
      </w:pPr>
      <w:r w:rsidRPr="00E83DA2">
        <w:rPr>
          <w:rFonts w:ascii="Gill Sans MT" w:hAnsi="Gill Sans MT"/>
        </w:rPr>
        <w:t>Difficulties for international tourists being unfamiliar with our transport system and road rules</w:t>
      </w:r>
    </w:p>
    <w:p w:rsidR="00756B53" w:rsidRPr="00E83DA2" w:rsidRDefault="00756B53" w:rsidP="00756B53">
      <w:pPr>
        <w:pStyle w:val="ListParagraph"/>
        <w:numPr>
          <w:ilvl w:val="0"/>
          <w:numId w:val="36"/>
        </w:numPr>
        <w:rPr>
          <w:rFonts w:ascii="Gill Sans MT" w:hAnsi="Gill Sans MT"/>
        </w:rPr>
      </w:pPr>
      <w:r w:rsidRPr="00E83DA2">
        <w:rPr>
          <w:rFonts w:ascii="Gill Sans MT" w:hAnsi="Gill Sans MT"/>
        </w:rPr>
        <w:t>Providing tourists with a positive transport experience</w:t>
      </w:r>
    </w:p>
    <w:p w:rsidR="00756B53" w:rsidRPr="00E83DA2" w:rsidRDefault="00756B53" w:rsidP="00756B53">
      <w:pPr>
        <w:pStyle w:val="Heading2"/>
      </w:pPr>
      <w:bookmarkStart w:id="222" w:name="_Toc332033618"/>
      <w:bookmarkStart w:id="223" w:name="_Toc332114145"/>
      <w:bookmarkStart w:id="224" w:name="_Toc332115811"/>
      <w:r w:rsidRPr="00E83DA2">
        <w:t>Background</w:t>
      </w:r>
      <w:bookmarkEnd w:id="222"/>
      <w:bookmarkEnd w:id="223"/>
      <w:bookmarkEnd w:id="224"/>
    </w:p>
    <w:p w:rsidR="00756B53" w:rsidRPr="00E83DA2" w:rsidRDefault="00756B53" w:rsidP="00756B53">
      <w:pPr>
        <w:rPr>
          <w:rFonts w:ascii="Gill Sans MT" w:hAnsi="Gill Sans MT"/>
        </w:rPr>
      </w:pPr>
      <w:r w:rsidRPr="00E83DA2">
        <w:rPr>
          <w:rFonts w:ascii="Gill Sans MT" w:hAnsi="Gill Sans MT"/>
        </w:rPr>
        <w:t>Tasmania’s tourism industry is reliant on good quality transport infrastructure and services – including networks, and air and sea linkages. The needs and use of the network by tourists are different to those of local residents: Use varies depending on visitor type, transport mode and seasonal variation, and requires direct linkages to key tourist locations.</w:t>
      </w:r>
    </w:p>
    <w:p w:rsidR="00756B53" w:rsidRPr="00E83DA2" w:rsidRDefault="00756B53" w:rsidP="00756B53">
      <w:pPr>
        <w:rPr>
          <w:rFonts w:ascii="Gill Sans MT" w:hAnsi="Gill Sans MT"/>
        </w:rPr>
      </w:pPr>
      <w:r w:rsidRPr="00E83DA2">
        <w:rPr>
          <w:rFonts w:ascii="Gill Sans MT" w:hAnsi="Gill Sans MT"/>
        </w:rPr>
        <w:t xml:space="preserve">While tourists make up only a small proportion of total transport volumes, they add a significant contribution to the Region’s economy, making it important to plan and cater for tourist access to the Region, and safe movements within the Region. </w:t>
      </w:r>
      <w:r w:rsidRPr="00E83DA2">
        <w:rPr>
          <w:rStyle w:val="A4"/>
          <w:rFonts w:ascii="Gill Sans MT" w:hAnsi="Gill Sans MT"/>
          <w:sz w:val="22"/>
          <w:szCs w:val="22"/>
        </w:rPr>
        <w:t>The</w:t>
      </w:r>
      <w:r w:rsidRPr="00E83DA2">
        <w:rPr>
          <w:rStyle w:val="A4"/>
          <w:rFonts w:ascii="Gill Sans MT" w:hAnsi="Gill Sans MT"/>
        </w:rPr>
        <w:t xml:space="preserve"> </w:t>
      </w:r>
      <w:r w:rsidRPr="00E83DA2">
        <w:rPr>
          <w:rFonts w:ascii="Gill Sans MT" w:hAnsi="Gill Sans MT"/>
        </w:rPr>
        <w:t xml:space="preserve">assessment of the overall worth of the tourism industry is generally measured through economic performance fuelled by the expenditure of visitors across all origins – domestic and international – and for all purposes of travel, including Tasmanians moving around their own state. In 2011, $1.46 billion was spent by interstate and international visitors coming to Tasmania, making up around 5% of Gross State Product and around 11% of state employment. </w:t>
      </w:r>
    </w:p>
    <w:p w:rsidR="00756B53" w:rsidRPr="00E83DA2" w:rsidRDefault="00756B53" w:rsidP="00756B53">
      <w:pPr>
        <w:pStyle w:val="Heading2"/>
      </w:pPr>
      <w:bookmarkStart w:id="225" w:name="_Toc332033619"/>
      <w:bookmarkStart w:id="226" w:name="_Toc332114146"/>
      <w:bookmarkStart w:id="227" w:name="_Toc332115812"/>
      <w:r w:rsidRPr="00E83DA2">
        <w:t>Transport and access</w:t>
      </w:r>
      <w:bookmarkEnd w:id="225"/>
      <w:bookmarkEnd w:id="226"/>
      <w:bookmarkEnd w:id="227"/>
    </w:p>
    <w:p w:rsidR="00756B53" w:rsidRPr="00E83DA2" w:rsidRDefault="00756B53" w:rsidP="00756B53">
      <w:pPr>
        <w:rPr>
          <w:rFonts w:ascii="Gill Sans MT" w:hAnsi="Gill Sans MT"/>
        </w:rPr>
      </w:pPr>
      <w:r w:rsidRPr="00E83DA2">
        <w:rPr>
          <w:rFonts w:ascii="Gill Sans MT" w:hAnsi="Gill Sans MT"/>
        </w:rPr>
        <w:t>The Northern Region’s transport network provides essential linkages for tourists and visitors by providing a good standard of access to the region, and ensuring journeys are safe, timely and simple to navigate. This is achieved by focusing on:</w:t>
      </w:r>
    </w:p>
    <w:p w:rsidR="00756B53" w:rsidRPr="00E83DA2" w:rsidRDefault="00756B53" w:rsidP="008A2E3C">
      <w:pPr>
        <w:pStyle w:val="ListParagraph"/>
        <w:numPr>
          <w:ilvl w:val="0"/>
          <w:numId w:val="11"/>
        </w:numPr>
        <w:ind w:left="426"/>
        <w:rPr>
          <w:rFonts w:ascii="Gill Sans MT" w:hAnsi="Gill Sans MT"/>
        </w:rPr>
      </w:pPr>
      <w:r w:rsidRPr="00E83DA2">
        <w:rPr>
          <w:rFonts w:ascii="Gill Sans MT" w:hAnsi="Gill Sans MT"/>
        </w:rPr>
        <w:t>Maintaining a good standard of interstate air access to the Region;</w:t>
      </w:r>
    </w:p>
    <w:p w:rsidR="00756B53" w:rsidRPr="00E83DA2" w:rsidRDefault="00756B53" w:rsidP="008A2E3C">
      <w:pPr>
        <w:pStyle w:val="ListParagraph"/>
        <w:numPr>
          <w:ilvl w:val="0"/>
          <w:numId w:val="11"/>
        </w:numPr>
        <w:ind w:left="426"/>
        <w:rPr>
          <w:rFonts w:ascii="Gill Sans MT" w:hAnsi="Gill Sans MT"/>
        </w:rPr>
      </w:pPr>
      <w:r w:rsidRPr="00E83DA2">
        <w:rPr>
          <w:rFonts w:ascii="Gill Sans MT" w:hAnsi="Gill Sans MT"/>
        </w:rPr>
        <w:t xml:space="preserve">Maintaining safety across the system (system consistency), safety at airports and on the road network (signage and rest-points); </w:t>
      </w:r>
    </w:p>
    <w:p w:rsidR="00756B53" w:rsidRPr="00E83DA2" w:rsidRDefault="00756B53" w:rsidP="008A2E3C">
      <w:pPr>
        <w:pStyle w:val="ListParagraph"/>
        <w:numPr>
          <w:ilvl w:val="0"/>
          <w:numId w:val="11"/>
        </w:numPr>
        <w:ind w:left="426"/>
        <w:rPr>
          <w:rFonts w:ascii="Gill Sans MT" w:hAnsi="Gill Sans MT"/>
        </w:rPr>
      </w:pPr>
      <w:r w:rsidRPr="00E83DA2">
        <w:rPr>
          <w:rFonts w:ascii="Gill Sans MT" w:hAnsi="Gill Sans MT"/>
        </w:rPr>
        <w:t>Providing appropriate (standard) linkages to key locations, such as attractions, accommodation, dining, and natural or heritage activities; and</w:t>
      </w:r>
    </w:p>
    <w:p w:rsidR="00756B53" w:rsidRPr="00E83DA2" w:rsidRDefault="00756B53" w:rsidP="008A2E3C">
      <w:pPr>
        <w:pStyle w:val="ListParagraph"/>
        <w:numPr>
          <w:ilvl w:val="0"/>
          <w:numId w:val="11"/>
        </w:numPr>
        <w:ind w:left="426"/>
        <w:rPr>
          <w:rFonts w:ascii="Gill Sans MT" w:hAnsi="Gill Sans MT"/>
        </w:rPr>
      </w:pPr>
      <w:r w:rsidRPr="00E83DA2">
        <w:rPr>
          <w:rFonts w:ascii="Gill Sans MT" w:hAnsi="Gill Sans MT"/>
        </w:rPr>
        <w:t xml:space="preserve">Greater information on transport options to tourist attractions, accommodation and supporting facilities. </w:t>
      </w:r>
    </w:p>
    <w:p w:rsidR="00756B53" w:rsidRPr="00E83DA2" w:rsidRDefault="00756B53" w:rsidP="00756B53">
      <w:pPr>
        <w:rPr>
          <w:rFonts w:ascii="Gill Sans MT" w:hAnsi="Gill Sans MT"/>
        </w:rPr>
      </w:pPr>
      <w:r w:rsidRPr="00E83DA2">
        <w:rPr>
          <w:rFonts w:ascii="Gill Sans MT" w:hAnsi="Gill Sans MT"/>
        </w:rPr>
        <w:lastRenderedPageBreak/>
        <w:t xml:space="preserve">Interstate visitors can access the Northern Region in a number of different ways. Launceston Airport connects to most major cities in Australia, providing direct access to and from the Region. Total passengers moving through Launceston Airport has been steadily increasing at an average rate of 8.3% over the last ten years, with 1,156,356 passengers moving through the airport in 2010/11; in 2011 around 34% of all air-travelling visitors in Tasmania moved through Launceston Airport. Launceston Airport underwent an expansion in late 2009, doubling the terminal size and upgrading gate lounges, screening and baggage facilities up to Commonwealth standards. The airport is serviced by QANTAS (and subsidiary </w:t>
      </w:r>
      <w:proofErr w:type="spellStart"/>
      <w:r w:rsidRPr="00E83DA2">
        <w:rPr>
          <w:rFonts w:ascii="Gill Sans MT" w:hAnsi="Gill Sans MT"/>
        </w:rPr>
        <w:t>JetStar</w:t>
      </w:r>
      <w:proofErr w:type="spellEnd"/>
      <w:r w:rsidRPr="00E83DA2">
        <w:rPr>
          <w:rFonts w:ascii="Gill Sans MT" w:hAnsi="Gill Sans MT"/>
        </w:rPr>
        <w:t xml:space="preserve">), Virgin Australia, Airlines of Tasmania and Sharp Airlines. Sharp Airlines provides frequent flights between Flinders Island Airport and both Launceston and Melbourne. </w:t>
      </w:r>
    </w:p>
    <w:p w:rsidR="00756B53" w:rsidRPr="00E83DA2" w:rsidRDefault="00756B53" w:rsidP="00756B53">
      <w:pPr>
        <w:rPr>
          <w:rFonts w:ascii="Gill Sans MT" w:hAnsi="Gill Sans MT"/>
        </w:rPr>
      </w:pPr>
      <w:r w:rsidRPr="00E83DA2">
        <w:rPr>
          <w:rFonts w:ascii="Gill Sans MT" w:hAnsi="Gill Sans MT"/>
        </w:rPr>
        <w:t xml:space="preserve">Significant numbers of visitors to the North come by road via either the Southern or North-West Regions, via Hobart International Airport, or the </w:t>
      </w:r>
      <w:r w:rsidRPr="00E83DA2">
        <w:rPr>
          <w:rFonts w:ascii="Gill Sans MT" w:hAnsi="Gill Sans MT"/>
          <w:i/>
        </w:rPr>
        <w:t>Spirit of Tasmania</w:t>
      </w:r>
      <w:r w:rsidRPr="00E83DA2">
        <w:rPr>
          <w:rFonts w:ascii="Gill Sans MT" w:hAnsi="Gill Sans MT"/>
        </w:rPr>
        <w:t xml:space="preserve"> ferry operating between Devonport and Melbourne. Road-based travel – and car-use in particular – is the most popular form of transport for visitors within the Region: up to 82% of all tourist travel within the Region being made by car. Regional bus services also provide important intrastate linkages servicing major regional towns. </w:t>
      </w:r>
    </w:p>
    <w:p w:rsidR="00756B53" w:rsidRPr="00E83DA2" w:rsidRDefault="00756B53" w:rsidP="00756B53">
      <w:pPr>
        <w:rPr>
          <w:rFonts w:ascii="Gill Sans MT" w:hAnsi="Gill Sans MT"/>
        </w:rPr>
      </w:pPr>
      <w:r w:rsidRPr="00E83DA2">
        <w:rPr>
          <w:rFonts w:ascii="Gill Sans MT" w:hAnsi="Gill Sans MT"/>
        </w:rPr>
        <w:t>Many of the Region’s tourist attractions lie outside of the major urban centre of Launceston. While distances are often shorter and destinations closer than most travel on the mainland, Tasmanian roads can be hazardous and unforgiving to unfamiliar road users. Many of Tasmania’s regional roads involve winding, mountainous climbs and descents, and are highly subject to changes in local weather conditions. These factors can affect travel times, making journeys which may look short on a map, take significantly longer than planned. It is important that the ongoing promotion for travellers to drive according to the road conditions be continually displayed at port terminals and tourist locations to encourage caution by visitors when holidaying along the State’s roads.</w:t>
      </w:r>
    </w:p>
    <w:p w:rsidR="00756B53" w:rsidRPr="00E83DA2" w:rsidRDefault="00756B53" w:rsidP="00756B53">
      <w:pPr>
        <w:rPr>
          <w:rFonts w:ascii="Gill Sans MT" w:hAnsi="Gill Sans MT"/>
        </w:rPr>
      </w:pPr>
      <w:r w:rsidRPr="00E83DA2">
        <w:rPr>
          <w:rFonts w:ascii="Gill Sans MT" w:hAnsi="Gill Sans MT"/>
        </w:rPr>
        <w:t xml:space="preserve">Cycling has seen significant growth throughout the Northern Region – both for utility and recreational purposes. There is an increasing focus on the capacity to expand cycling infrastructure through urban and regional areas in the North, as well as establishing specific cycling ‘trails’ – both on- and off-road – and this is becoming increasingly popular with visitors. Cycling events, such as the </w:t>
      </w:r>
      <w:proofErr w:type="spellStart"/>
      <w:r w:rsidRPr="00E83DA2">
        <w:rPr>
          <w:rFonts w:ascii="Gill Sans MT" w:hAnsi="Gill Sans MT"/>
        </w:rPr>
        <w:t>Opperman</w:t>
      </w:r>
      <w:proofErr w:type="spellEnd"/>
      <w:r w:rsidRPr="00E83DA2">
        <w:rPr>
          <w:rFonts w:ascii="Gill Sans MT" w:hAnsi="Gill Sans MT"/>
        </w:rPr>
        <w:t xml:space="preserve"> Gran </w:t>
      </w:r>
      <w:proofErr w:type="spellStart"/>
      <w:r w:rsidRPr="00E83DA2">
        <w:rPr>
          <w:rFonts w:ascii="Gill Sans MT" w:hAnsi="Gill Sans MT"/>
        </w:rPr>
        <w:t>Fondo</w:t>
      </w:r>
      <w:proofErr w:type="spellEnd"/>
      <w:r w:rsidRPr="00E83DA2">
        <w:rPr>
          <w:rFonts w:ascii="Gill Sans MT" w:hAnsi="Gill Sans MT"/>
        </w:rPr>
        <w:t>, are also contributing to establishing Northern Tasmania as an internationally recognised cycling destination.</w:t>
      </w:r>
    </w:p>
    <w:p w:rsidR="00756B53" w:rsidRPr="00E83DA2" w:rsidRDefault="00756B53" w:rsidP="00756B53">
      <w:pPr>
        <w:pStyle w:val="Heading2"/>
      </w:pPr>
      <w:bookmarkStart w:id="228" w:name="_Toc332033620"/>
      <w:bookmarkStart w:id="229" w:name="_Toc332114147"/>
      <w:bookmarkStart w:id="230" w:name="_Toc332115813"/>
      <w:r w:rsidRPr="00E83DA2">
        <w:t>Visitor numbers</w:t>
      </w:r>
      <w:bookmarkEnd w:id="228"/>
      <w:bookmarkEnd w:id="229"/>
      <w:bookmarkEnd w:id="230"/>
    </w:p>
    <w:p w:rsidR="00756B53" w:rsidRPr="00E83DA2" w:rsidRDefault="00756B53" w:rsidP="00756B53">
      <w:pPr>
        <w:rPr>
          <w:rFonts w:ascii="Gill Sans MT" w:hAnsi="Gill Sans MT"/>
        </w:rPr>
      </w:pPr>
      <w:r w:rsidRPr="00E83DA2">
        <w:rPr>
          <w:rFonts w:ascii="Gill Sans MT" w:hAnsi="Gill Sans MT"/>
        </w:rPr>
        <w:t xml:space="preserve">The total number of interstate visitors to the Northern Region has remained relatively steady in recent years, showing signs of increasing as Tasmania’s overall tourism market improves. In 2011, the total number of visitors to Tasmania was 745,800, with 524,600 of these visiting the Northern Region. 26% </w:t>
      </w:r>
      <w:r w:rsidRPr="00E83DA2">
        <w:rPr>
          <w:rFonts w:ascii="Gill Sans MT" w:hAnsi="Gill Sans MT"/>
        </w:rPr>
        <w:lastRenderedPageBreak/>
        <w:t>of all interstate visitors to the Region were from Melbourne, followed by around 18% from Sydney.</w:t>
      </w:r>
    </w:p>
    <w:p w:rsidR="00756B53" w:rsidRPr="00E83DA2" w:rsidRDefault="00756B53" w:rsidP="00756B53">
      <w:pPr>
        <w:rPr>
          <w:rFonts w:ascii="Gill Sans MT" w:hAnsi="Gill Sans MT"/>
        </w:rPr>
      </w:pPr>
      <w:r w:rsidRPr="00E83DA2">
        <w:rPr>
          <w:rFonts w:ascii="Gill Sans MT" w:hAnsi="Gill Sans MT"/>
        </w:rPr>
        <w:t>Tourism research has shown that the total number of nights visitors are spending in Tasmania is decreasing. In 2011, around 490,000 visitors stayed overnight at destinations in the Northern Region, down 2% since 2008, with most visiting as part of a larger touring holiday (1-3 weeks) encompassing other regions of the State. These indications will have noticeable implications for the road network: visitors who stay for shorter periods or are covering more destinations in one holiday tend to focus more on key activities and attractions, often with pre-planned itineraries. This highlights the ongoing importance of a safe and efficient road network, high quality signage, and the concentration of commercial tourist activities in highly accessible ‘clusters’. Recent surveys suggest that the natural setting, quality accommodation, activities which focus on culture and heritage, and the availability of online information are the Region’s strongest points.</w:t>
      </w:r>
    </w:p>
    <w:p w:rsidR="00756B53" w:rsidRPr="00E83DA2" w:rsidRDefault="00756B53" w:rsidP="00756B53">
      <w:pPr>
        <w:pStyle w:val="Heading2"/>
      </w:pPr>
      <w:bookmarkStart w:id="231" w:name="_Toc332033621"/>
      <w:bookmarkStart w:id="232" w:name="_Toc332114148"/>
      <w:bookmarkStart w:id="233" w:name="_Toc332115814"/>
      <w:r w:rsidRPr="00E83DA2">
        <w:t>Regional Tourism</w:t>
      </w:r>
      <w:bookmarkEnd w:id="231"/>
      <w:bookmarkEnd w:id="232"/>
      <w:bookmarkEnd w:id="233"/>
    </w:p>
    <w:p w:rsidR="00756B53" w:rsidRPr="00E83DA2" w:rsidRDefault="00756B53" w:rsidP="00756B53">
      <w:pPr>
        <w:rPr>
          <w:rFonts w:ascii="Gill Sans MT" w:hAnsi="Gill Sans MT"/>
        </w:rPr>
      </w:pPr>
      <w:r w:rsidRPr="00E83DA2">
        <w:rPr>
          <w:rFonts w:ascii="Gill Sans MT" w:hAnsi="Gill Sans MT"/>
        </w:rPr>
        <w:t>Tourism activities in the Northern Region include a diverse range of settings and themes, many of which are ‘experience’ based. These experiences are marketed through various trails, multiple-day itineraries and focal points (see Map 1 below). Trails in the Northern Region include:</w:t>
      </w:r>
    </w:p>
    <w:p w:rsidR="00756B53" w:rsidRPr="00E83DA2" w:rsidRDefault="00756B53" w:rsidP="008A2E3C">
      <w:pPr>
        <w:pStyle w:val="ListParagraph"/>
        <w:numPr>
          <w:ilvl w:val="0"/>
          <w:numId w:val="34"/>
        </w:numPr>
        <w:ind w:left="426"/>
        <w:rPr>
          <w:rFonts w:ascii="Gill Sans MT" w:hAnsi="Gill Sans MT"/>
        </w:rPr>
      </w:pPr>
      <w:r w:rsidRPr="00E83DA2">
        <w:rPr>
          <w:rFonts w:ascii="Gill Sans MT" w:hAnsi="Gill Sans MT"/>
        </w:rPr>
        <w:t>Tamar Valley Trail</w:t>
      </w:r>
    </w:p>
    <w:p w:rsidR="00756B53" w:rsidRPr="00E83DA2" w:rsidRDefault="00756B53" w:rsidP="008A2E3C">
      <w:pPr>
        <w:pStyle w:val="ListParagraph"/>
        <w:numPr>
          <w:ilvl w:val="0"/>
          <w:numId w:val="34"/>
        </w:numPr>
        <w:ind w:left="426"/>
        <w:rPr>
          <w:rFonts w:ascii="Gill Sans MT" w:hAnsi="Gill Sans MT"/>
        </w:rPr>
      </w:pPr>
      <w:r w:rsidRPr="00E83DA2">
        <w:rPr>
          <w:rFonts w:ascii="Gill Sans MT" w:hAnsi="Gill Sans MT"/>
        </w:rPr>
        <w:t>North East Trail</w:t>
      </w:r>
    </w:p>
    <w:p w:rsidR="00756B53" w:rsidRPr="00E83DA2" w:rsidRDefault="00756B53" w:rsidP="008A2E3C">
      <w:pPr>
        <w:pStyle w:val="ListParagraph"/>
        <w:numPr>
          <w:ilvl w:val="0"/>
          <w:numId w:val="34"/>
        </w:numPr>
        <w:ind w:left="426"/>
        <w:rPr>
          <w:rFonts w:ascii="Gill Sans MT" w:hAnsi="Gill Sans MT"/>
        </w:rPr>
      </w:pPr>
      <w:r w:rsidRPr="00E83DA2">
        <w:rPr>
          <w:rFonts w:ascii="Gill Sans MT" w:hAnsi="Gill Sans MT"/>
        </w:rPr>
        <w:t>Great Western Tiers Tourist Route</w:t>
      </w:r>
    </w:p>
    <w:p w:rsidR="00756B53" w:rsidRPr="00E83DA2" w:rsidRDefault="00756B53" w:rsidP="008A2E3C">
      <w:pPr>
        <w:pStyle w:val="ListParagraph"/>
        <w:numPr>
          <w:ilvl w:val="0"/>
          <w:numId w:val="34"/>
        </w:numPr>
        <w:ind w:left="426"/>
        <w:rPr>
          <w:rFonts w:ascii="Gill Sans MT" w:hAnsi="Gill Sans MT"/>
        </w:rPr>
      </w:pPr>
      <w:r w:rsidRPr="00E83DA2">
        <w:rPr>
          <w:rFonts w:ascii="Gill Sans MT" w:hAnsi="Gill Sans MT"/>
        </w:rPr>
        <w:t>Heritage Highway</w:t>
      </w:r>
    </w:p>
    <w:p w:rsidR="00756B53" w:rsidRPr="00E83DA2" w:rsidRDefault="00756B53" w:rsidP="008A2E3C">
      <w:pPr>
        <w:pStyle w:val="ListParagraph"/>
        <w:numPr>
          <w:ilvl w:val="0"/>
          <w:numId w:val="34"/>
        </w:numPr>
        <w:ind w:left="426"/>
        <w:rPr>
          <w:rFonts w:ascii="Gill Sans MT" w:hAnsi="Gill Sans MT"/>
        </w:rPr>
      </w:pPr>
      <w:r w:rsidRPr="00E83DA2">
        <w:rPr>
          <w:rFonts w:ascii="Gill Sans MT" w:hAnsi="Gill Sans MT"/>
        </w:rPr>
        <w:t>East Coast Escape</w:t>
      </w:r>
    </w:p>
    <w:p w:rsidR="00D11F89" w:rsidRPr="00E83DA2" w:rsidRDefault="00756B53" w:rsidP="00756B53">
      <w:pPr>
        <w:rPr>
          <w:rFonts w:ascii="Gill Sans MT" w:hAnsi="Gill Sans MT"/>
        </w:rPr>
      </w:pPr>
      <w:r w:rsidRPr="00E83DA2">
        <w:rPr>
          <w:rFonts w:ascii="Gill Sans MT" w:hAnsi="Gill Sans MT"/>
          <w:i/>
        </w:rPr>
        <w:t>Tourism Tasmania</w:t>
      </w:r>
      <w:r w:rsidRPr="00E83DA2">
        <w:rPr>
          <w:rFonts w:ascii="Gill Sans MT" w:hAnsi="Gill Sans MT"/>
        </w:rPr>
        <w:t xml:space="preserve"> produces 7-day itineraries, detailing pre-planned routes identifying key attraction ‘clusters’ across the Region, where locations in close proximity can be visited consecutively. Cataract Gorge, in Launceston, is one of the most popular tourist attractions in the Region, along with the award-winning Bay of Fires near St Helens. Further examples of popular desti</w:t>
      </w:r>
      <w:r w:rsidR="00D11F89">
        <w:rPr>
          <w:rFonts w:ascii="Gill Sans MT" w:hAnsi="Gill Sans MT"/>
        </w:rPr>
        <w:t xml:space="preserve">nations in the Northern Region </w:t>
      </w:r>
      <w:r w:rsidRPr="00E83DA2">
        <w:rPr>
          <w:rFonts w:ascii="Gill Sans MT" w:hAnsi="Gill Sans MT"/>
        </w:rPr>
        <w:t xml:space="preserve">are listed in </w:t>
      </w:r>
      <w:r w:rsidRPr="00D11F89">
        <w:rPr>
          <w:rFonts w:ascii="Gill Sans MT" w:hAnsi="Gill Sans MT"/>
          <w:i/>
        </w:rPr>
        <w:t>Table 1</w:t>
      </w:r>
      <w:r w:rsidRPr="00E83DA2">
        <w:rPr>
          <w:rFonts w:ascii="Gill Sans MT" w:hAnsi="Gill Sans MT"/>
        </w:rPr>
        <w:t xml:space="preserve">: </w:t>
      </w:r>
    </w:p>
    <w:tbl>
      <w:tblPr>
        <w:tblStyle w:val="LightShading-Accent11"/>
        <w:tblW w:w="0" w:type="auto"/>
        <w:tblLook w:val="04A0"/>
      </w:tblPr>
      <w:tblGrid>
        <w:gridCol w:w="463"/>
        <w:gridCol w:w="5218"/>
        <w:gridCol w:w="2847"/>
      </w:tblGrid>
      <w:tr w:rsidR="00756B53" w:rsidRPr="00E83DA2" w:rsidTr="008A2E3C">
        <w:trPr>
          <w:cnfStyle w:val="100000000000"/>
        </w:trPr>
        <w:tc>
          <w:tcPr>
            <w:cnfStyle w:val="001000000000"/>
            <w:tcW w:w="463" w:type="dxa"/>
          </w:tcPr>
          <w:p w:rsidR="00756B53" w:rsidRPr="00E83DA2" w:rsidRDefault="00756B53" w:rsidP="008D2E39">
            <w:pPr>
              <w:rPr>
                <w:rFonts w:ascii="Gill Sans MT" w:hAnsi="Gill Sans MT"/>
              </w:rPr>
            </w:pPr>
          </w:p>
        </w:tc>
        <w:tc>
          <w:tcPr>
            <w:tcW w:w="5218" w:type="dxa"/>
          </w:tcPr>
          <w:p w:rsidR="00756B53" w:rsidRPr="00E83DA2" w:rsidRDefault="00756B53" w:rsidP="008D2E39">
            <w:pPr>
              <w:cnfStyle w:val="100000000000"/>
              <w:rPr>
                <w:rFonts w:ascii="Gill Sans MT" w:hAnsi="Gill Sans MT"/>
              </w:rPr>
            </w:pPr>
            <w:r w:rsidRPr="00E83DA2">
              <w:rPr>
                <w:rFonts w:ascii="Gill Sans MT" w:hAnsi="Gill Sans MT"/>
              </w:rPr>
              <w:t>Attraction</w:t>
            </w:r>
          </w:p>
        </w:tc>
        <w:tc>
          <w:tcPr>
            <w:tcW w:w="2847" w:type="dxa"/>
          </w:tcPr>
          <w:p w:rsidR="00756B53" w:rsidRPr="00E83DA2" w:rsidRDefault="00756B53" w:rsidP="008D2E39">
            <w:pPr>
              <w:cnfStyle w:val="100000000000"/>
              <w:rPr>
                <w:rFonts w:ascii="Gill Sans MT" w:hAnsi="Gill Sans MT"/>
              </w:rPr>
            </w:pPr>
            <w:r w:rsidRPr="00E83DA2">
              <w:rPr>
                <w:rFonts w:ascii="Gill Sans MT" w:hAnsi="Gill Sans MT"/>
              </w:rPr>
              <w:t>Total visitors in 2011</w:t>
            </w:r>
          </w:p>
        </w:tc>
      </w:tr>
      <w:tr w:rsidR="00756B53" w:rsidRPr="00E83DA2" w:rsidTr="008A2E3C">
        <w:trPr>
          <w:cnfStyle w:val="000000100000"/>
        </w:trPr>
        <w:tc>
          <w:tcPr>
            <w:cnfStyle w:val="001000000000"/>
            <w:tcW w:w="463" w:type="dxa"/>
          </w:tcPr>
          <w:p w:rsidR="00756B53" w:rsidRPr="00E83DA2" w:rsidRDefault="00756B53" w:rsidP="008D2E39">
            <w:pPr>
              <w:rPr>
                <w:rFonts w:ascii="Gill Sans MT" w:hAnsi="Gill Sans MT"/>
              </w:rPr>
            </w:pPr>
            <w:r w:rsidRPr="00E83DA2">
              <w:rPr>
                <w:rFonts w:ascii="Gill Sans MT" w:hAnsi="Gill Sans MT"/>
              </w:rPr>
              <w:t>1</w:t>
            </w:r>
          </w:p>
        </w:tc>
        <w:tc>
          <w:tcPr>
            <w:tcW w:w="5218" w:type="dxa"/>
          </w:tcPr>
          <w:p w:rsidR="00756B53" w:rsidRPr="00E83DA2" w:rsidRDefault="00756B53" w:rsidP="008D2E39">
            <w:pPr>
              <w:cnfStyle w:val="000000100000"/>
              <w:rPr>
                <w:rFonts w:ascii="Gill Sans MT" w:hAnsi="Gill Sans MT"/>
              </w:rPr>
            </w:pPr>
            <w:r w:rsidRPr="00E83DA2">
              <w:rPr>
                <w:rFonts w:ascii="Gill Sans MT" w:hAnsi="Gill Sans MT"/>
              </w:rPr>
              <w:t>Cataract Gorge</w:t>
            </w:r>
          </w:p>
        </w:tc>
        <w:tc>
          <w:tcPr>
            <w:tcW w:w="2847" w:type="dxa"/>
          </w:tcPr>
          <w:p w:rsidR="00756B53" w:rsidRPr="00E83DA2" w:rsidRDefault="00756B53" w:rsidP="008D2E39">
            <w:pPr>
              <w:cnfStyle w:val="000000100000"/>
              <w:rPr>
                <w:rFonts w:ascii="Gill Sans MT" w:hAnsi="Gill Sans MT"/>
              </w:rPr>
            </w:pPr>
            <w:r w:rsidRPr="00E83DA2">
              <w:rPr>
                <w:rFonts w:ascii="Gill Sans MT" w:hAnsi="Gill Sans MT"/>
              </w:rPr>
              <w:t>176,700</w:t>
            </w:r>
          </w:p>
        </w:tc>
      </w:tr>
      <w:tr w:rsidR="00756B53" w:rsidRPr="00E83DA2" w:rsidTr="008A2E3C">
        <w:tc>
          <w:tcPr>
            <w:cnfStyle w:val="001000000000"/>
            <w:tcW w:w="463" w:type="dxa"/>
          </w:tcPr>
          <w:p w:rsidR="00756B53" w:rsidRPr="00E83DA2" w:rsidRDefault="00756B53" w:rsidP="008D2E39">
            <w:pPr>
              <w:rPr>
                <w:rFonts w:ascii="Gill Sans MT" w:hAnsi="Gill Sans MT"/>
              </w:rPr>
            </w:pPr>
            <w:r w:rsidRPr="00E83DA2">
              <w:rPr>
                <w:rFonts w:ascii="Gill Sans MT" w:hAnsi="Gill Sans MT"/>
              </w:rPr>
              <w:t>2</w:t>
            </w:r>
          </w:p>
        </w:tc>
        <w:tc>
          <w:tcPr>
            <w:tcW w:w="5218" w:type="dxa"/>
          </w:tcPr>
          <w:p w:rsidR="00756B53" w:rsidRPr="00E83DA2" w:rsidRDefault="00756B53" w:rsidP="008D2E39">
            <w:pPr>
              <w:cnfStyle w:val="000000000000"/>
              <w:rPr>
                <w:rFonts w:ascii="Gill Sans MT" w:hAnsi="Gill Sans MT"/>
              </w:rPr>
            </w:pPr>
            <w:r w:rsidRPr="00E83DA2">
              <w:rPr>
                <w:rFonts w:ascii="Gill Sans MT" w:hAnsi="Gill Sans MT"/>
              </w:rPr>
              <w:t>Beaconsfield Mine and Heritage Centre</w:t>
            </w:r>
          </w:p>
        </w:tc>
        <w:tc>
          <w:tcPr>
            <w:tcW w:w="2847" w:type="dxa"/>
          </w:tcPr>
          <w:p w:rsidR="00756B53" w:rsidRPr="00E83DA2" w:rsidRDefault="00756B53" w:rsidP="008D2E39">
            <w:pPr>
              <w:cnfStyle w:val="000000000000"/>
              <w:rPr>
                <w:rFonts w:ascii="Gill Sans MT" w:hAnsi="Gill Sans MT"/>
              </w:rPr>
            </w:pPr>
            <w:r w:rsidRPr="00E83DA2">
              <w:rPr>
                <w:rFonts w:ascii="Gill Sans MT" w:hAnsi="Gill Sans MT"/>
              </w:rPr>
              <w:t>37,000</w:t>
            </w:r>
          </w:p>
        </w:tc>
      </w:tr>
      <w:tr w:rsidR="00756B53" w:rsidRPr="00E83DA2" w:rsidTr="008A2E3C">
        <w:trPr>
          <w:cnfStyle w:val="000000100000"/>
        </w:trPr>
        <w:tc>
          <w:tcPr>
            <w:cnfStyle w:val="001000000000"/>
            <w:tcW w:w="463" w:type="dxa"/>
          </w:tcPr>
          <w:p w:rsidR="00756B53" w:rsidRPr="00E83DA2" w:rsidRDefault="00756B53" w:rsidP="008D2E39">
            <w:pPr>
              <w:rPr>
                <w:rFonts w:ascii="Gill Sans MT" w:hAnsi="Gill Sans MT"/>
              </w:rPr>
            </w:pPr>
            <w:r w:rsidRPr="00E83DA2">
              <w:rPr>
                <w:rFonts w:ascii="Gill Sans MT" w:hAnsi="Gill Sans MT"/>
              </w:rPr>
              <w:t>3</w:t>
            </w:r>
          </w:p>
        </w:tc>
        <w:tc>
          <w:tcPr>
            <w:tcW w:w="5218" w:type="dxa"/>
          </w:tcPr>
          <w:p w:rsidR="00756B53" w:rsidRPr="00E83DA2" w:rsidRDefault="00756B53" w:rsidP="008D2E39">
            <w:pPr>
              <w:cnfStyle w:val="000000100000"/>
              <w:rPr>
                <w:rFonts w:ascii="Gill Sans MT" w:hAnsi="Gill Sans MT"/>
              </w:rPr>
            </w:pPr>
            <w:r w:rsidRPr="00E83DA2">
              <w:rPr>
                <w:rFonts w:ascii="Gill Sans MT" w:hAnsi="Gill Sans MT"/>
              </w:rPr>
              <w:t>Low Head Pilot Station</w:t>
            </w:r>
          </w:p>
        </w:tc>
        <w:tc>
          <w:tcPr>
            <w:tcW w:w="2847" w:type="dxa"/>
          </w:tcPr>
          <w:p w:rsidR="00756B53" w:rsidRPr="00E83DA2" w:rsidRDefault="00756B53" w:rsidP="008D2E39">
            <w:pPr>
              <w:cnfStyle w:val="000000100000"/>
              <w:rPr>
                <w:rFonts w:ascii="Gill Sans MT" w:hAnsi="Gill Sans MT"/>
              </w:rPr>
            </w:pPr>
            <w:r w:rsidRPr="00E83DA2">
              <w:rPr>
                <w:rFonts w:ascii="Gill Sans MT" w:hAnsi="Gill Sans MT"/>
              </w:rPr>
              <w:t>30,800</w:t>
            </w:r>
          </w:p>
        </w:tc>
      </w:tr>
      <w:tr w:rsidR="00756B53" w:rsidRPr="00E83DA2" w:rsidTr="008A2E3C">
        <w:tc>
          <w:tcPr>
            <w:cnfStyle w:val="001000000000"/>
            <w:tcW w:w="463" w:type="dxa"/>
          </w:tcPr>
          <w:p w:rsidR="00756B53" w:rsidRPr="00E83DA2" w:rsidRDefault="00756B53" w:rsidP="008D2E39">
            <w:pPr>
              <w:rPr>
                <w:rFonts w:ascii="Gill Sans MT" w:hAnsi="Gill Sans MT"/>
              </w:rPr>
            </w:pPr>
            <w:r w:rsidRPr="00E83DA2">
              <w:rPr>
                <w:rFonts w:ascii="Gill Sans MT" w:hAnsi="Gill Sans MT"/>
              </w:rPr>
              <w:t>4</w:t>
            </w:r>
          </w:p>
        </w:tc>
        <w:tc>
          <w:tcPr>
            <w:tcW w:w="5218" w:type="dxa"/>
          </w:tcPr>
          <w:p w:rsidR="00756B53" w:rsidRPr="00E83DA2" w:rsidRDefault="00756B53" w:rsidP="008D2E39">
            <w:pPr>
              <w:cnfStyle w:val="000000000000"/>
              <w:rPr>
                <w:rFonts w:ascii="Gill Sans MT" w:hAnsi="Gill Sans MT"/>
              </w:rPr>
            </w:pPr>
            <w:r w:rsidRPr="00E83DA2">
              <w:rPr>
                <w:rFonts w:ascii="Gill Sans MT" w:hAnsi="Gill Sans MT"/>
              </w:rPr>
              <w:t>Queen Victoria Museum and Art Gallery</w:t>
            </w:r>
          </w:p>
        </w:tc>
        <w:tc>
          <w:tcPr>
            <w:tcW w:w="2847" w:type="dxa"/>
          </w:tcPr>
          <w:p w:rsidR="00756B53" w:rsidRPr="00E83DA2" w:rsidRDefault="00756B53" w:rsidP="008D2E39">
            <w:pPr>
              <w:cnfStyle w:val="000000000000"/>
              <w:rPr>
                <w:rFonts w:ascii="Gill Sans MT" w:hAnsi="Gill Sans MT"/>
              </w:rPr>
            </w:pPr>
            <w:r w:rsidRPr="00E83DA2">
              <w:rPr>
                <w:rFonts w:ascii="Gill Sans MT" w:hAnsi="Gill Sans MT"/>
              </w:rPr>
              <w:t>16,800</w:t>
            </w:r>
          </w:p>
        </w:tc>
      </w:tr>
      <w:tr w:rsidR="00756B53" w:rsidRPr="00E83DA2" w:rsidTr="008A2E3C">
        <w:trPr>
          <w:cnfStyle w:val="000000100000"/>
        </w:trPr>
        <w:tc>
          <w:tcPr>
            <w:cnfStyle w:val="001000000000"/>
            <w:tcW w:w="463" w:type="dxa"/>
          </w:tcPr>
          <w:p w:rsidR="00756B53" w:rsidRPr="00E83DA2" w:rsidRDefault="00756B53" w:rsidP="008D2E39">
            <w:pPr>
              <w:rPr>
                <w:rFonts w:ascii="Gill Sans MT" w:hAnsi="Gill Sans MT"/>
              </w:rPr>
            </w:pPr>
            <w:r w:rsidRPr="00E83DA2">
              <w:rPr>
                <w:rFonts w:ascii="Gill Sans MT" w:hAnsi="Gill Sans MT"/>
              </w:rPr>
              <w:t>5</w:t>
            </w:r>
          </w:p>
        </w:tc>
        <w:tc>
          <w:tcPr>
            <w:tcW w:w="5218" w:type="dxa"/>
          </w:tcPr>
          <w:p w:rsidR="00756B53" w:rsidRPr="00E83DA2" w:rsidRDefault="00756B53" w:rsidP="008D2E39">
            <w:pPr>
              <w:cnfStyle w:val="000000100000"/>
              <w:rPr>
                <w:rFonts w:ascii="Gill Sans MT" w:hAnsi="Gill Sans MT"/>
              </w:rPr>
            </w:pPr>
            <w:r w:rsidRPr="00E83DA2">
              <w:rPr>
                <w:rFonts w:ascii="Gill Sans MT" w:hAnsi="Gill Sans MT"/>
              </w:rPr>
              <w:t>St Columba Falls</w:t>
            </w:r>
          </w:p>
        </w:tc>
        <w:tc>
          <w:tcPr>
            <w:tcW w:w="2847" w:type="dxa"/>
          </w:tcPr>
          <w:p w:rsidR="00756B53" w:rsidRPr="00E83DA2" w:rsidRDefault="00756B53" w:rsidP="008D2E39">
            <w:pPr>
              <w:cnfStyle w:val="000000100000"/>
              <w:rPr>
                <w:rFonts w:ascii="Gill Sans MT" w:hAnsi="Gill Sans MT"/>
              </w:rPr>
            </w:pPr>
            <w:r w:rsidRPr="00E83DA2">
              <w:rPr>
                <w:rFonts w:ascii="Gill Sans MT" w:hAnsi="Gill Sans MT"/>
              </w:rPr>
              <w:t>34,800</w:t>
            </w:r>
          </w:p>
        </w:tc>
      </w:tr>
      <w:tr w:rsidR="00756B53" w:rsidRPr="00E83DA2" w:rsidTr="008A2E3C">
        <w:tc>
          <w:tcPr>
            <w:cnfStyle w:val="001000000000"/>
            <w:tcW w:w="463" w:type="dxa"/>
          </w:tcPr>
          <w:p w:rsidR="00756B53" w:rsidRPr="00E83DA2" w:rsidRDefault="00756B53" w:rsidP="008D2E39">
            <w:pPr>
              <w:rPr>
                <w:rFonts w:ascii="Gill Sans MT" w:hAnsi="Gill Sans MT"/>
              </w:rPr>
            </w:pPr>
            <w:r w:rsidRPr="00E83DA2">
              <w:rPr>
                <w:rFonts w:ascii="Gill Sans MT" w:hAnsi="Gill Sans MT"/>
              </w:rPr>
              <w:t>6</w:t>
            </w:r>
          </w:p>
        </w:tc>
        <w:tc>
          <w:tcPr>
            <w:tcW w:w="5218" w:type="dxa"/>
          </w:tcPr>
          <w:p w:rsidR="00756B53" w:rsidRPr="00E83DA2" w:rsidRDefault="00756B53" w:rsidP="008D2E39">
            <w:pPr>
              <w:cnfStyle w:val="000000000000"/>
              <w:rPr>
                <w:rFonts w:ascii="Gill Sans MT" w:hAnsi="Gill Sans MT"/>
              </w:rPr>
            </w:pPr>
            <w:proofErr w:type="spellStart"/>
            <w:r w:rsidRPr="00E83DA2">
              <w:rPr>
                <w:rFonts w:ascii="Gill Sans MT" w:hAnsi="Gill Sans MT"/>
              </w:rPr>
              <w:t>Narawantapu</w:t>
            </w:r>
            <w:proofErr w:type="spellEnd"/>
            <w:r w:rsidRPr="00E83DA2">
              <w:rPr>
                <w:rFonts w:ascii="Gill Sans MT" w:hAnsi="Gill Sans MT"/>
              </w:rPr>
              <w:t xml:space="preserve"> National Park</w:t>
            </w:r>
          </w:p>
        </w:tc>
        <w:tc>
          <w:tcPr>
            <w:tcW w:w="2847" w:type="dxa"/>
          </w:tcPr>
          <w:p w:rsidR="00756B53" w:rsidRPr="00E83DA2" w:rsidRDefault="00756B53" w:rsidP="008D2E39">
            <w:pPr>
              <w:cnfStyle w:val="000000000000"/>
              <w:rPr>
                <w:rFonts w:ascii="Gill Sans MT" w:hAnsi="Gill Sans MT"/>
              </w:rPr>
            </w:pPr>
            <w:r w:rsidRPr="00E83DA2">
              <w:rPr>
                <w:rFonts w:ascii="Gill Sans MT" w:hAnsi="Gill Sans MT"/>
              </w:rPr>
              <w:t>13,700</w:t>
            </w:r>
          </w:p>
        </w:tc>
      </w:tr>
      <w:tr w:rsidR="00756B53" w:rsidRPr="00E83DA2" w:rsidTr="008A2E3C">
        <w:trPr>
          <w:cnfStyle w:val="000000100000"/>
        </w:trPr>
        <w:tc>
          <w:tcPr>
            <w:cnfStyle w:val="001000000000"/>
            <w:tcW w:w="463" w:type="dxa"/>
          </w:tcPr>
          <w:p w:rsidR="00756B53" w:rsidRPr="00E83DA2" w:rsidRDefault="00756B53" w:rsidP="008D2E39">
            <w:pPr>
              <w:rPr>
                <w:rFonts w:ascii="Gill Sans MT" w:hAnsi="Gill Sans MT"/>
              </w:rPr>
            </w:pPr>
            <w:r w:rsidRPr="00E83DA2">
              <w:rPr>
                <w:rFonts w:ascii="Gill Sans MT" w:hAnsi="Gill Sans MT"/>
              </w:rPr>
              <w:t>7</w:t>
            </w:r>
          </w:p>
        </w:tc>
        <w:tc>
          <w:tcPr>
            <w:tcW w:w="5218" w:type="dxa"/>
          </w:tcPr>
          <w:p w:rsidR="00756B53" w:rsidRPr="00E83DA2" w:rsidRDefault="00756B53" w:rsidP="008D2E39">
            <w:pPr>
              <w:cnfStyle w:val="000000100000"/>
              <w:rPr>
                <w:rFonts w:ascii="Gill Sans MT" w:hAnsi="Gill Sans MT"/>
              </w:rPr>
            </w:pPr>
            <w:r w:rsidRPr="00E83DA2">
              <w:rPr>
                <w:rFonts w:ascii="Gill Sans MT" w:hAnsi="Gill Sans MT"/>
              </w:rPr>
              <w:t>Bay of Fires</w:t>
            </w:r>
          </w:p>
        </w:tc>
        <w:tc>
          <w:tcPr>
            <w:tcW w:w="2847" w:type="dxa"/>
          </w:tcPr>
          <w:p w:rsidR="00756B53" w:rsidRPr="00E83DA2" w:rsidRDefault="00756B53" w:rsidP="008D2E39">
            <w:pPr>
              <w:cnfStyle w:val="000000100000"/>
              <w:rPr>
                <w:rFonts w:ascii="Gill Sans MT" w:hAnsi="Gill Sans MT"/>
              </w:rPr>
            </w:pPr>
            <w:r w:rsidRPr="00E83DA2">
              <w:rPr>
                <w:rFonts w:ascii="Gill Sans MT" w:hAnsi="Gill Sans MT"/>
              </w:rPr>
              <w:t>170,000</w:t>
            </w:r>
          </w:p>
        </w:tc>
      </w:tr>
      <w:tr w:rsidR="00756B53" w:rsidRPr="00E83DA2" w:rsidTr="008A2E3C">
        <w:tc>
          <w:tcPr>
            <w:cnfStyle w:val="001000000000"/>
            <w:tcW w:w="463" w:type="dxa"/>
          </w:tcPr>
          <w:p w:rsidR="00756B53" w:rsidRPr="00E83DA2" w:rsidRDefault="00756B53" w:rsidP="008D2E39">
            <w:pPr>
              <w:rPr>
                <w:rFonts w:ascii="Gill Sans MT" w:hAnsi="Gill Sans MT"/>
              </w:rPr>
            </w:pPr>
            <w:r w:rsidRPr="00E83DA2">
              <w:rPr>
                <w:rFonts w:ascii="Gill Sans MT" w:hAnsi="Gill Sans MT"/>
              </w:rPr>
              <w:t>8</w:t>
            </w:r>
          </w:p>
        </w:tc>
        <w:tc>
          <w:tcPr>
            <w:tcW w:w="5218" w:type="dxa"/>
          </w:tcPr>
          <w:p w:rsidR="00756B53" w:rsidRPr="00E83DA2" w:rsidRDefault="00756B53" w:rsidP="008D2E39">
            <w:pPr>
              <w:cnfStyle w:val="000000000000"/>
              <w:rPr>
                <w:rFonts w:ascii="Gill Sans MT" w:hAnsi="Gill Sans MT"/>
              </w:rPr>
            </w:pPr>
            <w:r w:rsidRPr="00E83DA2">
              <w:rPr>
                <w:rFonts w:ascii="Gill Sans MT" w:hAnsi="Gill Sans MT"/>
              </w:rPr>
              <w:t>Mole Creek Caves</w:t>
            </w:r>
          </w:p>
        </w:tc>
        <w:tc>
          <w:tcPr>
            <w:tcW w:w="2847" w:type="dxa"/>
          </w:tcPr>
          <w:p w:rsidR="00756B53" w:rsidRPr="00E83DA2" w:rsidRDefault="00756B53" w:rsidP="008D2E39">
            <w:pPr>
              <w:cnfStyle w:val="000000000000"/>
              <w:rPr>
                <w:rFonts w:ascii="Gill Sans MT" w:hAnsi="Gill Sans MT"/>
              </w:rPr>
            </w:pPr>
            <w:r w:rsidRPr="00E83DA2">
              <w:rPr>
                <w:rFonts w:ascii="Gill Sans MT" w:hAnsi="Gill Sans MT"/>
              </w:rPr>
              <w:t>30,800</w:t>
            </w:r>
          </w:p>
        </w:tc>
      </w:tr>
      <w:tr w:rsidR="00756B53" w:rsidRPr="00E83DA2" w:rsidTr="008A2E3C">
        <w:trPr>
          <w:cnfStyle w:val="000000100000"/>
        </w:trPr>
        <w:tc>
          <w:tcPr>
            <w:cnfStyle w:val="001000000000"/>
            <w:tcW w:w="463" w:type="dxa"/>
          </w:tcPr>
          <w:p w:rsidR="00756B53" w:rsidRPr="00E83DA2" w:rsidRDefault="00756B53" w:rsidP="008D2E39">
            <w:pPr>
              <w:rPr>
                <w:rFonts w:ascii="Gill Sans MT" w:hAnsi="Gill Sans MT"/>
              </w:rPr>
            </w:pPr>
            <w:r w:rsidRPr="00E83DA2">
              <w:rPr>
                <w:rFonts w:ascii="Gill Sans MT" w:hAnsi="Gill Sans MT"/>
              </w:rPr>
              <w:t>9</w:t>
            </w:r>
          </w:p>
        </w:tc>
        <w:tc>
          <w:tcPr>
            <w:tcW w:w="5218" w:type="dxa"/>
          </w:tcPr>
          <w:p w:rsidR="00756B53" w:rsidRPr="00E83DA2" w:rsidRDefault="00756B53" w:rsidP="008D2E39">
            <w:pPr>
              <w:cnfStyle w:val="000000100000"/>
              <w:rPr>
                <w:rFonts w:ascii="Gill Sans MT" w:hAnsi="Gill Sans MT"/>
              </w:rPr>
            </w:pPr>
            <w:r w:rsidRPr="00E83DA2">
              <w:rPr>
                <w:rFonts w:ascii="Gill Sans MT" w:hAnsi="Gill Sans MT"/>
              </w:rPr>
              <w:t>Mt William National Park</w:t>
            </w:r>
          </w:p>
        </w:tc>
        <w:tc>
          <w:tcPr>
            <w:tcW w:w="2847" w:type="dxa"/>
          </w:tcPr>
          <w:p w:rsidR="00756B53" w:rsidRPr="00E83DA2" w:rsidRDefault="00756B53" w:rsidP="008D2E39">
            <w:pPr>
              <w:cnfStyle w:val="000000100000"/>
              <w:rPr>
                <w:rFonts w:ascii="Gill Sans MT" w:hAnsi="Gill Sans MT"/>
              </w:rPr>
            </w:pPr>
            <w:r w:rsidRPr="00E83DA2">
              <w:rPr>
                <w:rFonts w:ascii="Gill Sans MT" w:hAnsi="Gill Sans MT"/>
              </w:rPr>
              <w:t>18,300</w:t>
            </w:r>
          </w:p>
        </w:tc>
      </w:tr>
      <w:tr w:rsidR="00756B53" w:rsidRPr="00E83DA2" w:rsidTr="008A2E3C">
        <w:tc>
          <w:tcPr>
            <w:cnfStyle w:val="001000000000"/>
            <w:tcW w:w="463" w:type="dxa"/>
          </w:tcPr>
          <w:p w:rsidR="00756B53" w:rsidRPr="00E83DA2" w:rsidRDefault="008F0359" w:rsidP="008D2E39">
            <w:pPr>
              <w:rPr>
                <w:rFonts w:ascii="Gill Sans MT" w:hAnsi="Gill Sans MT"/>
              </w:rPr>
            </w:pPr>
            <w:r w:rsidRPr="008F0359">
              <w:rPr>
                <w:noProof/>
                <w:lang w:eastAsia="en-AU"/>
              </w:rPr>
              <w:pict>
                <v:rect id="_x0000_s1238" style="position:absolute;margin-left:-56.4pt;margin-top:30.8pt;width:554.2pt;height:78.2pt;z-index:251704832;mso-position-horizontal-relative:text;mso-position-vertical-relative:text" stroked="f"/>
              </w:pict>
            </w:r>
            <w:r w:rsidRPr="008F0359">
              <w:rPr>
                <w:noProof/>
                <w:lang w:val="en-US" w:eastAsia="zh-TW"/>
              </w:rPr>
              <w:pict>
                <v:shape id="_x0000_s1211" type="#_x0000_t202" style="position:absolute;margin-left:-7.7pt;margin-top:10.2pt;width:427.45pt;height:50.5pt;z-index:251705856;mso-position-horizontal-relative:text;mso-position-vertical-relative:text;mso-width-relative:margin;mso-height-relative:margin" filled="f" stroked="f">
                  <v:textbox>
                    <w:txbxContent>
                      <w:p w:rsidR="00A50F40" w:rsidRPr="00D11F89" w:rsidRDefault="00A50F40" w:rsidP="00D11F89">
                        <w:pPr>
                          <w:pStyle w:val="Heading3"/>
                          <w:cnfStyle w:val="001000000000"/>
                          <w:rPr>
                            <w:color w:val="auto"/>
                          </w:rPr>
                        </w:pPr>
                        <w:bookmarkStart w:id="234" w:name="_Toc332114149"/>
                        <w:bookmarkStart w:id="235" w:name="_Toc332115815"/>
                        <w:proofErr w:type="gramStart"/>
                        <w:r>
                          <w:rPr>
                            <w:i/>
                            <w:color w:val="auto"/>
                          </w:rPr>
                          <w:t>Figure 41</w:t>
                        </w:r>
                        <w:r w:rsidRPr="008A2E3C">
                          <w:rPr>
                            <w:color w:val="auto"/>
                          </w:rPr>
                          <w:t>.</w:t>
                        </w:r>
                        <w:proofErr w:type="gramEnd"/>
                        <w:r w:rsidRPr="008A2E3C">
                          <w:rPr>
                            <w:color w:val="auto"/>
                          </w:rPr>
                          <w:t xml:space="preserve"> Selection of notable tourist attractions in the Northern Region with total visitations in 2011 </w:t>
                        </w:r>
                        <w:r w:rsidRPr="008A2E3C">
                          <w:rPr>
                            <w:i/>
                            <w:color w:val="auto"/>
                          </w:rPr>
                          <w:t xml:space="preserve">(numbering corresponds with </w:t>
                        </w:r>
                        <w:r w:rsidR="00554A2F">
                          <w:rPr>
                            <w:i/>
                            <w:color w:val="auto"/>
                          </w:rPr>
                          <w:t>Figure 42</w:t>
                        </w:r>
                        <w:r w:rsidRPr="008A2E3C">
                          <w:rPr>
                            <w:color w:val="auto"/>
                          </w:rPr>
                          <w:t xml:space="preserve"> </w:t>
                        </w:r>
                        <w:r w:rsidRPr="008A2E3C">
                          <w:rPr>
                            <w:i/>
                            <w:color w:val="auto"/>
                          </w:rPr>
                          <w:t>(</w:t>
                        </w:r>
                        <w:proofErr w:type="spellStart"/>
                        <w:r w:rsidRPr="008A2E3C">
                          <w:rPr>
                            <w:i/>
                            <w:color w:val="auto"/>
                          </w:rPr>
                          <w:t>overpage</w:t>
                        </w:r>
                        <w:proofErr w:type="spellEnd"/>
                        <w:r w:rsidRPr="008A2E3C">
                          <w:rPr>
                            <w:i/>
                            <w:color w:val="auto"/>
                          </w:rPr>
                          <w:t>))</w:t>
                        </w:r>
                        <w:r w:rsidRPr="008A2E3C">
                          <w:rPr>
                            <w:color w:val="auto"/>
                          </w:rPr>
                          <w:t>.</w:t>
                        </w:r>
                        <w:bookmarkEnd w:id="234"/>
                        <w:bookmarkEnd w:id="235"/>
                      </w:p>
                    </w:txbxContent>
                  </v:textbox>
                </v:shape>
              </w:pict>
            </w:r>
            <w:r w:rsidR="00756B53" w:rsidRPr="00E83DA2">
              <w:rPr>
                <w:rFonts w:ascii="Gill Sans MT" w:hAnsi="Gill Sans MT"/>
              </w:rPr>
              <w:t>10</w:t>
            </w:r>
          </w:p>
        </w:tc>
        <w:tc>
          <w:tcPr>
            <w:tcW w:w="5218" w:type="dxa"/>
          </w:tcPr>
          <w:p w:rsidR="00756B53" w:rsidRPr="00E83DA2" w:rsidRDefault="00756B53" w:rsidP="008D2E39">
            <w:pPr>
              <w:cnfStyle w:val="000000000000"/>
              <w:rPr>
                <w:rFonts w:ascii="Gill Sans MT" w:hAnsi="Gill Sans MT"/>
              </w:rPr>
            </w:pPr>
            <w:r w:rsidRPr="00E83DA2">
              <w:rPr>
                <w:rFonts w:ascii="Gill Sans MT" w:hAnsi="Gill Sans MT"/>
              </w:rPr>
              <w:t>Douglas Apsley National Park</w:t>
            </w:r>
          </w:p>
        </w:tc>
        <w:tc>
          <w:tcPr>
            <w:tcW w:w="2847" w:type="dxa"/>
          </w:tcPr>
          <w:p w:rsidR="00756B53" w:rsidRPr="00E83DA2" w:rsidRDefault="00756B53" w:rsidP="008D2E39">
            <w:pPr>
              <w:cnfStyle w:val="000000000000"/>
              <w:rPr>
                <w:rFonts w:ascii="Gill Sans MT" w:hAnsi="Gill Sans MT"/>
              </w:rPr>
            </w:pPr>
            <w:r w:rsidRPr="00E83DA2">
              <w:rPr>
                <w:rFonts w:ascii="Gill Sans MT" w:hAnsi="Gill Sans MT"/>
              </w:rPr>
              <w:t>17,700</w:t>
            </w:r>
          </w:p>
        </w:tc>
      </w:tr>
    </w:tbl>
    <w:p w:rsidR="00756B53" w:rsidRDefault="00756B53" w:rsidP="00D11F89">
      <w:pPr>
        <w:pStyle w:val="Heading2"/>
        <w:ind w:left="-709"/>
      </w:pPr>
      <w:r w:rsidRPr="00E83DA2">
        <w:rPr>
          <w:noProof/>
          <w:lang w:eastAsia="en-AU"/>
        </w:rPr>
        <w:lastRenderedPageBreak/>
        <w:drawing>
          <wp:inline distT="0" distB="0" distL="0" distR="0">
            <wp:extent cx="6190894" cy="6162087"/>
            <wp:effectExtent l="19050" t="0" r="356" b="0"/>
            <wp:docPr id="98" name="Picture 0" descr="North with Tourist Routes and Towns - with tourist sites and town names marked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 with Tourist Routes and Towns - with tourist sites and town names marked 2.bmp"/>
                    <pic:cNvPicPr/>
                  </pic:nvPicPr>
                  <pic:blipFill>
                    <a:blip r:embed="rId44" cstate="print"/>
                    <a:stretch>
                      <a:fillRect/>
                    </a:stretch>
                  </pic:blipFill>
                  <pic:spPr>
                    <a:xfrm>
                      <a:off x="0" y="0"/>
                      <a:ext cx="6190894" cy="6162087"/>
                    </a:xfrm>
                    <a:prstGeom prst="rect">
                      <a:avLst/>
                    </a:prstGeom>
                  </pic:spPr>
                </pic:pic>
              </a:graphicData>
            </a:graphic>
          </wp:inline>
        </w:drawing>
      </w:r>
    </w:p>
    <w:p w:rsidR="00D11F89" w:rsidRPr="00D11F89" w:rsidRDefault="00666BF3" w:rsidP="00D11F89">
      <w:pPr>
        <w:pStyle w:val="Heading3"/>
        <w:rPr>
          <w:i/>
          <w:color w:val="auto"/>
        </w:rPr>
      </w:pPr>
      <w:bookmarkStart w:id="236" w:name="_Toc332114150"/>
      <w:bookmarkStart w:id="237" w:name="_Toc332115816"/>
      <w:proofErr w:type="gramStart"/>
      <w:r>
        <w:rPr>
          <w:i/>
          <w:color w:val="auto"/>
        </w:rPr>
        <w:t>Figure 42</w:t>
      </w:r>
      <w:r w:rsidR="00D11F89" w:rsidRPr="00D11F89">
        <w:rPr>
          <w:i/>
          <w:color w:val="auto"/>
        </w:rPr>
        <w:t>.</w:t>
      </w:r>
      <w:proofErr w:type="gramEnd"/>
      <w:r w:rsidR="00D11F89" w:rsidRPr="00D11F89">
        <w:rPr>
          <w:color w:val="auto"/>
        </w:rPr>
        <w:t xml:space="preserve">  Map of Northern Tasmania, displaying trails and locations of attractions listed in </w:t>
      </w:r>
      <w:r>
        <w:rPr>
          <w:i/>
          <w:color w:val="auto"/>
        </w:rPr>
        <w:t>Figure</w:t>
      </w:r>
      <w:r w:rsidR="00D11F89" w:rsidRPr="00D11F89">
        <w:rPr>
          <w:i/>
          <w:color w:val="auto"/>
        </w:rPr>
        <w:t xml:space="preserve"> </w:t>
      </w:r>
      <w:bookmarkEnd w:id="236"/>
      <w:bookmarkEnd w:id="237"/>
      <w:r>
        <w:rPr>
          <w:i/>
          <w:color w:val="auto"/>
        </w:rPr>
        <w:t>4</w:t>
      </w:r>
      <w:r w:rsidR="00D11F89" w:rsidRPr="00D11F89">
        <w:rPr>
          <w:i/>
          <w:color w:val="auto"/>
        </w:rPr>
        <w:t>1.</w:t>
      </w:r>
    </w:p>
    <w:p w:rsidR="00D11F89" w:rsidRPr="00D11F89" w:rsidRDefault="00D11F89" w:rsidP="00D11F89"/>
    <w:p w:rsidR="00756B53" w:rsidRPr="00E83DA2" w:rsidRDefault="00756B53" w:rsidP="00756B53">
      <w:pPr>
        <w:pStyle w:val="Heading2"/>
      </w:pPr>
      <w:bookmarkStart w:id="238" w:name="_Toc332033622"/>
      <w:bookmarkStart w:id="239" w:name="_Toc332114151"/>
      <w:bookmarkStart w:id="240" w:name="_Toc332115817"/>
      <w:r w:rsidRPr="00E83DA2">
        <w:t>Tourism Organisations</w:t>
      </w:r>
      <w:bookmarkEnd w:id="238"/>
      <w:bookmarkEnd w:id="239"/>
      <w:bookmarkEnd w:id="240"/>
    </w:p>
    <w:p w:rsidR="00756B53" w:rsidRPr="00E83DA2" w:rsidRDefault="00756B53" w:rsidP="00756B53">
      <w:pPr>
        <w:autoSpaceDE w:val="0"/>
        <w:autoSpaceDN w:val="0"/>
        <w:adjustRightInd w:val="0"/>
        <w:spacing w:after="0"/>
        <w:rPr>
          <w:rFonts w:ascii="Gill Sans MT" w:hAnsi="Gill Sans MT" w:cs="HelveticaNeue LT 57 Cn"/>
        </w:rPr>
      </w:pPr>
      <w:r w:rsidRPr="00E83DA2">
        <w:rPr>
          <w:rFonts w:ascii="Gill Sans MT" w:hAnsi="Gill Sans MT" w:cs="HelveticaNeue LT 57 Cn"/>
        </w:rPr>
        <w:t xml:space="preserve">There are a number of organisations which help to market Tasmania and the Northern Region in particular as a tourist destination.  These organisations work in conjunction with Local Government, private sector and State Government to ensure that infrastructure and development supports and encourages tourism in the region.  </w:t>
      </w:r>
      <w:r w:rsidR="00554A2F">
        <w:rPr>
          <w:rFonts w:ascii="Gill Sans MT" w:hAnsi="Gill Sans MT" w:cs="HelveticaNeue LT 57 Cn"/>
        </w:rPr>
        <w:t>A</w:t>
      </w:r>
      <w:r w:rsidRPr="00E83DA2">
        <w:rPr>
          <w:rFonts w:ascii="Gill Sans MT" w:hAnsi="Gill Sans MT" w:cs="HelveticaNeue LT 57 Cn"/>
        </w:rPr>
        <w:t xml:space="preserve"> new Regional Tourism Organisation (RTO) </w:t>
      </w:r>
      <w:r w:rsidR="00554A2F">
        <w:rPr>
          <w:rFonts w:ascii="Gill Sans MT" w:hAnsi="Gill Sans MT" w:cs="HelveticaNeue LT 57 Cn"/>
        </w:rPr>
        <w:t xml:space="preserve">has been established </w:t>
      </w:r>
      <w:r w:rsidRPr="00E83DA2">
        <w:rPr>
          <w:rFonts w:ascii="Gill Sans MT" w:hAnsi="Gill Sans MT" w:cs="HelveticaNeue LT 57 Cn"/>
        </w:rPr>
        <w:t xml:space="preserve">for the North, which will assist the development of a new regional cooperative tourism marketing program for the Northern Region. </w:t>
      </w:r>
    </w:p>
    <w:p w:rsidR="00756B53" w:rsidRPr="00E83DA2" w:rsidRDefault="00756B53" w:rsidP="00756B53">
      <w:pPr>
        <w:rPr>
          <w:rFonts w:ascii="Gill Sans MT" w:hAnsi="Gill Sans MT"/>
        </w:rPr>
      </w:pPr>
    </w:p>
    <w:p w:rsidR="00756B53" w:rsidRPr="00E83DA2" w:rsidRDefault="00756B53" w:rsidP="00756B53">
      <w:pPr>
        <w:pStyle w:val="Heading2"/>
      </w:pPr>
      <w:bookmarkStart w:id="241" w:name="_Toc332033623"/>
      <w:bookmarkStart w:id="242" w:name="_Toc332114152"/>
      <w:bookmarkStart w:id="243" w:name="_Toc332115818"/>
      <w:r w:rsidRPr="00E83DA2">
        <w:lastRenderedPageBreak/>
        <w:t>Tourism and land use planning</w:t>
      </w:r>
      <w:bookmarkEnd w:id="241"/>
      <w:bookmarkEnd w:id="242"/>
      <w:bookmarkEnd w:id="243"/>
    </w:p>
    <w:p w:rsidR="00756B53" w:rsidRPr="00E83DA2" w:rsidRDefault="00756B53" w:rsidP="00756B53">
      <w:pPr>
        <w:rPr>
          <w:rFonts w:ascii="Gill Sans MT" w:hAnsi="Gill Sans MT"/>
        </w:rPr>
      </w:pPr>
      <w:r w:rsidRPr="00E83DA2">
        <w:rPr>
          <w:rFonts w:ascii="Gill Sans MT" w:hAnsi="Gill Sans MT"/>
        </w:rPr>
        <w:t>Tourists are important users of the Region’s transport network. Travel varies by visitor type, transport mode and is spread unevenly across seasons and throughout the day.</w:t>
      </w:r>
    </w:p>
    <w:p w:rsidR="00756B53" w:rsidRPr="00E83DA2" w:rsidRDefault="00756B53" w:rsidP="00756B53">
      <w:pPr>
        <w:rPr>
          <w:rFonts w:ascii="Gill Sans MT" w:hAnsi="Gill Sans MT"/>
        </w:rPr>
      </w:pPr>
      <w:r w:rsidRPr="00E83DA2">
        <w:rPr>
          <w:rFonts w:ascii="Gill Sans MT" w:hAnsi="Gill Sans MT"/>
        </w:rPr>
        <w:t>In order to meet the transport needs of tourists, it is important to:</w:t>
      </w:r>
    </w:p>
    <w:p w:rsidR="00756B53" w:rsidRPr="00E83DA2" w:rsidRDefault="00756B53" w:rsidP="00D11F89">
      <w:pPr>
        <w:pStyle w:val="ListParagraph"/>
        <w:numPr>
          <w:ilvl w:val="0"/>
          <w:numId w:val="35"/>
        </w:numPr>
        <w:ind w:left="426"/>
        <w:rPr>
          <w:rFonts w:ascii="Gill Sans MT" w:hAnsi="Gill Sans MT"/>
        </w:rPr>
      </w:pPr>
      <w:r w:rsidRPr="00E83DA2">
        <w:rPr>
          <w:rFonts w:ascii="Gill Sans MT" w:hAnsi="Gill Sans MT"/>
        </w:rPr>
        <w:t>Understand tourist movements into and within the Region;</w:t>
      </w:r>
    </w:p>
    <w:p w:rsidR="00756B53" w:rsidRPr="00E83DA2" w:rsidRDefault="00756B53" w:rsidP="00D11F89">
      <w:pPr>
        <w:pStyle w:val="ListParagraph"/>
        <w:numPr>
          <w:ilvl w:val="0"/>
          <w:numId w:val="35"/>
        </w:numPr>
        <w:ind w:left="426"/>
        <w:rPr>
          <w:rFonts w:ascii="Gill Sans MT" w:hAnsi="Gill Sans MT"/>
        </w:rPr>
      </w:pPr>
      <w:r w:rsidRPr="00E83DA2">
        <w:rPr>
          <w:rFonts w:ascii="Gill Sans MT" w:hAnsi="Gill Sans MT"/>
        </w:rPr>
        <w:t xml:space="preserve">Understand the needs of specific modes; </w:t>
      </w:r>
    </w:p>
    <w:p w:rsidR="00756B53" w:rsidRPr="00E83DA2" w:rsidRDefault="00756B53" w:rsidP="00D11F89">
      <w:pPr>
        <w:pStyle w:val="ListParagraph"/>
        <w:numPr>
          <w:ilvl w:val="0"/>
          <w:numId w:val="35"/>
        </w:numPr>
        <w:ind w:left="426"/>
        <w:rPr>
          <w:rFonts w:ascii="Gill Sans MT" w:hAnsi="Gill Sans MT"/>
        </w:rPr>
      </w:pPr>
      <w:r w:rsidRPr="00E83DA2">
        <w:rPr>
          <w:rFonts w:ascii="Gill Sans MT" w:hAnsi="Gill Sans MT"/>
        </w:rPr>
        <w:t xml:space="preserve">Maintain visible, appropriate and up-to-date signage of key attractions; and </w:t>
      </w:r>
    </w:p>
    <w:p w:rsidR="00756B53" w:rsidRPr="00E83DA2" w:rsidRDefault="00756B53" w:rsidP="00D11F89">
      <w:pPr>
        <w:pStyle w:val="ListParagraph"/>
        <w:numPr>
          <w:ilvl w:val="0"/>
          <w:numId w:val="35"/>
        </w:numPr>
        <w:ind w:left="426"/>
        <w:rPr>
          <w:rFonts w:ascii="Gill Sans MT" w:hAnsi="Gill Sans MT"/>
        </w:rPr>
      </w:pPr>
      <w:r w:rsidRPr="00E83DA2">
        <w:rPr>
          <w:rFonts w:ascii="Gill Sans MT" w:hAnsi="Gill Sans MT"/>
        </w:rPr>
        <w:t>Appreciate the seasonal variations influencing network usage and traffic volumes.</w:t>
      </w:r>
    </w:p>
    <w:p w:rsidR="00756B53" w:rsidRPr="00E83DA2" w:rsidRDefault="00756B53" w:rsidP="00756B53">
      <w:pPr>
        <w:rPr>
          <w:rFonts w:ascii="Gill Sans MT" w:hAnsi="Gill Sans MT"/>
        </w:rPr>
      </w:pPr>
      <w:r w:rsidRPr="00E83DA2">
        <w:rPr>
          <w:rFonts w:ascii="Gill Sans MT" w:hAnsi="Gill Sans MT"/>
        </w:rPr>
        <w:t>Improved understanding of the nature and range of tourist movements in Tasmania would be beneficial to both transport and tourism planning. Further research and coordination in this area would create a better understanding of the relative mix of tourist versus private or commercial traffic along a given road corridor, and inform planning that incorporates the needs of different transport users in relation to supporting infrastructure (for example, signage, roadside lookouts and rest areas).</w:t>
      </w:r>
    </w:p>
    <w:p w:rsidR="00756B53" w:rsidRPr="00E83DA2" w:rsidRDefault="00756B53" w:rsidP="00756B53">
      <w:pPr>
        <w:rPr>
          <w:rFonts w:ascii="Gill Sans MT" w:hAnsi="Gill Sans MT"/>
        </w:rPr>
      </w:pPr>
      <w:r w:rsidRPr="00E83DA2">
        <w:rPr>
          <w:rFonts w:ascii="Gill Sans MT" w:hAnsi="Gill Sans MT"/>
        </w:rPr>
        <w:t>Tourism planning considerations relate to both on-road conditions and supporting off-road infrastructure. Passenger transport linkages between key locations, including air and seaports with major townships, are also important. The location of activities and attractions to complement and capitalise on touring routes and the road network benefits both private enterprise and government.</w:t>
      </w:r>
    </w:p>
    <w:p w:rsidR="00756B53" w:rsidRPr="00E83DA2" w:rsidRDefault="00756B53" w:rsidP="00756B53">
      <w:pPr>
        <w:rPr>
          <w:rFonts w:ascii="Gill Sans MT" w:hAnsi="Gill Sans MT"/>
        </w:rPr>
      </w:pPr>
      <w:r w:rsidRPr="00E83DA2">
        <w:rPr>
          <w:rFonts w:ascii="Gill Sans MT" w:hAnsi="Gill Sans MT"/>
        </w:rPr>
        <w:t>The transport and infrastructure requirements of tourists should be met at a strategic level in consideration of the range of factors that inform infrastructure planning – including safety, major users of road corridors, current and future traffic volumes, total tourist volumes, and budgetary constraints. Solutions are likely to be contextual and should focus on complementary infrastructure and non-infrastructure solutions. For example, the newly implemented Tiger Bus routes provide free travel for both residents and visitors travel around the Launceston City Centre and to key attractions, such as the Cataract Gorge.</w:t>
      </w:r>
    </w:p>
    <w:p w:rsidR="00756B53" w:rsidRPr="00E83DA2" w:rsidRDefault="00756B53" w:rsidP="00756B53">
      <w:pPr>
        <w:pStyle w:val="Heading2"/>
      </w:pPr>
      <w:bookmarkStart w:id="244" w:name="_Toc332033624"/>
      <w:bookmarkStart w:id="245" w:name="_Toc332114153"/>
      <w:bookmarkStart w:id="246" w:name="_Toc332115819"/>
      <w:r w:rsidRPr="00E83DA2">
        <w:t>Touring styles</w:t>
      </w:r>
      <w:bookmarkEnd w:id="244"/>
      <w:bookmarkEnd w:id="245"/>
      <w:bookmarkEnd w:id="246"/>
    </w:p>
    <w:p w:rsidR="00756B53" w:rsidRPr="00E83DA2" w:rsidRDefault="00756B53" w:rsidP="00756B53">
      <w:pPr>
        <w:pStyle w:val="Heading3"/>
      </w:pPr>
      <w:bookmarkStart w:id="247" w:name="_Toc332114154"/>
      <w:bookmarkStart w:id="248" w:name="_Toc332115820"/>
      <w:r w:rsidRPr="00E83DA2">
        <w:t>Self-drive tourism</w:t>
      </w:r>
      <w:bookmarkEnd w:id="247"/>
      <w:bookmarkEnd w:id="248"/>
    </w:p>
    <w:p w:rsidR="00756B53" w:rsidRPr="00E83DA2" w:rsidRDefault="00756B53" w:rsidP="00756B53">
      <w:pPr>
        <w:rPr>
          <w:rFonts w:ascii="Gill Sans MT" w:hAnsi="Gill Sans MT"/>
        </w:rPr>
      </w:pPr>
      <w:r w:rsidRPr="00E83DA2">
        <w:rPr>
          <w:rFonts w:ascii="Gill Sans MT" w:hAnsi="Gill Sans MT"/>
        </w:rPr>
        <w:t xml:space="preserve">Self-drive tourism is one of the State’s main touring methods. The attractiveness of both Tasmania, and the Region, as a touring destination reflects the relatively short driving distances, wide distribution of towns and attractions which can be reached in one day, and the high standard and range in both hotel and ‘bed and breakfast’ accommodation available. </w:t>
      </w:r>
      <w:r w:rsidRPr="00E83DA2">
        <w:rPr>
          <w:rFonts w:ascii="Gill Sans MT" w:hAnsi="Gill Sans MT"/>
        </w:rPr>
        <w:lastRenderedPageBreak/>
        <w:t xml:space="preserve">Privately-owned or rental vehicles also provide tourists with freedom and spontaneity in their holiday planning. </w:t>
      </w:r>
    </w:p>
    <w:p w:rsidR="00756B53" w:rsidRPr="00E83DA2" w:rsidRDefault="00756B53" w:rsidP="00756B53">
      <w:pPr>
        <w:pStyle w:val="Heading3"/>
      </w:pPr>
      <w:bookmarkStart w:id="249" w:name="_Toc332114155"/>
      <w:bookmarkStart w:id="250" w:name="_Toc332115821"/>
      <w:r w:rsidRPr="00E83DA2">
        <w:t>Camping and caravanning</w:t>
      </w:r>
      <w:bookmarkEnd w:id="249"/>
      <w:bookmarkEnd w:id="250"/>
    </w:p>
    <w:p w:rsidR="00756B53" w:rsidRPr="00E83DA2" w:rsidRDefault="00756B53" w:rsidP="00756B53">
      <w:pPr>
        <w:rPr>
          <w:rFonts w:ascii="Gill Sans MT" w:hAnsi="Gill Sans MT"/>
        </w:rPr>
      </w:pPr>
      <w:r w:rsidRPr="00E83DA2">
        <w:rPr>
          <w:rFonts w:ascii="Gill Sans MT" w:hAnsi="Gill Sans MT"/>
        </w:rPr>
        <w:t xml:space="preserve">Unlike most tourist accommodations, caravan, campgrounds and holiday parks are most often located outside major urban centres. This form of accommodation supplies almost half of all commercial accommodation for the Northern Region outside of Launceston; tourists of this type tend to stay twice as long as other tourist types.   </w:t>
      </w:r>
    </w:p>
    <w:p w:rsidR="00756B53" w:rsidRPr="00E83DA2" w:rsidRDefault="00756B53" w:rsidP="00756B53">
      <w:pPr>
        <w:rPr>
          <w:rFonts w:ascii="Gill Sans MT" w:hAnsi="Gill Sans MT"/>
        </w:rPr>
      </w:pPr>
      <w:r w:rsidRPr="00E83DA2">
        <w:rPr>
          <w:rFonts w:ascii="Gill Sans MT" w:hAnsi="Gill Sans MT"/>
        </w:rPr>
        <w:t>Caravan and campervan tourists have greater flexibility in their overnight travel arrangements, and do not necessarily require staying in established accommodation parks. Each local government has its own method for managing ‘free camping’ and roadside camping, in which motor homes and campervans make use of roadsides, car parks, public camping grounds and other public places. Some local governments provide designated areas for campervans and motor homes to stop overnight. Examples include the Scottsdale Rest Area off the Tasman Highway at Scottsdale, and the Conara Rest Area along the Midland Highway to the north of Campbell Town. A coordinated approach to the provision of facilities for campervans and motor homes is required within the region to help improve visitors’ experiences and maintain the integrity of transport infrastructure and the environment for the enjoyment of other road users.</w:t>
      </w:r>
    </w:p>
    <w:p w:rsidR="00756B53" w:rsidRPr="00E83DA2" w:rsidRDefault="00756B53" w:rsidP="00756B53">
      <w:pPr>
        <w:pStyle w:val="Heading3"/>
      </w:pPr>
      <w:bookmarkStart w:id="251" w:name="_Toc332114156"/>
      <w:bookmarkStart w:id="252" w:name="_Toc332115822"/>
      <w:r w:rsidRPr="00E83DA2">
        <w:t>Cycling</w:t>
      </w:r>
      <w:bookmarkEnd w:id="251"/>
      <w:bookmarkEnd w:id="252"/>
    </w:p>
    <w:p w:rsidR="00756B53" w:rsidRPr="00E83DA2" w:rsidRDefault="00756B53" w:rsidP="00756B53">
      <w:pPr>
        <w:rPr>
          <w:rFonts w:ascii="Gill Sans MT" w:hAnsi="Gill Sans MT"/>
        </w:rPr>
      </w:pPr>
      <w:r w:rsidRPr="00E83DA2">
        <w:rPr>
          <w:rFonts w:ascii="Gill Sans MT" w:hAnsi="Gill Sans MT"/>
        </w:rPr>
        <w:t xml:space="preserve">While still only a small proportion of visitors to the Northern Region use cycling as a mode of transport, it is growing in popularity.  In particular, the Northern Region’s many natural attractions are becoming popular with mountain bikers, and a number of trails have been developed around the </w:t>
      </w:r>
      <w:proofErr w:type="gramStart"/>
      <w:r w:rsidRPr="00E83DA2">
        <w:rPr>
          <w:rFonts w:ascii="Gill Sans MT" w:hAnsi="Gill Sans MT"/>
        </w:rPr>
        <w:t>region which take</w:t>
      </w:r>
      <w:proofErr w:type="gramEnd"/>
      <w:r w:rsidRPr="00E83DA2">
        <w:rPr>
          <w:rFonts w:ascii="Gill Sans MT" w:hAnsi="Gill Sans MT"/>
        </w:rPr>
        <w:t xml:space="preserve"> advantage of this.  </w:t>
      </w:r>
    </w:p>
    <w:p w:rsidR="00756B53" w:rsidRPr="00E83DA2" w:rsidRDefault="00756B53" w:rsidP="00756B53">
      <w:pPr>
        <w:autoSpaceDE w:val="0"/>
        <w:autoSpaceDN w:val="0"/>
        <w:adjustRightInd w:val="0"/>
        <w:spacing w:after="0" w:line="240" w:lineRule="auto"/>
        <w:rPr>
          <w:rFonts w:ascii="Gill Sans MT" w:hAnsi="Gill Sans MT"/>
          <w:b/>
          <w:bCs/>
        </w:rPr>
      </w:pPr>
      <w:r w:rsidRPr="00E83DA2">
        <w:rPr>
          <w:rFonts w:ascii="Gill Sans MT" w:hAnsi="Gill Sans MT"/>
          <w:bCs/>
        </w:rPr>
        <w:t>While there may not be a large number of people using their bikes to get to work, cycling is growing in popularity, and the Northern Region is well-serviced with infrastructure and information to assist people to access the region via mountain bike.  R</w:t>
      </w:r>
      <w:r w:rsidRPr="00E83DA2">
        <w:rPr>
          <w:rFonts w:ascii="Gill Sans MT" w:hAnsi="Gill Sans MT" w:cs="Futura-Light"/>
        </w:rPr>
        <w:t xml:space="preserve">ecent studies recognise that one of the primary motivators for visitors to Northern Tasmania is nature based experiences, and cycling/mountain biking trails often take advantage of the natural beauty of the region.  </w:t>
      </w:r>
    </w:p>
    <w:p w:rsidR="00756B53" w:rsidRPr="00E83DA2" w:rsidRDefault="00756B53" w:rsidP="00756B53">
      <w:pPr>
        <w:pStyle w:val="Default"/>
        <w:rPr>
          <w:rFonts w:ascii="Gill Sans MT" w:hAnsi="Gill Sans MT"/>
          <w:sz w:val="22"/>
          <w:szCs w:val="22"/>
        </w:rPr>
      </w:pPr>
    </w:p>
    <w:p w:rsidR="00756B53" w:rsidRPr="00E83DA2" w:rsidRDefault="00756B53" w:rsidP="00756B53">
      <w:pPr>
        <w:pStyle w:val="Default"/>
        <w:rPr>
          <w:rFonts w:ascii="Gill Sans MT" w:hAnsi="Gill Sans MT"/>
          <w:sz w:val="22"/>
          <w:szCs w:val="22"/>
        </w:rPr>
      </w:pPr>
      <w:r w:rsidRPr="00E83DA2">
        <w:rPr>
          <w:rFonts w:ascii="Gill Sans MT" w:hAnsi="Gill Sans MT"/>
          <w:sz w:val="22"/>
          <w:szCs w:val="22"/>
        </w:rPr>
        <w:t xml:space="preserve">In 2011, a report prepared for Northern Tasmania Development investigated the tourism potential of the mountain bike market within Northern Tasmania. Mountain bike infrastructure development within the northern region includes: </w:t>
      </w:r>
    </w:p>
    <w:p w:rsidR="00756B53" w:rsidRPr="00E83DA2" w:rsidRDefault="00756B53" w:rsidP="00D11F89">
      <w:pPr>
        <w:pStyle w:val="ListParagraph"/>
        <w:numPr>
          <w:ilvl w:val="0"/>
          <w:numId w:val="41"/>
        </w:numPr>
        <w:spacing w:before="100" w:beforeAutospacing="1" w:after="120" w:line="240" w:lineRule="auto"/>
        <w:ind w:left="426" w:hanging="357"/>
        <w:contextualSpacing w:val="0"/>
        <w:jc w:val="both"/>
        <w:rPr>
          <w:rFonts w:ascii="Gill Sans MT" w:hAnsi="Gill Sans MT" w:cs="Arial"/>
        </w:rPr>
      </w:pPr>
      <w:r w:rsidRPr="00E83DA2">
        <w:rPr>
          <w:rFonts w:ascii="Gill Sans MT" w:hAnsi="Gill Sans MT" w:cs="Arial"/>
        </w:rPr>
        <w:t xml:space="preserve">Mountain bike authorised trails within Launceston City, with the majority occurring in Trevallyn and Kate Reed Nature Recreation Areas; </w:t>
      </w:r>
    </w:p>
    <w:p w:rsidR="00756B53" w:rsidRPr="00E83DA2" w:rsidRDefault="00756B53" w:rsidP="00D11F89">
      <w:pPr>
        <w:pStyle w:val="ListParagraph"/>
        <w:numPr>
          <w:ilvl w:val="0"/>
          <w:numId w:val="41"/>
        </w:numPr>
        <w:spacing w:before="100" w:beforeAutospacing="1" w:after="120" w:line="240" w:lineRule="auto"/>
        <w:ind w:left="426" w:hanging="357"/>
        <w:contextualSpacing w:val="0"/>
        <w:jc w:val="both"/>
        <w:rPr>
          <w:rFonts w:ascii="Gill Sans MT" w:hAnsi="Gill Sans MT" w:cs="Arial"/>
        </w:rPr>
      </w:pPr>
      <w:r w:rsidRPr="00E83DA2">
        <w:rPr>
          <w:rFonts w:ascii="Gill Sans MT" w:hAnsi="Gill Sans MT" w:cs="Arial"/>
        </w:rPr>
        <w:t xml:space="preserve">Recent formalisation of access for mountain bike riders to Trevallyn and Kate Reed Nature Recreation Areas via the track strategy process (including shared use and ‘mountain bike preferred’ trails), including </w:t>
      </w:r>
      <w:r w:rsidRPr="00E83DA2">
        <w:rPr>
          <w:rFonts w:ascii="Gill Sans MT" w:hAnsi="Gill Sans MT" w:cs="Arial"/>
        </w:rPr>
        <w:lastRenderedPageBreak/>
        <w:t xml:space="preserve">plans to further develop/upgrade mountain bike opportunities, and implement classification and signage systems relevant to riders; </w:t>
      </w:r>
    </w:p>
    <w:p w:rsidR="00756B53" w:rsidRPr="00E83DA2" w:rsidRDefault="00756B53" w:rsidP="00D11F89">
      <w:pPr>
        <w:pStyle w:val="ListParagraph"/>
        <w:numPr>
          <w:ilvl w:val="0"/>
          <w:numId w:val="41"/>
        </w:numPr>
        <w:spacing w:before="100" w:beforeAutospacing="1" w:after="120" w:line="240" w:lineRule="auto"/>
        <w:ind w:left="426" w:hanging="357"/>
        <w:contextualSpacing w:val="0"/>
        <w:jc w:val="both"/>
        <w:rPr>
          <w:rFonts w:ascii="Gill Sans MT" w:hAnsi="Gill Sans MT" w:cs="Arial"/>
        </w:rPr>
      </w:pPr>
      <w:r w:rsidRPr="00E83DA2">
        <w:rPr>
          <w:rFonts w:ascii="Gill Sans MT" w:hAnsi="Gill Sans MT" w:cs="Arial"/>
        </w:rPr>
        <w:t xml:space="preserve">Significant mountain bike trail developments being undertaken including the recent work by Forestry Tasmania at the Blue Tier; </w:t>
      </w:r>
    </w:p>
    <w:p w:rsidR="00756B53" w:rsidRPr="00E83DA2" w:rsidRDefault="00756B53" w:rsidP="00D11F89">
      <w:pPr>
        <w:pStyle w:val="ListParagraph"/>
        <w:numPr>
          <w:ilvl w:val="0"/>
          <w:numId w:val="41"/>
        </w:numPr>
        <w:spacing w:before="100" w:beforeAutospacing="1" w:after="120" w:line="240" w:lineRule="auto"/>
        <w:ind w:left="426" w:hanging="357"/>
        <w:contextualSpacing w:val="0"/>
        <w:jc w:val="both"/>
        <w:rPr>
          <w:rFonts w:ascii="Gill Sans MT" w:hAnsi="Gill Sans MT" w:cs="Arial"/>
        </w:rPr>
      </w:pPr>
      <w:r w:rsidRPr="00E83DA2">
        <w:rPr>
          <w:rFonts w:ascii="Gill Sans MT" w:hAnsi="Gill Sans MT" w:cs="Arial"/>
        </w:rPr>
        <w:t>Launceston City Council developing dirt jump parks, including the preparation and implementation of planning, construction and maintenance guidelines;</w:t>
      </w:r>
    </w:p>
    <w:p w:rsidR="00756B53" w:rsidRPr="00E83DA2" w:rsidRDefault="00756B53" w:rsidP="00D11F89">
      <w:pPr>
        <w:pStyle w:val="ListParagraph"/>
        <w:numPr>
          <w:ilvl w:val="0"/>
          <w:numId w:val="41"/>
        </w:numPr>
        <w:spacing w:before="100" w:beforeAutospacing="1" w:after="120" w:line="240" w:lineRule="auto"/>
        <w:ind w:left="426" w:hanging="357"/>
        <w:contextualSpacing w:val="0"/>
        <w:jc w:val="both"/>
        <w:rPr>
          <w:rFonts w:ascii="Gill Sans MT" w:hAnsi="Gill Sans MT" w:cs="Arial"/>
        </w:rPr>
      </w:pPr>
      <w:r w:rsidRPr="00E83DA2">
        <w:rPr>
          <w:rFonts w:ascii="Gill Sans MT" w:hAnsi="Gill Sans MT" w:cs="Arial"/>
        </w:rPr>
        <w:t xml:space="preserve">A significant amount of trail infrastructure on private land, with access negotiated by the LMBC, and trails constructed by volunteers (private venues are generally only available for use during club events); </w:t>
      </w:r>
    </w:p>
    <w:p w:rsidR="00756B53" w:rsidRPr="00E83DA2" w:rsidRDefault="00756B53" w:rsidP="00D11F89">
      <w:pPr>
        <w:pStyle w:val="ListParagraph"/>
        <w:numPr>
          <w:ilvl w:val="0"/>
          <w:numId w:val="41"/>
        </w:numPr>
        <w:spacing w:before="100" w:beforeAutospacing="1" w:after="120" w:line="240" w:lineRule="auto"/>
        <w:ind w:left="426" w:hanging="357"/>
        <w:contextualSpacing w:val="0"/>
        <w:jc w:val="both"/>
        <w:rPr>
          <w:rFonts w:ascii="Gill Sans MT" w:hAnsi="Gill Sans MT" w:cs="Arial"/>
        </w:rPr>
      </w:pPr>
      <w:r w:rsidRPr="00E83DA2">
        <w:rPr>
          <w:rFonts w:ascii="Gill Sans MT" w:hAnsi="Gill Sans MT" w:cs="Arial"/>
        </w:rPr>
        <w:t xml:space="preserve">A number of locations within close proximity to the </w:t>
      </w:r>
      <w:proofErr w:type="gramStart"/>
      <w:r w:rsidRPr="00E83DA2">
        <w:rPr>
          <w:rFonts w:ascii="Gill Sans MT" w:hAnsi="Gill Sans MT" w:cs="Arial"/>
        </w:rPr>
        <w:t>city, that</w:t>
      </w:r>
      <w:proofErr w:type="gramEnd"/>
      <w:r w:rsidRPr="00E83DA2">
        <w:rPr>
          <w:rFonts w:ascii="Gill Sans MT" w:hAnsi="Gill Sans MT" w:cs="Arial"/>
        </w:rPr>
        <w:t xml:space="preserve"> have started to develop mountain bike infrastructure or have plans for further development (e.g. </w:t>
      </w:r>
      <w:proofErr w:type="spellStart"/>
      <w:r w:rsidRPr="00E83DA2">
        <w:rPr>
          <w:rFonts w:ascii="Gill Sans MT" w:hAnsi="Gill Sans MT" w:cs="Arial"/>
        </w:rPr>
        <w:t>Hollybank</w:t>
      </w:r>
      <w:proofErr w:type="spellEnd"/>
      <w:r w:rsidRPr="00E83DA2">
        <w:rPr>
          <w:rFonts w:ascii="Gill Sans MT" w:hAnsi="Gill Sans MT" w:cs="Arial"/>
        </w:rPr>
        <w:t xml:space="preserve"> area). </w:t>
      </w:r>
    </w:p>
    <w:p w:rsidR="00756B53" w:rsidRPr="00E83DA2" w:rsidRDefault="00756B53" w:rsidP="00756B53">
      <w:pPr>
        <w:spacing w:before="100" w:beforeAutospacing="1" w:after="120" w:line="240" w:lineRule="auto"/>
        <w:jc w:val="both"/>
        <w:rPr>
          <w:rFonts w:ascii="Gill Sans MT" w:hAnsi="Gill Sans MT" w:cs="Arial"/>
          <w:sz w:val="2"/>
          <w:szCs w:val="2"/>
        </w:rPr>
      </w:pPr>
    </w:p>
    <w:p w:rsidR="00756B53" w:rsidRPr="00E83DA2" w:rsidRDefault="00756B53" w:rsidP="00756B53">
      <w:pPr>
        <w:rPr>
          <w:rFonts w:ascii="Gill Sans MT" w:hAnsi="Gill Sans MT"/>
        </w:rPr>
      </w:pPr>
      <w:r w:rsidRPr="00E83DA2">
        <w:rPr>
          <w:rFonts w:ascii="Gill Sans MT" w:hAnsi="Gill Sans MT"/>
        </w:rPr>
        <w:t>There are a number of mountain biking trails and riding areas in the Northern Region including:</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Wyena/Lilydale </w:t>
      </w:r>
    </w:p>
    <w:p w:rsidR="00756B53" w:rsidRPr="00E83DA2" w:rsidRDefault="00756B53" w:rsidP="00D11F89">
      <w:pPr>
        <w:pStyle w:val="NoSpacing"/>
        <w:numPr>
          <w:ilvl w:val="0"/>
          <w:numId w:val="96"/>
        </w:numPr>
        <w:spacing w:line="276" w:lineRule="auto"/>
        <w:ind w:left="426"/>
        <w:rPr>
          <w:rFonts w:ascii="Gill Sans MT" w:hAnsi="Gill Sans MT"/>
        </w:rPr>
      </w:pPr>
      <w:proofErr w:type="spellStart"/>
      <w:r w:rsidRPr="00E83DA2">
        <w:rPr>
          <w:rFonts w:ascii="Gill Sans MT" w:hAnsi="Gill Sans MT"/>
        </w:rPr>
        <w:t>Hollybank</w:t>
      </w:r>
      <w:proofErr w:type="spellEnd"/>
      <w:r w:rsidRPr="00E83DA2">
        <w:rPr>
          <w:rFonts w:ascii="Gill Sans MT" w:hAnsi="Gill Sans MT"/>
        </w:rPr>
        <w:t xml:space="preserve"> Forest Reserve and surrounding State Forest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Blue Tier Trails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Four Springs Area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Trevallyn Nature Recreation Area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Kate Reed Nature Recreation Area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Ben Lomond Area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Ravenswood Tracks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Youngtown Regional Park trails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Heritage Forest Dirt Jump Park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Craggy Peaks Resort and surrounding trails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Greens Beach – Badger Head – Bakers Beach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Humbug Point Nature Recreation Area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St Helens Point Conservation Area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Scamander State Forest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Friendly Beaches/Coles Bay Area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Windsor Park Dirt Jump Park  </w:t>
      </w:r>
    </w:p>
    <w:p w:rsidR="00756B53" w:rsidRPr="00E83DA2" w:rsidRDefault="00756B53" w:rsidP="00D11F89">
      <w:pPr>
        <w:pStyle w:val="NoSpacing"/>
        <w:numPr>
          <w:ilvl w:val="0"/>
          <w:numId w:val="96"/>
        </w:numPr>
        <w:spacing w:line="276" w:lineRule="auto"/>
        <w:ind w:left="426"/>
        <w:rPr>
          <w:rFonts w:ascii="Gill Sans MT" w:hAnsi="Gill Sans MT"/>
        </w:rPr>
      </w:pPr>
      <w:r w:rsidRPr="00E83DA2">
        <w:rPr>
          <w:rFonts w:ascii="Gill Sans MT" w:hAnsi="Gill Sans MT"/>
        </w:rPr>
        <w:t xml:space="preserve">Legana Dirt jump Park  </w:t>
      </w:r>
    </w:p>
    <w:p w:rsidR="00756B53" w:rsidRPr="00E83DA2" w:rsidRDefault="00756B53" w:rsidP="00756B53">
      <w:pPr>
        <w:rPr>
          <w:rFonts w:ascii="Gill Sans MT" w:hAnsi="Gill Sans MT"/>
        </w:rPr>
      </w:pPr>
    </w:p>
    <w:p w:rsidR="00756B53" w:rsidRPr="00E83DA2" w:rsidRDefault="00756B53" w:rsidP="00756B53">
      <w:pPr>
        <w:rPr>
          <w:rFonts w:ascii="Gill Sans MT" w:hAnsi="Gill Sans MT"/>
        </w:rPr>
      </w:pPr>
      <w:r w:rsidRPr="00E83DA2">
        <w:rPr>
          <w:rFonts w:ascii="Gill Sans MT" w:hAnsi="Gill Sans MT"/>
        </w:rPr>
        <w:t>There are a number of local cycling groups within the region which also promote routes and maps for on-road cycling. The Great Western Tier Cycling Tour is one example which includes a series of road-based cycling trails mapped and identified for their ‘</w:t>
      </w:r>
      <w:proofErr w:type="spellStart"/>
      <w:r w:rsidRPr="00E83DA2">
        <w:rPr>
          <w:rFonts w:ascii="Gill Sans MT" w:hAnsi="Gill Sans MT"/>
        </w:rPr>
        <w:t>rideability</w:t>
      </w:r>
      <w:proofErr w:type="spellEnd"/>
      <w:r w:rsidRPr="00E83DA2">
        <w:rPr>
          <w:rFonts w:ascii="Gill Sans MT" w:hAnsi="Gill Sans MT"/>
        </w:rPr>
        <w:t xml:space="preserve">’ and scenic experiences. Further to these, the prominence of cycling events in the region also continues to grow, with increasing numbers of cyclists participating in annual events such as the </w:t>
      </w:r>
      <w:proofErr w:type="spellStart"/>
      <w:r w:rsidRPr="00E83DA2">
        <w:rPr>
          <w:rFonts w:ascii="Gill Sans MT" w:hAnsi="Gill Sans MT"/>
        </w:rPr>
        <w:t>Opperman</w:t>
      </w:r>
      <w:proofErr w:type="spellEnd"/>
      <w:r w:rsidRPr="00E83DA2">
        <w:rPr>
          <w:rFonts w:ascii="Gill Sans MT" w:hAnsi="Gill Sans MT"/>
        </w:rPr>
        <w:t xml:space="preserve"> Gran </w:t>
      </w:r>
      <w:proofErr w:type="spellStart"/>
      <w:r w:rsidRPr="00E83DA2">
        <w:rPr>
          <w:rFonts w:ascii="Gill Sans MT" w:hAnsi="Gill Sans MT"/>
        </w:rPr>
        <w:t>Fondo</w:t>
      </w:r>
      <w:proofErr w:type="spellEnd"/>
      <w:r w:rsidRPr="00E83DA2">
        <w:rPr>
          <w:rFonts w:ascii="Gill Sans MT" w:hAnsi="Gill Sans MT"/>
        </w:rPr>
        <w:t xml:space="preserve"> and the Western Tiers Cycle Challenge.</w:t>
      </w:r>
    </w:p>
    <w:p w:rsidR="00756B53" w:rsidRPr="00E83DA2" w:rsidRDefault="00756B53" w:rsidP="00756B53">
      <w:pPr>
        <w:pStyle w:val="Heading2"/>
      </w:pPr>
      <w:bookmarkStart w:id="253" w:name="_Toc332033625"/>
      <w:bookmarkStart w:id="254" w:name="_Toc332114157"/>
      <w:bookmarkStart w:id="255" w:name="_Toc332115823"/>
      <w:r w:rsidRPr="00E83DA2">
        <w:lastRenderedPageBreak/>
        <w:t>Signage</w:t>
      </w:r>
      <w:bookmarkEnd w:id="253"/>
      <w:bookmarkEnd w:id="254"/>
      <w:bookmarkEnd w:id="255"/>
    </w:p>
    <w:p w:rsidR="00756B53" w:rsidRPr="00E83DA2" w:rsidRDefault="00756B53" w:rsidP="00756B53">
      <w:pPr>
        <w:rPr>
          <w:rFonts w:ascii="Gill Sans MT" w:hAnsi="Gill Sans MT"/>
        </w:rPr>
      </w:pPr>
      <w:r w:rsidRPr="00E83DA2">
        <w:rPr>
          <w:rFonts w:ascii="Gill Sans MT" w:hAnsi="Gill Sans MT"/>
        </w:rPr>
        <w:t xml:space="preserve">The Tasmanian Tourism Signing Guidelines were introduced in January 2000 as part of an integrated approach to the dissemination of visitor information, including signage.  </w:t>
      </w:r>
      <w:proofErr w:type="gramStart"/>
      <w:r w:rsidRPr="00E83DA2">
        <w:rPr>
          <w:rFonts w:ascii="Gill Sans MT" w:hAnsi="Gill Sans MT"/>
        </w:rPr>
        <w:t>Now incorporated as part of the Tasmanian Road Signs Manual, the Manual aims to develop consistent signage types across Tasmania, with a particular focus on the form and style of tourist signage.</w:t>
      </w:r>
      <w:proofErr w:type="gramEnd"/>
      <w:r w:rsidRPr="00E83DA2">
        <w:rPr>
          <w:rFonts w:ascii="Gill Sans MT" w:hAnsi="Gill Sans MT"/>
        </w:rPr>
        <w:t xml:space="preserve"> Various design principles are incorporated including guidelines for indicating historic, natural or cultural tourist attractions. The Manual provides guidance for State and local governments responsible for the approval or administration of signs, along with tourist operators who are responsible for the upkeep and accuracy of the signs they produce.</w:t>
      </w:r>
    </w:p>
    <w:p w:rsidR="00756B53" w:rsidRPr="00E83DA2" w:rsidRDefault="00756B53" w:rsidP="00756B53">
      <w:pPr>
        <w:rPr>
          <w:rFonts w:ascii="Gill Sans MT" w:hAnsi="Gill Sans MT"/>
        </w:rPr>
      </w:pPr>
      <w:r w:rsidRPr="00E83DA2">
        <w:rPr>
          <w:rFonts w:ascii="Gill Sans MT" w:hAnsi="Gill Sans MT"/>
        </w:rPr>
        <w:br w:type="page"/>
      </w:r>
    </w:p>
    <w:p w:rsidR="00756B53" w:rsidRPr="00E83DA2" w:rsidRDefault="00756B53" w:rsidP="00756B53">
      <w:pPr>
        <w:pStyle w:val="Heading1"/>
        <w:rPr>
          <w:rFonts w:ascii="Gill Sans MT" w:hAnsi="Gill Sans MT"/>
        </w:rPr>
      </w:pPr>
      <w:bookmarkStart w:id="256" w:name="_Toc332115824"/>
      <w:r w:rsidRPr="00E83DA2">
        <w:rPr>
          <w:rFonts w:ascii="Gill Sans MT" w:hAnsi="Gill Sans MT"/>
        </w:rPr>
        <w:lastRenderedPageBreak/>
        <w:t>Socio-economic profile</w:t>
      </w:r>
      <w:bookmarkEnd w:id="256"/>
    </w:p>
    <w:p w:rsidR="00756B53" w:rsidRPr="00E83DA2" w:rsidRDefault="00756B53" w:rsidP="00756B53">
      <w:pPr>
        <w:pStyle w:val="Heading2"/>
      </w:pPr>
      <w:bookmarkStart w:id="257" w:name="_Toc332115825"/>
      <w:r w:rsidRPr="00E83DA2">
        <w:t>Key strategic issues</w:t>
      </w:r>
      <w:bookmarkEnd w:id="257"/>
    </w:p>
    <w:p w:rsidR="00756B53" w:rsidRPr="00E83DA2" w:rsidRDefault="00756B53" w:rsidP="00756B53">
      <w:pPr>
        <w:pStyle w:val="ListParagraph"/>
        <w:numPr>
          <w:ilvl w:val="0"/>
          <w:numId w:val="97"/>
        </w:numPr>
        <w:rPr>
          <w:rFonts w:ascii="Gill Sans MT" w:hAnsi="Gill Sans MT"/>
        </w:rPr>
      </w:pPr>
      <w:r w:rsidRPr="00E83DA2">
        <w:rPr>
          <w:rFonts w:ascii="Gill Sans MT" w:hAnsi="Gill Sans MT"/>
        </w:rPr>
        <w:t>Ageing population and decreasing household sizes</w:t>
      </w:r>
    </w:p>
    <w:p w:rsidR="00756B53" w:rsidRPr="00E83DA2" w:rsidRDefault="00756B53" w:rsidP="00756B53">
      <w:pPr>
        <w:pStyle w:val="ListParagraph"/>
        <w:numPr>
          <w:ilvl w:val="0"/>
          <w:numId w:val="97"/>
        </w:numPr>
        <w:rPr>
          <w:rFonts w:ascii="Gill Sans MT" w:hAnsi="Gill Sans MT"/>
        </w:rPr>
      </w:pPr>
      <w:r w:rsidRPr="00E83DA2">
        <w:rPr>
          <w:rFonts w:ascii="Gill Sans MT" w:hAnsi="Gill Sans MT"/>
        </w:rPr>
        <w:t>Maintaining economic growth with low population growth</w:t>
      </w:r>
    </w:p>
    <w:p w:rsidR="00756B53" w:rsidRPr="00E83DA2" w:rsidRDefault="00756B53" w:rsidP="00756B53">
      <w:pPr>
        <w:pStyle w:val="ListParagraph"/>
        <w:numPr>
          <w:ilvl w:val="0"/>
          <w:numId w:val="97"/>
        </w:numPr>
        <w:rPr>
          <w:rFonts w:ascii="Gill Sans MT" w:hAnsi="Gill Sans MT"/>
        </w:rPr>
      </w:pPr>
      <w:r w:rsidRPr="00E83DA2">
        <w:rPr>
          <w:rFonts w:ascii="Gill Sans MT" w:hAnsi="Gill Sans MT"/>
        </w:rPr>
        <w:t>Industry restructuring and impacts on employment</w:t>
      </w:r>
    </w:p>
    <w:p w:rsidR="00756B53" w:rsidRPr="00E83DA2" w:rsidRDefault="00756B53" w:rsidP="00756B53">
      <w:pPr>
        <w:pStyle w:val="Heading2"/>
      </w:pPr>
      <w:bookmarkStart w:id="258" w:name="_Toc332115826"/>
      <w:r w:rsidRPr="00E83DA2">
        <w:t>Background</w:t>
      </w:r>
      <w:bookmarkEnd w:id="258"/>
    </w:p>
    <w:p w:rsidR="00756B53" w:rsidRPr="00E83DA2" w:rsidRDefault="00756B53" w:rsidP="00756B53">
      <w:pPr>
        <w:rPr>
          <w:rFonts w:ascii="Gill Sans MT" w:hAnsi="Gill Sans MT"/>
        </w:rPr>
      </w:pPr>
      <w:r w:rsidRPr="00E83DA2">
        <w:rPr>
          <w:rFonts w:ascii="Gill Sans MT" w:hAnsi="Gill Sans MT"/>
        </w:rPr>
        <w:t>The transport system plays an important role in the quality of life of people living in Northern Tasmania.  People use the transport system every day as passengers, as well as consumers of goods which are transported via road, rail, air and sea.  Transport planning decisions affect people in a number of different ways, including their wellbeing and ability to access goods and services.</w:t>
      </w:r>
    </w:p>
    <w:p w:rsidR="00756B53" w:rsidRPr="00E83DA2" w:rsidRDefault="00756B53" w:rsidP="00756B53">
      <w:pPr>
        <w:rPr>
          <w:rFonts w:ascii="Gill Sans MT" w:hAnsi="Gill Sans MT"/>
        </w:rPr>
      </w:pPr>
      <w:r w:rsidRPr="00E83DA2">
        <w:rPr>
          <w:rFonts w:ascii="Gill Sans MT" w:hAnsi="Gill Sans MT"/>
        </w:rPr>
        <w:t>Understanding the population within the region, how it has changed and is likely to change in the future, assists in understanding the likely needs of the population and informs transport planning.</w:t>
      </w:r>
    </w:p>
    <w:p w:rsidR="00756B53" w:rsidRPr="00E83DA2" w:rsidRDefault="00756B53" w:rsidP="00756B53">
      <w:pPr>
        <w:rPr>
          <w:rFonts w:ascii="Gill Sans MT" w:hAnsi="Gill Sans MT"/>
        </w:rPr>
      </w:pPr>
      <w:r w:rsidRPr="00E83DA2">
        <w:rPr>
          <w:rFonts w:ascii="Gill Sans MT" w:hAnsi="Gill Sans MT"/>
        </w:rPr>
        <w:t xml:space="preserve">Demographic information for the Northern Region is predominantly sourced from the Australian Bureau of Statistics – particularly the Census, which is conducted every 5 years.   </w:t>
      </w:r>
    </w:p>
    <w:p w:rsidR="00756B53" w:rsidRPr="00E83DA2" w:rsidRDefault="00756B53" w:rsidP="00756B53">
      <w:pPr>
        <w:pStyle w:val="Heading2"/>
      </w:pPr>
      <w:bookmarkStart w:id="259" w:name="_Toc332115827"/>
      <w:r w:rsidRPr="00E83DA2">
        <w:t>Overview</w:t>
      </w:r>
      <w:bookmarkEnd w:id="259"/>
    </w:p>
    <w:p w:rsidR="00756B53" w:rsidRPr="00E83DA2" w:rsidRDefault="00756B53" w:rsidP="00756B53">
      <w:pPr>
        <w:rPr>
          <w:rFonts w:ascii="Gill Sans MT" w:hAnsi="Gill Sans MT"/>
        </w:rPr>
      </w:pPr>
      <w:r w:rsidRPr="00E83DA2">
        <w:rPr>
          <w:rFonts w:ascii="Gill Sans MT" w:hAnsi="Gill Sans MT"/>
        </w:rPr>
        <w:t xml:space="preserve">The Northern Region is made up of 8 Local Government Areas: Break O’Day, Dorset, Flinders, George Town, Launceston, Meander Valley, Northern Midlands, and West Tamar. It covers a total area of approximately two million hectares, or around 29% of Tasmania’s total land area. </w:t>
      </w:r>
    </w:p>
    <w:p w:rsidR="00756B53" w:rsidRPr="00E83DA2" w:rsidRDefault="00756B53" w:rsidP="00756B53">
      <w:pPr>
        <w:rPr>
          <w:rFonts w:ascii="Gill Sans MT" w:hAnsi="Gill Sans MT"/>
        </w:rPr>
      </w:pPr>
      <w:r w:rsidRPr="00E83DA2">
        <w:rPr>
          <w:rFonts w:ascii="Gill Sans MT" w:hAnsi="Gill Sans MT"/>
        </w:rPr>
        <w:t>Much of the population and commercial activity is focused in the urban centre of Launceston and the surrounding townships of Longford, Legana, Perth, Hadspen and Westbury.   The area known as “Greater Launceston” is defined by the ABS as including Launceston and the closest parts of the surrounding LGAs of George Town, Meander Valley, Northern Midlands and West Tamar.  Other population and commercial centres for the Region include Beaconsfield, Beauty Point, Bridport, Deloraine, Lady Barron, Scottsdale, St Helens and Whitemark. Concentration of industrial and maritime activity has been centred in George Town, around the port of Bell Bay.</w:t>
      </w:r>
    </w:p>
    <w:p w:rsidR="00756B53" w:rsidRDefault="00756B53" w:rsidP="00756B53">
      <w:pPr>
        <w:rPr>
          <w:rFonts w:ascii="Gill Sans MT" w:eastAsia="Times New Roman" w:hAnsi="Gill Sans MT" w:cs="Arial"/>
          <w:bCs/>
          <w:lang w:eastAsia="en-AU"/>
        </w:rPr>
      </w:pPr>
      <w:r w:rsidRPr="00E83DA2">
        <w:rPr>
          <w:rFonts w:ascii="Gill Sans MT" w:hAnsi="Gill Sans MT"/>
        </w:rPr>
        <w:t>In 2011, the population of the Northern Region was 143,559 (</w:t>
      </w:r>
      <w:r w:rsidRPr="00E83DA2">
        <w:rPr>
          <w:rFonts w:ascii="Gill Sans MT" w:eastAsia="Times New Roman" w:hAnsi="Gill Sans MT" w:cs="Arial"/>
          <w:bCs/>
          <w:lang w:eastAsia="en-AU"/>
        </w:rPr>
        <w:t>ABS Regional Population Growth, Australia, 31 July 2012), approximately 28% of the State’s total. Around 80% of the Region’s residents live in urban centres and localities, with the greatest concentration in Greater Launceston and West Tamar (Census 2006).</w:t>
      </w:r>
    </w:p>
    <w:p w:rsidR="006F0DD2" w:rsidRPr="00E83DA2" w:rsidRDefault="006F0DD2" w:rsidP="00756B53">
      <w:pPr>
        <w:rPr>
          <w:rFonts w:ascii="Gill Sans MT" w:hAnsi="Gill Sans MT"/>
          <w:color w:val="17365D" w:themeColor="text2" w:themeShade="BF"/>
        </w:rPr>
      </w:pPr>
    </w:p>
    <w:p w:rsidR="00756B53" w:rsidRPr="00E83DA2" w:rsidRDefault="00756B53" w:rsidP="00756B53">
      <w:pPr>
        <w:rPr>
          <w:rFonts w:ascii="Gill Sans MT" w:eastAsia="Times New Roman" w:hAnsi="Gill Sans MT" w:cs="Arial"/>
          <w:b/>
          <w:bCs/>
          <w:lang w:eastAsia="en-AU"/>
        </w:rPr>
      </w:pPr>
      <w:r w:rsidRPr="00E83DA2">
        <w:rPr>
          <w:rFonts w:ascii="Gill Sans MT" w:eastAsia="Times New Roman" w:hAnsi="Gill Sans MT" w:cs="Arial"/>
          <w:b/>
          <w:bCs/>
          <w:lang w:eastAsia="en-AU"/>
        </w:rPr>
        <w:t>Population change</w:t>
      </w:r>
    </w:p>
    <w:p w:rsidR="00756B53" w:rsidRPr="00E83DA2" w:rsidRDefault="00756B53" w:rsidP="00756B53">
      <w:pPr>
        <w:rPr>
          <w:rFonts w:ascii="Gill Sans MT" w:eastAsia="Times New Roman" w:hAnsi="Gill Sans MT" w:cs="Arial"/>
          <w:bCs/>
          <w:lang w:eastAsia="en-AU"/>
        </w:rPr>
      </w:pPr>
      <w:r w:rsidRPr="00E83DA2">
        <w:rPr>
          <w:rFonts w:ascii="Gill Sans MT" w:eastAsia="Times New Roman" w:hAnsi="Gill Sans MT" w:cs="Arial"/>
          <w:bCs/>
          <w:lang w:eastAsia="en-AU"/>
        </w:rPr>
        <w:t>Despite previous projections showing an overall rate of population decline for the Region, current trends suggest an increase in population of 20,258 over the next 20 years – or around 14.5% (</w:t>
      </w:r>
      <w:r w:rsidRPr="00E83DA2">
        <w:rPr>
          <w:rFonts w:ascii="Gill Sans MT" w:eastAsia="Times New Roman" w:hAnsi="Gill Sans MT" w:cs="Arial"/>
          <w:bCs/>
          <w:i/>
          <w:lang w:eastAsia="en-AU"/>
        </w:rPr>
        <w:t>Figure 1</w:t>
      </w:r>
      <w:r w:rsidRPr="00E83DA2">
        <w:rPr>
          <w:rFonts w:ascii="Gill Sans MT" w:eastAsia="Times New Roman" w:hAnsi="Gill Sans MT" w:cs="Arial"/>
          <w:bCs/>
          <w:lang w:eastAsia="en-AU"/>
        </w:rPr>
        <w:t>). This is a positive shift forward for the Region, however, it does mask some underlying vulnerabilities. While the population of the ‘working’ age bracket (those aged 15-64) will increase marginally over this period, 82% of the population growth for the Region is expected in the 65+ age bracket (DCAC 2008). The weight of this shift will present new and specific challenges for the Region’s economy and its industry structure, as well as for its future transport infrastructure needs. An ageing population presents a number of challenges for the Northern Region including:</w:t>
      </w:r>
    </w:p>
    <w:p w:rsidR="00756B53" w:rsidRPr="00E83DA2" w:rsidRDefault="00756B53" w:rsidP="006F0DD2">
      <w:pPr>
        <w:pStyle w:val="ListParagraph"/>
        <w:numPr>
          <w:ilvl w:val="0"/>
          <w:numId w:val="98"/>
        </w:numPr>
        <w:ind w:left="426"/>
        <w:rPr>
          <w:rFonts w:ascii="Gill Sans MT" w:eastAsia="Times New Roman" w:hAnsi="Gill Sans MT" w:cs="Arial"/>
          <w:bCs/>
          <w:lang w:eastAsia="en-AU"/>
        </w:rPr>
      </w:pPr>
      <w:r w:rsidRPr="00E83DA2">
        <w:rPr>
          <w:rFonts w:ascii="Gill Sans MT" w:eastAsia="Times New Roman" w:hAnsi="Gill Sans MT" w:cs="Arial"/>
          <w:bCs/>
          <w:lang w:eastAsia="en-AU"/>
        </w:rPr>
        <w:t>An ageing workforce, possibly declining labour force participation rate, possible skills shortages and changing infrastructure requirements</w:t>
      </w:r>
    </w:p>
    <w:p w:rsidR="00756B53" w:rsidRPr="00E83DA2" w:rsidRDefault="00756B53" w:rsidP="006F0DD2">
      <w:pPr>
        <w:pStyle w:val="ListParagraph"/>
        <w:numPr>
          <w:ilvl w:val="0"/>
          <w:numId w:val="98"/>
        </w:numPr>
        <w:ind w:left="426"/>
        <w:rPr>
          <w:rFonts w:ascii="Gill Sans MT" w:eastAsia="Times New Roman" w:hAnsi="Gill Sans MT" w:cs="Arial"/>
          <w:bCs/>
          <w:lang w:eastAsia="en-AU"/>
        </w:rPr>
      </w:pPr>
      <w:r w:rsidRPr="00E83DA2">
        <w:rPr>
          <w:rFonts w:ascii="Gill Sans MT" w:eastAsia="Times New Roman" w:hAnsi="Gill Sans MT" w:cs="Arial"/>
          <w:bCs/>
          <w:lang w:eastAsia="en-AU"/>
        </w:rPr>
        <w:t>Changes in the composition of households and in the demand for community services, particularly by more isolated and low income older Tasmanians (need for improved accessibility and mobility)</w:t>
      </w:r>
    </w:p>
    <w:p w:rsidR="00756B53" w:rsidRPr="00E83DA2" w:rsidRDefault="00756B53" w:rsidP="00756B53">
      <w:pPr>
        <w:jc w:val="center"/>
        <w:rPr>
          <w:rFonts w:ascii="Gill Sans MT" w:hAnsi="Gill Sans MT"/>
        </w:rPr>
      </w:pPr>
      <w:r w:rsidRPr="00E83DA2">
        <w:rPr>
          <w:rFonts w:ascii="Gill Sans MT" w:hAnsi="Gill Sans MT"/>
          <w:noProof/>
          <w:lang w:eastAsia="en-AU"/>
        </w:rPr>
        <w:drawing>
          <wp:inline distT="0" distB="0" distL="0" distR="0">
            <wp:extent cx="4572000" cy="2752725"/>
            <wp:effectExtent l="19050" t="0" r="19050" b="0"/>
            <wp:docPr id="9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56B53" w:rsidRDefault="00756B53" w:rsidP="00756B53">
      <w:pPr>
        <w:jc w:val="center"/>
        <w:rPr>
          <w:rFonts w:ascii="Gill Sans MT" w:hAnsi="Gill Sans MT"/>
        </w:rPr>
      </w:pPr>
      <w:r w:rsidRPr="00E83DA2">
        <w:rPr>
          <w:rFonts w:ascii="Gill Sans MT" w:hAnsi="Gill Sans MT"/>
          <w:noProof/>
          <w:lang w:eastAsia="en-AU"/>
        </w:rPr>
        <w:lastRenderedPageBreak/>
        <w:drawing>
          <wp:inline distT="0" distB="0" distL="0" distR="0">
            <wp:extent cx="4438650" cy="5086350"/>
            <wp:effectExtent l="19050" t="0" r="0" b="0"/>
            <wp:docPr id="100" name="Picture 8" descr="Pop Change 1986-20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 Change 1986-2011.TIF"/>
                    <pic:cNvPicPr/>
                  </pic:nvPicPr>
                  <pic:blipFill>
                    <a:blip r:embed="rId46" cstate="print"/>
                    <a:stretch>
                      <a:fillRect/>
                    </a:stretch>
                  </pic:blipFill>
                  <pic:spPr>
                    <a:xfrm>
                      <a:off x="0" y="0"/>
                      <a:ext cx="4438650" cy="5086350"/>
                    </a:xfrm>
                    <a:prstGeom prst="rect">
                      <a:avLst/>
                    </a:prstGeom>
                  </pic:spPr>
                </pic:pic>
              </a:graphicData>
            </a:graphic>
          </wp:inline>
        </w:drawing>
      </w:r>
    </w:p>
    <w:p w:rsidR="006F0DD2" w:rsidRPr="006F0DD2" w:rsidRDefault="00666BF3" w:rsidP="006F0DD2">
      <w:pPr>
        <w:pStyle w:val="Heading3"/>
        <w:rPr>
          <w:i/>
          <w:color w:val="auto"/>
        </w:rPr>
      </w:pPr>
      <w:proofErr w:type="gramStart"/>
      <w:r>
        <w:rPr>
          <w:i/>
          <w:color w:val="auto"/>
        </w:rPr>
        <w:t>Figure 44</w:t>
      </w:r>
      <w:r w:rsidR="006F0DD2" w:rsidRPr="006F0DD2">
        <w:rPr>
          <w:i/>
          <w:color w:val="auto"/>
        </w:rPr>
        <w:t>.</w:t>
      </w:r>
      <w:proofErr w:type="gramEnd"/>
      <w:r w:rsidR="006F0DD2" w:rsidRPr="006F0DD2">
        <w:rPr>
          <w:color w:val="auto"/>
        </w:rPr>
        <w:t xml:space="preserve"> Map of Northern Tasmania, displaying population change over a 25-year period, 1986-2011.</w:t>
      </w:r>
    </w:p>
    <w:tbl>
      <w:tblPr>
        <w:tblW w:w="8885" w:type="dxa"/>
        <w:tblInd w:w="-318" w:type="dxa"/>
        <w:tblLook w:val="04A0"/>
      </w:tblPr>
      <w:tblGrid>
        <w:gridCol w:w="3940"/>
        <w:gridCol w:w="1101"/>
        <w:gridCol w:w="1101"/>
        <w:gridCol w:w="1325"/>
        <w:gridCol w:w="1418"/>
      </w:tblGrid>
      <w:tr w:rsidR="00756B53" w:rsidRPr="00E83DA2" w:rsidTr="006F0DD2">
        <w:trPr>
          <w:trHeight w:val="460"/>
        </w:trPr>
        <w:tc>
          <w:tcPr>
            <w:tcW w:w="7467" w:type="dxa"/>
            <w:gridSpan w:val="4"/>
            <w:tcBorders>
              <w:top w:val="nil"/>
              <w:left w:val="nil"/>
              <w:bottom w:val="nil"/>
              <w:right w:val="nil"/>
            </w:tcBorders>
            <w:shd w:val="clear" w:color="auto" w:fill="auto"/>
            <w:noWrap/>
            <w:vAlign w:val="bottom"/>
            <w:hideMark/>
          </w:tcPr>
          <w:p w:rsidR="00756B53" w:rsidRPr="00E83DA2" w:rsidRDefault="00756B53" w:rsidP="008D2E39">
            <w:pPr>
              <w:spacing w:after="0" w:line="240" w:lineRule="auto"/>
              <w:rPr>
                <w:rFonts w:ascii="Gill Sans MT" w:eastAsia="Times New Roman" w:hAnsi="Gill Sans MT" w:cs="Times New Roman"/>
                <w:b/>
                <w:bCs/>
                <w:color w:val="000000"/>
                <w:sz w:val="28"/>
                <w:szCs w:val="28"/>
                <w:lang w:eastAsia="en-AU"/>
              </w:rPr>
            </w:pPr>
            <w:r w:rsidRPr="00E83DA2">
              <w:rPr>
                <w:rFonts w:ascii="Gill Sans MT" w:eastAsia="Times New Roman" w:hAnsi="Gill Sans MT" w:cs="Times New Roman"/>
                <w:b/>
                <w:bCs/>
                <w:color w:val="000000"/>
                <w:sz w:val="28"/>
                <w:szCs w:val="28"/>
                <w:lang w:eastAsia="en-AU"/>
              </w:rPr>
              <w:t xml:space="preserve">Population change by Local Government Area </w:t>
            </w:r>
          </w:p>
        </w:tc>
        <w:tc>
          <w:tcPr>
            <w:tcW w:w="1418"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rPr>
                <w:rFonts w:ascii="Gill Sans MT" w:eastAsia="Times New Roman" w:hAnsi="Gill Sans MT" w:cs="Times New Roman"/>
                <w:color w:val="000000"/>
                <w:lang w:eastAsia="en-AU"/>
              </w:rPr>
            </w:pPr>
          </w:p>
        </w:tc>
      </w:tr>
      <w:tr w:rsidR="00756B53" w:rsidRPr="00E83DA2" w:rsidTr="006F0DD2">
        <w:trPr>
          <w:trHeight w:val="368"/>
        </w:trPr>
        <w:tc>
          <w:tcPr>
            <w:tcW w:w="3940"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rPr>
                <w:rFonts w:ascii="Gill Sans MT" w:eastAsia="Times New Roman" w:hAnsi="Gill Sans MT" w:cs="Times New Roman"/>
                <w:b/>
                <w:bCs/>
                <w:color w:val="000000"/>
                <w:lang w:eastAsia="en-AU"/>
              </w:rPr>
            </w:pPr>
            <w:r w:rsidRPr="00E83DA2">
              <w:rPr>
                <w:rFonts w:ascii="Gill Sans MT" w:eastAsia="Times New Roman" w:hAnsi="Gill Sans MT" w:cs="Times New Roman"/>
                <w:b/>
                <w:bCs/>
                <w:color w:val="000000"/>
                <w:lang w:eastAsia="en-AU"/>
              </w:rPr>
              <w:t>Name</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b/>
                <w:bCs/>
                <w:color w:val="000000"/>
                <w:lang w:eastAsia="en-AU"/>
              </w:rPr>
            </w:pPr>
            <w:r w:rsidRPr="00E83DA2">
              <w:rPr>
                <w:rFonts w:ascii="Gill Sans MT" w:eastAsia="Times New Roman" w:hAnsi="Gill Sans MT" w:cs="Times New Roman"/>
                <w:b/>
                <w:bCs/>
                <w:color w:val="000000"/>
                <w:lang w:eastAsia="en-AU"/>
              </w:rPr>
              <w:t>1986</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b/>
                <w:bCs/>
                <w:color w:val="000000"/>
                <w:lang w:eastAsia="en-AU"/>
              </w:rPr>
            </w:pPr>
            <w:r w:rsidRPr="00E83DA2">
              <w:rPr>
                <w:rFonts w:ascii="Gill Sans MT" w:eastAsia="Times New Roman" w:hAnsi="Gill Sans MT" w:cs="Times New Roman"/>
                <w:b/>
                <w:bCs/>
                <w:color w:val="000000"/>
                <w:lang w:eastAsia="en-AU"/>
              </w:rPr>
              <w:t>2011</w:t>
            </w:r>
          </w:p>
        </w:tc>
        <w:tc>
          <w:tcPr>
            <w:tcW w:w="1325"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b/>
                <w:bCs/>
                <w:color w:val="000000"/>
                <w:lang w:eastAsia="en-AU"/>
              </w:rPr>
            </w:pPr>
            <w:r w:rsidRPr="00E83DA2">
              <w:rPr>
                <w:rFonts w:ascii="Gill Sans MT" w:eastAsia="Times New Roman" w:hAnsi="Gill Sans MT" w:cs="Times New Roman"/>
                <w:b/>
                <w:bCs/>
                <w:color w:val="000000"/>
                <w:lang w:eastAsia="en-AU"/>
              </w:rPr>
              <w:t>Change</w:t>
            </w:r>
          </w:p>
        </w:tc>
        <w:tc>
          <w:tcPr>
            <w:tcW w:w="1418"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b/>
                <w:bCs/>
                <w:color w:val="000000"/>
                <w:lang w:eastAsia="en-AU"/>
              </w:rPr>
            </w:pPr>
            <w:r w:rsidRPr="00E83DA2">
              <w:rPr>
                <w:rFonts w:ascii="Gill Sans MT" w:eastAsia="Times New Roman" w:hAnsi="Gill Sans MT" w:cs="Times New Roman"/>
                <w:b/>
                <w:bCs/>
                <w:color w:val="000000"/>
                <w:lang w:eastAsia="en-AU"/>
              </w:rPr>
              <w:t>% Change</w:t>
            </w:r>
          </w:p>
        </w:tc>
      </w:tr>
      <w:tr w:rsidR="00756B53" w:rsidRPr="00E83DA2" w:rsidTr="006F0DD2">
        <w:trPr>
          <w:trHeight w:val="368"/>
        </w:trPr>
        <w:tc>
          <w:tcPr>
            <w:tcW w:w="3940"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Break O'Day (M)</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4681</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6512</w:t>
            </w:r>
          </w:p>
        </w:tc>
        <w:tc>
          <w:tcPr>
            <w:tcW w:w="1325"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1831</w:t>
            </w:r>
          </w:p>
        </w:tc>
        <w:tc>
          <w:tcPr>
            <w:tcW w:w="1418"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39%</w:t>
            </w:r>
          </w:p>
        </w:tc>
      </w:tr>
      <w:tr w:rsidR="00756B53" w:rsidRPr="00E83DA2" w:rsidTr="006F0DD2">
        <w:trPr>
          <w:trHeight w:val="368"/>
        </w:trPr>
        <w:tc>
          <w:tcPr>
            <w:tcW w:w="3940"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Dorset (M)</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7216</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7351</w:t>
            </w:r>
          </w:p>
        </w:tc>
        <w:tc>
          <w:tcPr>
            <w:tcW w:w="1325"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135</w:t>
            </w:r>
          </w:p>
        </w:tc>
        <w:tc>
          <w:tcPr>
            <w:tcW w:w="1418"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2%</w:t>
            </w:r>
          </w:p>
        </w:tc>
      </w:tr>
      <w:tr w:rsidR="00756B53" w:rsidRPr="00E83DA2" w:rsidTr="006F0DD2">
        <w:trPr>
          <w:trHeight w:val="368"/>
        </w:trPr>
        <w:tc>
          <w:tcPr>
            <w:tcW w:w="3940"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Flinders (M)</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1002</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884</w:t>
            </w:r>
          </w:p>
        </w:tc>
        <w:tc>
          <w:tcPr>
            <w:tcW w:w="1325"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-118</w:t>
            </w:r>
          </w:p>
        </w:tc>
        <w:tc>
          <w:tcPr>
            <w:tcW w:w="1418"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-12%</w:t>
            </w:r>
          </w:p>
        </w:tc>
      </w:tr>
      <w:tr w:rsidR="00756B53" w:rsidRPr="00E83DA2" w:rsidTr="006F0DD2">
        <w:trPr>
          <w:trHeight w:val="368"/>
        </w:trPr>
        <w:tc>
          <w:tcPr>
            <w:tcW w:w="3940"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George Town (M)</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6933</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6894</w:t>
            </w:r>
          </w:p>
        </w:tc>
        <w:tc>
          <w:tcPr>
            <w:tcW w:w="1325"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-39</w:t>
            </w:r>
          </w:p>
        </w:tc>
        <w:tc>
          <w:tcPr>
            <w:tcW w:w="1418"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w:t>
            </w:r>
          </w:p>
        </w:tc>
      </w:tr>
      <w:tr w:rsidR="00756B53" w:rsidRPr="00E83DA2" w:rsidTr="006F0DD2">
        <w:trPr>
          <w:trHeight w:val="368"/>
        </w:trPr>
        <w:tc>
          <w:tcPr>
            <w:tcW w:w="3940"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Launceston (C)</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53837</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66029</w:t>
            </w:r>
          </w:p>
        </w:tc>
        <w:tc>
          <w:tcPr>
            <w:tcW w:w="1325"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12192</w:t>
            </w:r>
          </w:p>
        </w:tc>
        <w:tc>
          <w:tcPr>
            <w:tcW w:w="1418"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23%</w:t>
            </w:r>
          </w:p>
        </w:tc>
      </w:tr>
      <w:tr w:rsidR="00756B53" w:rsidRPr="00E83DA2" w:rsidTr="006F0DD2">
        <w:trPr>
          <w:trHeight w:val="368"/>
        </w:trPr>
        <w:tc>
          <w:tcPr>
            <w:tcW w:w="3940"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Meander Valley (M)</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11727</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19746</w:t>
            </w:r>
          </w:p>
        </w:tc>
        <w:tc>
          <w:tcPr>
            <w:tcW w:w="1325"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8020</w:t>
            </w:r>
          </w:p>
        </w:tc>
        <w:tc>
          <w:tcPr>
            <w:tcW w:w="1418"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68%</w:t>
            </w:r>
          </w:p>
        </w:tc>
      </w:tr>
      <w:tr w:rsidR="00756B53" w:rsidRPr="00E83DA2" w:rsidTr="006F0DD2">
        <w:trPr>
          <w:trHeight w:val="368"/>
        </w:trPr>
        <w:tc>
          <w:tcPr>
            <w:tcW w:w="3940"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Northern Midlands (M)</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10802</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12726</w:t>
            </w:r>
          </w:p>
        </w:tc>
        <w:tc>
          <w:tcPr>
            <w:tcW w:w="1325"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1924</w:t>
            </w:r>
          </w:p>
        </w:tc>
        <w:tc>
          <w:tcPr>
            <w:tcW w:w="1418"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18%</w:t>
            </w:r>
          </w:p>
        </w:tc>
      </w:tr>
      <w:tr w:rsidR="00756B53" w:rsidRPr="00E83DA2" w:rsidTr="006F0DD2">
        <w:trPr>
          <w:trHeight w:val="368"/>
        </w:trPr>
        <w:tc>
          <w:tcPr>
            <w:tcW w:w="3940"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West Tamar (M)</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16027</w:t>
            </w:r>
          </w:p>
        </w:tc>
        <w:tc>
          <w:tcPr>
            <w:tcW w:w="1101"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22699</w:t>
            </w:r>
          </w:p>
        </w:tc>
        <w:tc>
          <w:tcPr>
            <w:tcW w:w="1325"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6672</w:t>
            </w:r>
          </w:p>
        </w:tc>
        <w:tc>
          <w:tcPr>
            <w:tcW w:w="1418" w:type="dxa"/>
            <w:tcBorders>
              <w:top w:val="nil"/>
              <w:left w:val="nil"/>
              <w:bottom w:val="nil"/>
              <w:right w:val="nil"/>
            </w:tcBorders>
            <w:shd w:val="clear" w:color="auto" w:fill="auto"/>
            <w:noWrap/>
            <w:vAlign w:val="bottom"/>
            <w:hideMark/>
          </w:tcPr>
          <w:p w:rsidR="00756B53" w:rsidRPr="00E83DA2" w:rsidRDefault="00756B53" w:rsidP="008D2E39">
            <w:pPr>
              <w:spacing w:after="0" w:line="240" w:lineRule="auto"/>
              <w:jc w:val="right"/>
              <w:rPr>
                <w:rFonts w:ascii="Gill Sans MT" w:eastAsia="Times New Roman" w:hAnsi="Gill Sans MT" w:cs="Times New Roman"/>
                <w:color w:val="000000"/>
                <w:lang w:eastAsia="en-AU"/>
              </w:rPr>
            </w:pPr>
            <w:r w:rsidRPr="00E83DA2">
              <w:rPr>
                <w:rFonts w:ascii="Gill Sans MT" w:eastAsia="Times New Roman" w:hAnsi="Gill Sans MT" w:cs="Times New Roman"/>
                <w:color w:val="000000"/>
                <w:lang w:eastAsia="en-AU"/>
              </w:rPr>
              <w:t>42%</w:t>
            </w:r>
          </w:p>
        </w:tc>
      </w:tr>
    </w:tbl>
    <w:p w:rsidR="006F0DD2" w:rsidRPr="006F0DD2" w:rsidRDefault="00666BF3" w:rsidP="006F0DD2">
      <w:pPr>
        <w:pStyle w:val="Heading3"/>
        <w:rPr>
          <w:i/>
          <w:color w:val="auto"/>
        </w:rPr>
      </w:pPr>
      <w:proofErr w:type="gramStart"/>
      <w:r>
        <w:rPr>
          <w:i/>
          <w:color w:val="auto"/>
        </w:rPr>
        <w:t>Figure 45</w:t>
      </w:r>
      <w:r w:rsidR="006F0DD2" w:rsidRPr="007C4D68">
        <w:rPr>
          <w:i/>
          <w:color w:val="auto"/>
        </w:rPr>
        <w:t>.</w:t>
      </w:r>
      <w:proofErr w:type="gramEnd"/>
      <w:r w:rsidR="006F0DD2">
        <w:rPr>
          <w:color w:val="auto"/>
        </w:rPr>
        <w:t xml:space="preserve"> </w:t>
      </w:r>
      <w:proofErr w:type="gramStart"/>
      <w:r w:rsidR="006F0DD2">
        <w:rPr>
          <w:color w:val="auto"/>
        </w:rPr>
        <w:t>Populations o</w:t>
      </w:r>
      <w:r>
        <w:rPr>
          <w:color w:val="auto"/>
        </w:rPr>
        <w:t>f Northern Councils in 1986, 201</w:t>
      </w:r>
      <w:r w:rsidR="006F0DD2">
        <w:rPr>
          <w:color w:val="auto"/>
        </w:rPr>
        <w:t>1 and the total change</w:t>
      </w:r>
      <w:r w:rsidR="006F0DD2" w:rsidRPr="006F0DD2">
        <w:rPr>
          <w:i/>
          <w:color w:val="auto"/>
        </w:rPr>
        <w:t>.</w:t>
      </w:r>
      <w:proofErr w:type="gramEnd"/>
    </w:p>
    <w:p w:rsidR="00756B53" w:rsidRPr="00E83DA2" w:rsidRDefault="00756B53" w:rsidP="00756B53">
      <w:pPr>
        <w:rPr>
          <w:rFonts w:ascii="Gill Sans MT" w:hAnsi="Gill Sans MT"/>
        </w:rPr>
      </w:pPr>
    </w:p>
    <w:p w:rsidR="00756B53" w:rsidRPr="00E83DA2" w:rsidRDefault="00756B53" w:rsidP="00756B53">
      <w:pPr>
        <w:rPr>
          <w:rFonts w:ascii="Gill Sans MT" w:hAnsi="Gill Sans MT"/>
        </w:rPr>
      </w:pPr>
      <w:r w:rsidRPr="00E83DA2">
        <w:rPr>
          <w:rFonts w:ascii="Gill Sans MT" w:hAnsi="Gill Sans MT"/>
        </w:rPr>
        <w:lastRenderedPageBreak/>
        <w:t xml:space="preserve">As the above </w:t>
      </w:r>
      <w:r w:rsidR="001C54BE">
        <w:rPr>
          <w:rFonts w:ascii="Gill Sans MT" w:hAnsi="Gill Sans MT"/>
        </w:rPr>
        <w:t>tables and figures</w:t>
      </w:r>
      <w:r w:rsidRPr="00E83DA2">
        <w:rPr>
          <w:rFonts w:ascii="Gill Sans MT" w:hAnsi="Gill Sans MT"/>
        </w:rPr>
        <w:t xml:space="preserve"> show, the greatest population changes in the past 25 years have been the decline in population in Dorset and the increase in Meander Valley.  Break O’Day and West Tamar have also shown reasonable growth during the period.  Some of this growth is due to people’s lifestyle factors such as the willingness to travel further to work by car to access housing which is affordable.  It also demonstrates that what people view as the outer limits of Launceston have extended well beyond the boundaries of the Local Government Area of Launceston City Council.</w:t>
      </w:r>
    </w:p>
    <w:p w:rsidR="00756B53" w:rsidRPr="00E83DA2" w:rsidRDefault="00756B53" w:rsidP="006F0DD2">
      <w:pPr>
        <w:ind w:left="-1134"/>
        <w:rPr>
          <w:rStyle w:val="Strong"/>
          <w:rFonts w:ascii="Gill Sans MT" w:hAnsi="Gill Sans MT" w:cstheme="minorHAnsi"/>
          <w:sz w:val="28"/>
          <w:szCs w:val="28"/>
        </w:rPr>
      </w:pPr>
      <w:r w:rsidRPr="00E83DA2">
        <w:rPr>
          <w:rFonts w:ascii="Gill Sans MT" w:hAnsi="Gill Sans MT" w:cstheme="minorHAnsi"/>
          <w:b/>
          <w:bCs/>
          <w:noProof/>
          <w:sz w:val="28"/>
          <w:szCs w:val="28"/>
          <w:lang w:eastAsia="en-AU"/>
        </w:rPr>
        <w:drawing>
          <wp:inline distT="0" distB="0" distL="0" distR="0">
            <wp:extent cx="6771836" cy="5079252"/>
            <wp:effectExtent l="19050" t="0" r="0" b="0"/>
            <wp:docPr id="101" name="Picture 0" descr="Pop density map 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 density map tiff.tif"/>
                    <pic:cNvPicPr/>
                  </pic:nvPicPr>
                  <pic:blipFill>
                    <a:blip r:embed="rId47" cstate="print"/>
                    <a:stretch>
                      <a:fillRect/>
                    </a:stretch>
                  </pic:blipFill>
                  <pic:spPr>
                    <a:xfrm>
                      <a:off x="0" y="0"/>
                      <a:ext cx="6778273" cy="5084080"/>
                    </a:xfrm>
                    <a:prstGeom prst="rect">
                      <a:avLst/>
                    </a:prstGeom>
                  </pic:spPr>
                </pic:pic>
              </a:graphicData>
            </a:graphic>
          </wp:inline>
        </w:drawing>
      </w:r>
    </w:p>
    <w:p w:rsidR="006F0DD2" w:rsidRPr="006F0DD2" w:rsidRDefault="006F0DD2" w:rsidP="006F0DD2">
      <w:pPr>
        <w:pStyle w:val="Heading3"/>
        <w:rPr>
          <w:i/>
          <w:color w:val="auto"/>
        </w:rPr>
      </w:pPr>
      <w:proofErr w:type="gramStart"/>
      <w:r w:rsidRPr="006F0DD2">
        <w:rPr>
          <w:i/>
          <w:color w:val="auto"/>
        </w:rPr>
        <w:t xml:space="preserve">Figure </w:t>
      </w:r>
      <w:r w:rsidR="00666BF3">
        <w:rPr>
          <w:i/>
          <w:color w:val="auto"/>
        </w:rPr>
        <w:t>46</w:t>
      </w:r>
      <w:r w:rsidRPr="006F0DD2">
        <w:rPr>
          <w:color w:val="auto"/>
        </w:rPr>
        <w:t>.</w:t>
      </w:r>
      <w:proofErr w:type="gramEnd"/>
      <w:r w:rsidRPr="006F0DD2">
        <w:rPr>
          <w:color w:val="auto"/>
        </w:rPr>
        <w:t xml:space="preserve"> </w:t>
      </w:r>
      <w:proofErr w:type="gramStart"/>
      <w:r>
        <w:rPr>
          <w:color w:val="auto"/>
        </w:rPr>
        <w:t>Population density for Councils in the Northern Region in 2011.</w:t>
      </w:r>
      <w:proofErr w:type="gramEnd"/>
    </w:p>
    <w:p w:rsidR="006F0DD2" w:rsidRDefault="006F0DD2" w:rsidP="00756B53">
      <w:pPr>
        <w:rPr>
          <w:rFonts w:ascii="Gill Sans MT" w:hAnsi="Gill Sans MT"/>
        </w:rPr>
      </w:pPr>
    </w:p>
    <w:p w:rsidR="00756B53" w:rsidRPr="00E83DA2" w:rsidRDefault="00756B53" w:rsidP="00756B53">
      <w:pPr>
        <w:rPr>
          <w:rFonts w:ascii="Gill Sans MT" w:hAnsi="Gill Sans MT"/>
        </w:rPr>
      </w:pPr>
      <w:r w:rsidRPr="00E83DA2">
        <w:rPr>
          <w:rFonts w:ascii="Gill Sans MT" w:hAnsi="Gill Sans MT"/>
        </w:rPr>
        <w:t>Population density for the Northern Region in 2011 shows the greatest density of people to be situated in and around the urban and industrial centres of Greater Launceston and its surrounds. Launceston represented the most significant population density within the Region with around 45 people per km</w:t>
      </w:r>
      <w:r w:rsidRPr="00E83DA2">
        <w:rPr>
          <w:rFonts w:ascii="Gill Sans MT" w:hAnsi="Gill Sans MT"/>
          <w:vertAlign w:val="superscript"/>
        </w:rPr>
        <w:t>2</w:t>
      </w:r>
      <w:r w:rsidRPr="00E83DA2">
        <w:rPr>
          <w:rFonts w:ascii="Gill Sans MT" w:hAnsi="Gill Sans MT"/>
        </w:rPr>
        <w:t>, followed by West Tamar with nearly 32 people per km</w:t>
      </w:r>
      <w:r w:rsidRPr="00E83DA2">
        <w:rPr>
          <w:rFonts w:ascii="Gill Sans MT" w:hAnsi="Gill Sans MT"/>
          <w:vertAlign w:val="superscript"/>
        </w:rPr>
        <w:t>2</w:t>
      </w:r>
      <w:r w:rsidRPr="00E83DA2">
        <w:rPr>
          <w:rFonts w:ascii="Gill Sans MT" w:hAnsi="Gill Sans MT"/>
        </w:rPr>
        <w:t xml:space="preserve">. </w:t>
      </w:r>
    </w:p>
    <w:p w:rsidR="001C54BE" w:rsidRDefault="001C54BE" w:rsidP="00756B53">
      <w:pPr>
        <w:rPr>
          <w:rFonts w:ascii="Gill Sans MT" w:hAnsi="Gill Sans MT"/>
          <w:b/>
        </w:rPr>
      </w:pPr>
    </w:p>
    <w:p w:rsidR="00756B53" w:rsidRPr="00E83DA2" w:rsidRDefault="00756B53" w:rsidP="00756B53">
      <w:pPr>
        <w:rPr>
          <w:rFonts w:ascii="Gill Sans MT" w:hAnsi="Gill Sans MT"/>
          <w:b/>
        </w:rPr>
      </w:pPr>
      <w:r w:rsidRPr="00E83DA2">
        <w:rPr>
          <w:rFonts w:ascii="Gill Sans MT" w:hAnsi="Gill Sans MT"/>
          <w:b/>
        </w:rPr>
        <w:lastRenderedPageBreak/>
        <w:t>Aboriginal and Torres Strait Islanders – proportion of population</w:t>
      </w:r>
    </w:p>
    <w:p w:rsidR="00756B53" w:rsidRPr="00E83DA2" w:rsidRDefault="00756B53" w:rsidP="00756B53">
      <w:pPr>
        <w:rPr>
          <w:rFonts w:ascii="Gill Sans MT" w:hAnsi="Gill Sans MT"/>
        </w:rPr>
      </w:pPr>
      <w:r w:rsidRPr="00E83DA2">
        <w:rPr>
          <w:rFonts w:ascii="Gill Sans MT" w:hAnsi="Gill Sans MT"/>
        </w:rPr>
        <w:t>In 2011, over 19,000 Tasmanians identified themselves as being indigenous, representing approximately 4% of Tasmania’s total population. Within the Northern Region, over 4,000 people identified themselves as indigenous, representing nearly 3% of the total Regional population. It is worth noting that despite this figure, over 16% of the population of Flinders identified themselves with being indigenous.</w:t>
      </w:r>
    </w:p>
    <w:p w:rsidR="00756B53" w:rsidRPr="00E83DA2" w:rsidRDefault="00756B53" w:rsidP="00756B53">
      <w:pPr>
        <w:rPr>
          <w:rFonts w:ascii="Gill Sans MT" w:hAnsi="Gill Sans MT"/>
          <w:b/>
        </w:rPr>
      </w:pPr>
      <w:r w:rsidRPr="00E83DA2">
        <w:rPr>
          <w:rFonts w:ascii="Gill Sans MT" w:hAnsi="Gill Sans MT"/>
          <w:b/>
        </w:rPr>
        <w:t>Dependency ratios</w:t>
      </w:r>
    </w:p>
    <w:p w:rsidR="00756B53" w:rsidRPr="00E83DA2" w:rsidRDefault="00756B53" w:rsidP="00756B53">
      <w:pPr>
        <w:rPr>
          <w:rFonts w:ascii="Gill Sans MT" w:hAnsi="Gill Sans MT"/>
        </w:rPr>
      </w:pPr>
      <w:r w:rsidRPr="00E83DA2">
        <w:rPr>
          <w:rFonts w:ascii="Gill Sans MT" w:hAnsi="Gill Sans MT"/>
        </w:rPr>
        <w:t>The dependency ration represents the number of children aged 14 and younger, and people aged 65 years and older, relative to the total number of people of working age (15-64) in the population. This ratio is often split into aged dependency and child dependency ratios. These ratios identify the numbers of dependent persons per one hundred people of working age. A high ratio means that those of working age – and the overall economy – face a greater burden in supporting aged/child populations.</w:t>
      </w:r>
    </w:p>
    <w:p w:rsidR="00756B53" w:rsidRPr="00E83DA2" w:rsidRDefault="00756B53" w:rsidP="00756B53">
      <w:pPr>
        <w:rPr>
          <w:rFonts w:ascii="Gill Sans MT" w:hAnsi="Gill Sans MT"/>
        </w:rPr>
      </w:pPr>
      <w:r w:rsidRPr="00E83DA2">
        <w:rPr>
          <w:rFonts w:ascii="Gill Sans MT" w:hAnsi="Gill Sans MT"/>
        </w:rPr>
        <w:t>In 2011, the Northern Region had an aged dependency ratio of 20.4, and a child dependency ratio of 24.6. The aged dependency ratios range from Launceston with 19.6, to Break O’Day with 30.1. Child dependency rations range from Flinders with 16.7 to George Town with 28.</w:t>
      </w:r>
    </w:p>
    <w:p w:rsidR="00756B53" w:rsidRPr="00E83DA2" w:rsidRDefault="00756B53" w:rsidP="00756B53">
      <w:pPr>
        <w:rPr>
          <w:rFonts w:ascii="Gill Sans MT" w:hAnsi="Gill Sans MT"/>
        </w:rPr>
      </w:pPr>
      <w:r w:rsidRPr="00E83DA2">
        <w:rPr>
          <w:rFonts w:ascii="Gill Sans MT" w:hAnsi="Gill Sans MT"/>
        </w:rPr>
        <w:t>While it appears positive that the child dependency ratio out-numbers that of the aged dependency ratio, with 82% of the Region’s population growth over the next 20 years expected to be in the 65 and over range, the aged dependency ratio is set to increase significantly.</w:t>
      </w:r>
    </w:p>
    <w:p w:rsidR="00756B53" w:rsidRPr="00E83DA2" w:rsidRDefault="00756B53" w:rsidP="00756B53">
      <w:pPr>
        <w:rPr>
          <w:rFonts w:ascii="Gill Sans MT" w:hAnsi="Gill Sans MT"/>
          <w:b/>
        </w:rPr>
      </w:pPr>
      <w:r w:rsidRPr="00E83DA2">
        <w:rPr>
          <w:rFonts w:ascii="Gill Sans MT" w:hAnsi="Gill Sans MT"/>
          <w:b/>
        </w:rPr>
        <w:t>Household size</w:t>
      </w:r>
    </w:p>
    <w:p w:rsidR="00756B53" w:rsidRPr="00E83DA2" w:rsidRDefault="00756B53" w:rsidP="00756B53">
      <w:pPr>
        <w:rPr>
          <w:rFonts w:ascii="Gill Sans MT" w:hAnsi="Gill Sans MT"/>
        </w:rPr>
      </w:pPr>
      <w:r w:rsidRPr="00E83DA2">
        <w:rPr>
          <w:rFonts w:ascii="Gill Sans MT" w:hAnsi="Gill Sans MT"/>
        </w:rPr>
        <w:t xml:space="preserve">In 2011, average household size in Tasmania was 2.4, with the Northern Region just below that with 2.3. This demonstrates a 0.1 decrease on average household size from 2001 (for both Tasmania and the Region respectively). Across the Region, the average size fluctuated between 2.1 in Break O’Day to 2.5 in West Tamar – with the exception of Flinders which had an average of 1.9 people per household. </w:t>
      </w:r>
    </w:p>
    <w:p w:rsidR="00756B53" w:rsidRPr="00E83DA2" w:rsidRDefault="00756B53" w:rsidP="00756B53">
      <w:pPr>
        <w:rPr>
          <w:rFonts w:ascii="Gill Sans MT" w:hAnsi="Gill Sans MT"/>
        </w:rPr>
      </w:pPr>
      <w:r w:rsidRPr="00E83DA2">
        <w:rPr>
          <w:rFonts w:ascii="Gill Sans MT" w:hAnsi="Gill Sans MT"/>
        </w:rPr>
        <w:t>Tasmania’s household growth is projected to be the slowest of all the states and territories, reflecting the relatively low population growth projected; this low growth is set to result in the smallest average household size in the country by 2031 (ABS Household and Family Projections, Australia, 2001 – 2031).</w:t>
      </w:r>
    </w:p>
    <w:p w:rsidR="00756B53" w:rsidRPr="00E83DA2" w:rsidRDefault="00756B53" w:rsidP="00756B53">
      <w:pPr>
        <w:rPr>
          <w:rFonts w:ascii="Gill Sans MT" w:hAnsi="Gill Sans MT"/>
        </w:rPr>
      </w:pPr>
      <w:r w:rsidRPr="00E83DA2">
        <w:rPr>
          <w:rFonts w:ascii="Gill Sans MT" w:hAnsi="Gill Sans MT"/>
        </w:rPr>
        <w:t>Anecdotal evidence suggests that house sizes are increasing as occupancy rates are decreasing, resulting in a greater number of larger houses with fewer people in them.</w:t>
      </w:r>
    </w:p>
    <w:p w:rsidR="001C54BE" w:rsidRDefault="001C54BE" w:rsidP="00756B53">
      <w:pPr>
        <w:rPr>
          <w:rFonts w:ascii="Gill Sans MT" w:hAnsi="Gill Sans MT"/>
          <w:b/>
        </w:rPr>
      </w:pPr>
    </w:p>
    <w:p w:rsidR="00756B53" w:rsidRPr="00E83DA2" w:rsidRDefault="00756B53" w:rsidP="00756B53">
      <w:pPr>
        <w:rPr>
          <w:rFonts w:ascii="Gill Sans MT" w:hAnsi="Gill Sans MT"/>
          <w:b/>
        </w:rPr>
      </w:pPr>
      <w:r w:rsidRPr="00E83DA2">
        <w:rPr>
          <w:rFonts w:ascii="Gill Sans MT" w:hAnsi="Gill Sans MT"/>
          <w:b/>
        </w:rPr>
        <w:lastRenderedPageBreak/>
        <w:t>Household and family type</w:t>
      </w:r>
    </w:p>
    <w:p w:rsidR="00756B53" w:rsidRPr="00E83DA2" w:rsidRDefault="00756B53" w:rsidP="00756B53">
      <w:pPr>
        <w:rPr>
          <w:rFonts w:ascii="Gill Sans MT" w:hAnsi="Gill Sans MT"/>
        </w:rPr>
      </w:pPr>
      <w:proofErr w:type="gramStart"/>
      <w:r w:rsidRPr="00E83DA2">
        <w:rPr>
          <w:rFonts w:ascii="Gill Sans MT" w:hAnsi="Gill Sans MT"/>
        </w:rPr>
        <w:t>Households in the Northern Region in 2011, as classified by family type, consist fairly evenly of couples with children (29.2%), lone person households (28.5%) and couples without children (27.1%).</w:t>
      </w:r>
      <w:proofErr w:type="gramEnd"/>
      <w:r w:rsidRPr="00E83DA2">
        <w:rPr>
          <w:rFonts w:ascii="Gill Sans MT" w:hAnsi="Gill Sans MT"/>
        </w:rPr>
        <w:t xml:space="preserve"> One-parent families averaged around 11%, with group/share housing just over 3%. In summary of the Northern LGAs:</w:t>
      </w:r>
    </w:p>
    <w:p w:rsidR="00756B53" w:rsidRPr="00E83DA2" w:rsidRDefault="00756B53" w:rsidP="006F0DD2">
      <w:pPr>
        <w:pStyle w:val="ListParagraph"/>
        <w:numPr>
          <w:ilvl w:val="0"/>
          <w:numId w:val="99"/>
        </w:numPr>
        <w:ind w:left="426"/>
        <w:rPr>
          <w:rFonts w:ascii="Gill Sans MT" w:hAnsi="Gill Sans MT"/>
        </w:rPr>
      </w:pPr>
      <w:r w:rsidRPr="00E83DA2">
        <w:rPr>
          <w:rFonts w:ascii="Gill Sans MT" w:hAnsi="Gill Sans MT"/>
        </w:rPr>
        <w:t>Flinders had the highest proportion of households containing couples with no children (38%) and lone person households (35%), emphasising the high proportion of ‘empty nesters’;</w:t>
      </w:r>
    </w:p>
    <w:p w:rsidR="00756B53" w:rsidRPr="00E83DA2" w:rsidRDefault="00756B53" w:rsidP="006F0DD2">
      <w:pPr>
        <w:pStyle w:val="ListParagraph"/>
        <w:numPr>
          <w:ilvl w:val="0"/>
          <w:numId w:val="99"/>
        </w:numPr>
        <w:ind w:left="426"/>
        <w:rPr>
          <w:rFonts w:ascii="Gill Sans MT" w:hAnsi="Gill Sans MT"/>
        </w:rPr>
      </w:pPr>
      <w:r w:rsidRPr="00E83DA2">
        <w:rPr>
          <w:rFonts w:ascii="Gill Sans MT" w:hAnsi="Gill Sans MT"/>
        </w:rPr>
        <w:t>Meander Valley and West Tamar have the highest average of couples with children households (both 31%);</w:t>
      </w:r>
    </w:p>
    <w:p w:rsidR="00756B53" w:rsidRPr="00E83DA2" w:rsidRDefault="00756B53" w:rsidP="006F0DD2">
      <w:pPr>
        <w:pStyle w:val="ListParagraph"/>
        <w:numPr>
          <w:ilvl w:val="0"/>
          <w:numId w:val="99"/>
        </w:numPr>
        <w:ind w:left="426"/>
        <w:rPr>
          <w:rFonts w:ascii="Gill Sans MT" w:hAnsi="Gill Sans MT"/>
        </w:rPr>
      </w:pPr>
      <w:r w:rsidRPr="00E83DA2">
        <w:rPr>
          <w:rFonts w:ascii="Gill Sans MT" w:hAnsi="Gill Sans MT"/>
        </w:rPr>
        <w:t>George Town and Launceston both have the highest average of one-parent families (both 13%); and</w:t>
      </w:r>
    </w:p>
    <w:p w:rsidR="00756B53" w:rsidRPr="00E83DA2" w:rsidRDefault="00756B53" w:rsidP="006F0DD2">
      <w:pPr>
        <w:pStyle w:val="ListParagraph"/>
        <w:numPr>
          <w:ilvl w:val="0"/>
          <w:numId w:val="99"/>
        </w:numPr>
        <w:ind w:left="426"/>
        <w:rPr>
          <w:rFonts w:ascii="Gill Sans MT" w:hAnsi="Gill Sans MT"/>
        </w:rPr>
      </w:pPr>
      <w:r w:rsidRPr="00E83DA2">
        <w:rPr>
          <w:rFonts w:ascii="Gill Sans MT" w:hAnsi="Gill Sans MT"/>
        </w:rPr>
        <w:t>Launceston has the highest rate of group/share housing (5%), reflecting the larger-than-average tertiary student population and ‘city-</w:t>
      </w:r>
      <w:proofErr w:type="spellStart"/>
      <w:r w:rsidRPr="00E83DA2">
        <w:rPr>
          <w:rFonts w:ascii="Gill Sans MT" w:hAnsi="Gill Sans MT"/>
        </w:rPr>
        <w:t>philic</w:t>
      </w:r>
      <w:proofErr w:type="spellEnd"/>
      <w:r w:rsidRPr="00E83DA2">
        <w:rPr>
          <w:rFonts w:ascii="Gill Sans MT" w:hAnsi="Gill Sans MT"/>
        </w:rPr>
        <w:t>’ young working professionals.</w:t>
      </w:r>
    </w:p>
    <w:p w:rsidR="00756B53" w:rsidRPr="00E83DA2" w:rsidRDefault="00756B53" w:rsidP="00756B53">
      <w:pPr>
        <w:rPr>
          <w:rFonts w:ascii="Gill Sans MT" w:hAnsi="Gill Sans MT"/>
          <w:b/>
        </w:rPr>
      </w:pPr>
      <w:r w:rsidRPr="00E83DA2">
        <w:rPr>
          <w:rFonts w:ascii="Gill Sans MT" w:hAnsi="Gill Sans MT"/>
          <w:b/>
        </w:rPr>
        <w:t>Individual and household income</w:t>
      </w:r>
    </w:p>
    <w:tbl>
      <w:tblPr>
        <w:tblStyle w:val="LightShading-Accent4"/>
        <w:tblpPr w:leftFromText="180" w:rightFromText="180" w:vertAnchor="text" w:horzAnchor="margin" w:tblpXSpec="center" w:tblpY="2528"/>
        <w:tblW w:w="10033" w:type="dxa"/>
        <w:tblLook w:val="04A0"/>
      </w:tblPr>
      <w:tblGrid>
        <w:gridCol w:w="1872"/>
        <w:gridCol w:w="830"/>
        <w:gridCol w:w="830"/>
        <w:gridCol w:w="877"/>
        <w:gridCol w:w="830"/>
        <w:gridCol w:w="1165"/>
        <w:gridCol w:w="924"/>
        <w:gridCol w:w="952"/>
        <w:gridCol w:w="830"/>
        <w:gridCol w:w="933"/>
      </w:tblGrid>
      <w:tr w:rsidR="00756B53" w:rsidRPr="00E83DA2" w:rsidTr="008D2E39">
        <w:trPr>
          <w:cnfStyle w:val="100000000000"/>
          <w:trHeight w:val="368"/>
        </w:trPr>
        <w:tc>
          <w:tcPr>
            <w:cnfStyle w:val="001000000000"/>
            <w:tcW w:w="1872" w:type="dxa"/>
            <w:noWrap/>
            <w:hideMark/>
          </w:tcPr>
          <w:p w:rsidR="00756B53" w:rsidRPr="00E83DA2" w:rsidRDefault="00756B53" w:rsidP="008D2E39">
            <w:pPr>
              <w:rPr>
                <w:rFonts w:ascii="Gill Sans MT" w:eastAsia="Times New Roman" w:hAnsi="Gill Sans MT" w:cs="Arial"/>
                <w:sz w:val="16"/>
                <w:szCs w:val="16"/>
                <w:lang w:eastAsia="en-AU"/>
              </w:rPr>
            </w:pPr>
          </w:p>
        </w:tc>
        <w:tc>
          <w:tcPr>
            <w:tcW w:w="830"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Break O’Day</w:t>
            </w:r>
          </w:p>
        </w:tc>
        <w:tc>
          <w:tcPr>
            <w:tcW w:w="830"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Dorset</w:t>
            </w:r>
          </w:p>
        </w:tc>
        <w:tc>
          <w:tcPr>
            <w:tcW w:w="877"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Flinders</w:t>
            </w:r>
          </w:p>
        </w:tc>
        <w:tc>
          <w:tcPr>
            <w:tcW w:w="830"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George Town</w:t>
            </w:r>
          </w:p>
        </w:tc>
        <w:tc>
          <w:tcPr>
            <w:tcW w:w="1165"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Launceston</w:t>
            </w:r>
          </w:p>
        </w:tc>
        <w:tc>
          <w:tcPr>
            <w:tcW w:w="914"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Meander Valley</w:t>
            </w:r>
          </w:p>
        </w:tc>
        <w:tc>
          <w:tcPr>
            <w:tcW w:w="952"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Northern Midlands</w:t>
            </w:r>
          </w:p>
        </w:tc>
        <w:tc>
          <w:tcPr>
            <w:tcW w:w="830"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West Tamar</w:t>
            </w:r>
          </w:p>
        </w:tc>
        <w:tc>
          <w:tcPr>
            <w:tcW w:w="933"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Northern Region</w:t>
            </w:r>
          </w:p>
        </w:tc>
      </w:tr>
      <w:tr w:rsidR="00756B53" w:rsidRPr="00E83DA2" w:rsidTr="008D2E39">
        <w:trPr>
          <w:cnfStyle w:val="000000100000"/>
          <w:trHeight w:val="300"/>
        </w:trPr>
        <w:tc>
          <w:tcPr>
            <w:cnfStyle w:val="001000000000"/>
            <w:tcW w:w="1872" w:type="dxa"/>
            <w:noWrap/>
            <w:vAlign w:val="center"/>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Negative/Nil income</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5.7</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6.0</w:t>
            </w:r>
          </w:p>
        </w:tc>
        <w:tc>
          <w:tcPr>
            <w:tcW w:w="877"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5.7</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6.4</w:t>
            </w:r>
          </w:p>
        </w:tc>
        <w:tc>
          <w:tcPr>
            <w:tcW w:w="1165"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6.1</w:t>
            </w:r>
          </w:p>
        </w:tc>
        <w:tc>
          <w:tcPr>
            <w:tcW w:w="914"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6.5</w:t>
            </w:r>
          </w:p>
        </w:tc>
        <w:tc>
          <w:tcPr>
            <w:tcW w:w="952"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6.4</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6.4</w:t>
            </w:r>
          </w:p>
        </w:tc>
        <w:tc>
          <w:tcPr>
            <w:tcW w:w="933"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6.2</w:t>
            </w:r>
          </w:p>
        </w:tc>
      </w:tr>
      <w:tr w:rsidR="00756B53" w:rsidRPr="00E83DA2" w:rsidTr="008D2E39">
        <w:trPr>
          <w:trHeight w:val="300"/>
        </w:trPr>
        <w:tc>
          <w:tcPr>
            <w:cnfStyle w:val="001000000000"/>
            <w:tcW w:w="1872" w:type="dxa"/>
            <w:noWrap/>
            <w:vAlign w:val="center"/>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$1-$199</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7.9</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8.9</w:t>
            </w:r>
          </w:p>
        </w:tc>
        <w:tc>
          <w:tcPr>
            <w:tcW w:w="877"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7.5</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8.5</w:t>
            </w:r>
          </w:p>
        </w:tc>
        <w:tc>
          <w:tcPr>
            <w:tcW w:w="1165"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8.1</w:t>
            </w:r>
          </w:p>
        </w:tc>
        <w:tc>
          <w:tcPr>
            <w:tcW w:w="914"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8.1</w:t>
            </w:r>
          </w:p>
        </w:tc>
        <w:tc>
          <w:tcPr>
            <w:tcW w:w="952"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8.4</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8.4</w:t>
            </w:r>
          </w:p>
        </w:tc>
        <w:tc>
          <w:tcPr>
            <w:tcW w:w="933"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8.2</w:t>
            </w:r>
          </w:p>
        </w:tc>
      </w:tr>
      <w:tr w:rsidR="00756B53" w:rsidRPr="00E83DA2" w:rsidTr="008D2E39">
        <w:trPr>
          <w:cnfStyle w:val="000000100000"/>
          <w:trHeight w:val="300"/>
        </w:trPr>
        <w:tc>
          <w:tcPr>
            <w:cnfStyle w:val="001000000000"/>
            <w:tcW w:w="1872" w:type="dxa"/>
            <w:noWrap/>
            <w:vAlign w:val="center"/>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$200-$299</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21.3</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17.7</w:t>
            </w:r>
          </w:p>
        </w:tc>
        <w:tc>
          <w:tcPr>
            <w:tcW w:w="877"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13.4</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17.7</w:t>
            </w:r>
          </w:p>
        </w:tc>
        <w:tc>
          <w:tcPr>
            <w:tcW w:w="1165"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14.5</w:t>
            </w:r>
          </w:p>
        </w:tc>
        <w:tc>
          <w:tcPr>
            <w:tcW w:w="914"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14.0</w:t>
            </w:r>
          </w:p>
        </w:tc>
        <w:tc>
          <w:tcPr>
            <w:tcW w:w="952"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14.3</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13.0</w:t>
            </w:r>
          </w:p>
        </w:tc>
        <w:tc>
          <w:tcPr>
            <w:tcW w:w="933"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14.8</w:t>
            </w:r>
          </w:p>
        </w:tc>
      </w:tr>
      <w:tr w:rsidR="00756B53" w:rsidRPr="00E83DA2" w:rsidTr="008D2E39">
        <w:trPr>
          <w:trHeight w:val="300"/>
        </w:trPr>
        <w:tc>
          <w:tcPr>
            <w:cnfStyle w:val="001000000000"/>
            <w:tcW w:w="1872" w:type="dxa"/>
            <w:noWrap/>
            <w:vAlign w:val="center"/>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$300-$399</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17.4</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15.4</w:t>
            </w:r>
          </w:p>
        </w:tc>
        <w:tc>
          <w:tcPr>
            <w:tcW w:w="877"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15.5</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14.6</w:t>
            </w:r>
          </w:p>
        </w:tc>
        <w:tc>
          <w:tcPr>
            <w:tcW w:w="1165"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12.3</w:t>
            </w:r>
          </w:p>
        </w:tc>
        <w:tc>
          <w:tcPr>
            <w:tcW w:w="914"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12.9</w:t>
            </w:r>
          </w:p>
        </w:tc>
        <w:tc>
          <w:tcPr>
            <w:tcW w:w="952"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12.7</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11.4</w:t>
            </w:r>
          </w:p>
        </w:tc>
        <w:tc>
          <w:tcPr>
            <w:tcW w:w="933"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12.8</w:t>
            </w:r>
          </w:p>
        </w:tc>
      </w:tr>
      <w:tr w:rsidR="00756B53" w:rsidRPr="00E83DA2" w:rsidTr="008D2E39">
        <w:trPr>
          <w:cnfStyle w:val="000000100000"/>
          <w:trHeight w:val="300"/>
        </w:trPr>
        <w:tc>
          <w:tcPr>
            <w:cnfStyle w:val="001000000000"/>
            <w:tcW w:w="1872" w:type="dxa"/>
            <w:noWrap/>
            <w:vAlign w:val="center"/>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$400-$599</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15.2</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14.9</w:t>
            </w:r>
          </w:p>
        </w:tc>
        <w:tc>
          <w:tcPr>
            <w:tcW w:w="877"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13.7</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12.9</w:t>
            </w:r>
          </w:p>
        </w:tc>
        <w:tc>
          <w:tcPr>
            <w:tcW w:w="1165"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14.2</w:t>
            </w:r>
          </w:p>
        </w:tc>
        <w:tc>
          <w:tcPr>
            <w:tcW w:w="914"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14.8</w:t>
            </w:r>
          </w:p>
        </w:tc>
        <w:tc>
          <w:tcPr>
            <w:tcW w:w="952"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15.4</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13.7</w:t>
            </w:r>
          </w:p>
        </w:tc>
        <w:tc>
          <w:tcPr>
            <w:tcW w:w="933"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14.3</w:t>
            </w:r>
          </w:p>
        </w:tc>
      </w:tr>
      <w:tr w:rsidR="00756B53" w:rsidRPr="00E83DA2" w:rsidTr="008D2E39">
        <w:trPr>
          <w:trHeight w:val="300"/>
        </w:trPr>
        <w:tc>
          <w:tcPr>
            <w:cnfStyle w:val="001000000000"/>
            <w:tcW w:w="1872" w:type="dxa"/>
            <w:noWrap/>
            <w:vAlign w:val="center"/>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$600-$799</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9.0</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11.7</w:t>
            </w:r>
          </w:p>
        </w:tc>
        <w:tc>
          <w:tcPr>
            <w:tcW w:w="877"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12.0</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10.3</w:t>
            </w:r>
          </w:p>
        </w:tc>
        <w:tc>
          <w:tcPr>
            <w:tcW w:w="1165"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11.8</w:t>
            </w:r>
          </w:p>
        </w:tc>
        <w:tc>
          <w:tcPr>
            <w:tcW w:w="914"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11.9</w:t>
            </w:r>
          </w:p>
        </w:tc>
        <w:tc>
          <w:tcPr>
            <w:tcW w:w="952"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11.9</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11.0</w:t>
            </w:r>
          </w:p>
        </w:tc>
        <w:tc>
          <w:tcPr>
            <w:tcW w:w="933"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11.5</w:t>
            </w:r>
          </w:p>
        </w:tc>
      </w:tr>
      <w:tr w:rsidR="00756B53" w:rsidRPr="00E83DA2" w:rsidTr="008D2E39">
        <w:trPr>
          <w:cnfStyle w:val="000000100000"/>
          <w:trHeight w:val="300"/>
        </w:trPr>
        <w:tc>
          <w:tcPr>
            <w:cnfStyle w:val="001000000000"/>
            <w:tcW w:w="1872" w:type="dxa"/>
            <w:noWrap/>
            <w:vAlign w:val="center"/>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$800-$999</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6.0</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7.3</w:t>
            </w:r>
          </w:p>
        </w:tc>
        <w:tc>
          <w:tcPr>
            <w:tcW w:w="877"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10.5</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6.7</w:t>
            </w:r>
          </w:p>
        </w:tc>
        <w:tc>
          <w:tcPr>
            <w:tcW w:w="1165"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8.5</w:t>
            </w:r>
          </w:p>
        </w:tc>
        <w:tc>
          <w:tcPr>
            <w:tcW w:w="914"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8.5</w:t>
            </w:r>
          </w:p>
        </w:tc>
        <w:tc>
          <w:tcPr>
            <w:tcW w:w="952"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8.9</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9.0</w:t>
            </w:r>
          </w:p>
        </w:tc>
        <w:tc>
          <w:tcPr>
            <w:tcW w:w="933"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8.3</w:t>
            </w:r>
          </w:p>
        </w:tc>
      </w:tr>
      <w:tr w:rsidR="00756B53" w:rsidRPr="00E83DA2" w:rsidTr="008D2E39">
        <w:trPr>
          <w:trHeight w:val="300"/>
        </w:trPr>
        <w:tc>
          <w:tcPr>
            <w:cnfStyle w:val="001000000000"/>
            <w:tcW w:w="1872" w:type="dxa"/>
            <w:noWrap/>
            <w:vAlign w:val="center"/>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$1,000-$1,249</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4.0</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5.1</w:t>
            </w:r>
          </w:p>
        </w:tc>
        <w:tc>
          <w:tcPr>
            <w:tcW w:w="877"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5.9</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5.6</w:t>
            </w:r>
          </w:p>
        </w:tc>
        <w:tc>
          <w:tcPr>
            <w:tcW w:w="1165"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7.0</w:t>
            </w:r>
          </w:p>
        </w:tc>
        <w:tc>
          <w:tcPr>
            <w:tcW w:w="914"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7.1</w:t>
            </w:r>
          </w:p>
        </w:tc>
        <w:tc>
          <w:tcPr>
            <w:tcW w:w="952"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6.7</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7.3</w:t>
            </w:r>
          </w:p>
        </w:tc>
        <w:tc>
          <w:tcPr>
            <w:tcW w:w="933"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6.7</w:t>
            </w:r>
          </w:p>
        </w:tc>
      </w:tr>
      <w:tr w:rsidR="00756B53" w:rsidRPr="00E83DA2" w:rsidTr="008D2E39">
        <w:trPr>
          <w:cnfStyle w:val="000000100000"/>
          <w:trHeight w:val="300"/>
        </w:trPr>
        <w:tc>
          <w:tcPr>
            <w:cnfStyle w:val="001000000000"/>
            <w:tcW w:w="1872" w:type="dxa"/>
            <w:noWrap/>
            <w:vAlign w:val="center"/>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$1,250-$1,499</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2.1</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3.2</w:t>
            </w:r>
          </w:p>
        </w:tc>
        <w:tc>
          <w:tcPr>
            <w:tcW w:w="877"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3.0</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4.0</w:t>
            </w:r>
          </w:p>
        </w:tc>
        <w:tc>
          <w:tcPr>
            <w:tcW w:w="1165"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4.2</w:t>
            </w:r>
          </w:p>
        </w:tc>
        <w:tc>
          <w:tcPr>
            <w:tcW w:w="914"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4.2</w:t>
            </w:r>
          </w:p>
        </w:tc>
        <w:tc>
          <w:tcPr>
            <w:tcW w:w="952"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4.0</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5.0</w:t>
            </w:r>
          </w:p>
        </w:tc>
        <w:tc>
          <w:tcPr>
            <w:tcW w:w="933"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4.1</w:t>
            </w:r>
          </w:p>
        </w:tc>
      </w:tr>
      <w:tr w:rsidR="00756B53" w:rsidRPr="00E83DA2" w:rsidTr="008D2E39">
        <w:trPr>
          <w:trHeight w:val="300"/>
        </w:trPr>
        <w:tc>
          <w:tcPr>
            <w:cnfStyle w:val="001000000000"/>
            <w:tcW w:w="1872" w:type="dxa"/>
            <w:noWrap/>
            <w:vAlign w:val="center"/>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$1,500-$1,999</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2.6</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2.5</w:t>
            </w:r>
          </w:p>
        </w:tc>
        <w:tc>
          <w:tcPr>
            <w:tcW w:w="877"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3.6</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4.8</w:t>
            </w:r>
          </w:p>
        </w:tc>
        <w:tc>
          <w:tcPr>
            <w:tcW w:w="1165"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4.5</w:t>
            </w:r>
          </w:p>
        </w:tc>
        <w:tc>
          <w:tcPr>
            <w:tcW w:w="914"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4.1</w:t>
            </w:r>
          </w:p>
        </w:tc>
        <w:tc>
          <w:tcPr>
            <w:tcW w:w="952"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3.5</w:t>
            </w:r>
          </w:p>
        </w:tc>
        <w:tc>
          <w:tcPr>
            <w:tcW w:w="830"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5.8</w:t>
            </w:r>
          </w:p>
        </w:tc>
        <w:tc>
          <w:tcPr>
            <w:tcW w:w="933" w:type="dxa"/>
            <w:noWrap/>
            <w:vAlign w:val="center"/>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4.4</w:t>
            </w:r>
          </w:p>
        </w:tc>
      </w:tr>
      <w:tr w:rsidR="00756B53" w:rsidRPr="00E83DA2" w:rsidTr="008D2E39">
        <w:trPr>
          <w:cnfStyle w:val="000000100000"/>
          <w:trHeight w:val="300"/>
        </w:trPr>
        <w:tc>
          <w:tcPr>
            <w:cnfStyle w:val="001000000000"/>
            <w:tcW w:w="1872" w:type="dxa"/>
            <w:noWrap/>
            <w:vAlign w:val="center"/>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$2,000 or more</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1.7</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1.5</w:t>
            </w:r>
          </w:p>
        </w:tc>
        <w:tc>
          <w:tcPr>
            <w:tcW w:w="877"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3.3</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1.7</w:t>
            </w:r>
          </w:p>
        </w:tc>
        <w:tc>
          <w:tcPr>
            <w:tcW w:w="1165"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2.8</w:t>
            </w:r>
          </w:p>
        </w:tc>
        <w:tc>
          <w:tcPr>
            <w:tcW w:w="914"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2.2</w:t>
            </w:r>
          </w:p>
        </w:tc>
        <w:tc>
          <w:tcPr>
            <w:tcW w:w="952"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2.2</w:t>
            </w:r>
          </w:p>
        </w:tc>
        <w:tc>
          <w:tcPr>
            <w:tcW w:w="830"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3.5</w:t>
            </w:r>
          </w:p>
        </w:tc>
        <w:tc>
          <w:tcPr>
            <w:tcW w:w="933" w:type="dxa"/>
            <w:noWrap/>
            <w:vAlign w:val="center"/>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2.6</w:t>
            </w:r>
          </w:p>
        </w:tc>
      </w:tr>
    </w:tbl>
    <w:p w:rsidR="00756B53" w:rsidRPr="00E83DA2" w:rsidRDefault="00756B53" w:rsidP="00756B53">
      <w:pPr>
        <w:rPr>
          <w:rFonts w:ascii="Gill Sans MT" w:hAnsi="Gill Sans MT"/>
        </w:rPr>
      </w:pPr>
      <w:r w:rsidRPr="00E83DA2">
        <w:rPr>
          <w:rFonts w:ascii="Gill Sans MT" w:hAnsi="Gill Sans MT"/>
        </w:rPr>
        <w:t>In 2011, the average weekly individual income for the Northern Region</w:t>
      </w:r>
      <w:r w:rsidR="001C54BE">
        <w:rPr>
          <w:rFonts w:ascii="Gill Sans MT" w:hAnsi="Gill Sans MT"/>
        </w:rPr>
        <w:t xml:space="preserve"> was $200-$399 per week (Table 2</w:t>
      </w:r>
      <w:r w:rsidRPr="00E83DA2">
        <w:rPr>
          <w:rFonts w:ascii="Gill Sans MT" w:hAnsi="Gill Sans MT"/>
        </w:rPr>
        <w:t>). Within the Region itself, the LGA with the highest average individual income was $400-$599 in the Northern Midlands (15.4%), while West Tamar was the only LGA to record above the Regional- average for all average weekly individual income brackets above $800 per week.</w:t>
      </w:r>
    </w:p>
    <w:p w:rsidR="006F0DD2" w:rsidRDefault="006F0DD2" w:rsidP="00756B53">
      <w:pPr>
        <w:rPr>
          <w:rFonts w:ascii="Gill Sans MT" w:hAnsi="Gill Sans MT"/>
          <w:i/>
          <w:sz w:val="20"/>
          <w:szCs w:val="20"/>
        </w:rPr>
      </w:pPr>
    </w:p>
    <w:p w:rsidR="00756B53" w:rsidRPr="006F0DD2" w:rsidRDefault="00666BF3" w:rsidP="00756B53">
      <w:pPr>
        <w:rPr>
          <w:rFonts w:ascii="Gill Sans MT" w:hAnsi="Gill Sans MT"/>
          <w:b/>
          <w:i/>
        </w:rPr>
      </w:pPr>
      <w:proofErr w:type="gramStart"/>
      <w:r>
        <w:rPr>
          <w:rFonts w:ascii="Gill Sans MT" w:hAnsi="Gill Sans MT"/>
          <w:b/>
          <w:i/>
        </w:rPr>
        <w:t>Figure 47</w:t>
      </w:r>
      <w:r w:rsidR="00756B53" w:rsidRPr="006F0DD2">
        <w:rPr>
          <w:rFonts w:ascii="Gill Sans MT" w:hAnsi="Gill Sans MT"/>
          <w:b/>
          <w:i/>
        </w:rPr>
        <w:t>.</w:t>
      </w:r>
      <w:proofErr w:type="gramEnd"/>
      <w:r w:rsidR="00756B53" w:rsidRPr="006F0DD2">
        <w:rPr>
          <w:rFonts w:ascii="Gill Sans MT" w:hAnsi="Gill Sans MT"/>
          <w:b/>
          <w:i/>
        </w:rPr>
        <w:t xml:space="preserve"> </w:t>
      </w:r>
      <w:proofErr w:type="gramStart"/>
      <w:r w:rsidR="00756B53" w:rsidRPr="00F62AB9">
        <w:rPr>
          <w:rFonts w:ascii="Gill Sans MT" w:hAnsi="Gill Sans MT"/>
          <w:b/>
        </w:rPr>
        <w:t>Percentage average weekly individual income of Northern LGA residents in 2011 (ABS Census of Population and Housing 2011).</w:t>
      </w:r>
      <w:proofErr w:type="gramEnd"/>
      <w:r w:rsidR="00756B53" w:rsidRPr="00F62AB9">
        <w:rPr>
          <w:rFonts w:ascii="Gill Sans MT" w:hAnsi="Gill Sans MT"/>
          <w:b/>
        </w:rPr>
        <w:t xml:space="preserve"> </w:t>
      </w:r>
      <w:r w:rsidR="00F62AB9" w:rsidRPr="001C54BE">
        <w:rPr>
          <w:rFonts w:ascii="Gill Sans MT" w:hAnsi="Gill Sans MT"/>
          <w:b/>
          <w:i/>
          <w:sz w:val="20"/>
          <w:szCs w:val="20"/>
        </w:rPr>
        <w:t>*</w:t>
      </w:r>
      <w:r w:rsidR="00756B53" w:rsidRPr="001C54BE">
        <w:rPr>
          <w:rFonts w:ascii="Gill Sans MT" w:hAnsi="Gill Sans MT"/>
          <w:b/>
          <w:i/>
          <w:sz w:val="20"/>
          <w:szCs w:val="20"/>
        </w:rPr>
        <w:t>Does not include those who did not state an income.</w:t>
      </w:r>
    </w:p>
    <w:p w:rsidR="00756B53" w:rsidRPr="00E83DA2" w:rsidRDefault="00756B53" w:rsidP="00756B53">
      <w:pPr>
        <w:rPr>
          <w:rFonts w:ascii="Gill Sans MT" w:hAnsi="Gill Sans MT"/>
        </w:rPr>
      </w:pPr>
      <w:r w:rsidRPr="00E83DA2">
        <w:rPr>
          <w:rFonts w:ascii="Gill Sans MT" w:hAnsi="Gill Sans MT"/>
        </w:rPr>
        <w:lastRenderedPageBreak/>
        <w:t>The average weekly household income in the Northern Region</w:t>
      </w:r>
      <w:r w:rsidR="001C54BE">
        <w:rPr>
          <w:rFonts w:ascii="Gill Sans MT" w:hAnsi="Gill Sans MT"/>
        </w:rPr>
        <w:t xml:space="preserve"> was $400-$599 per week (Table 3</w:t>
      </w:r>
      <w:r w:rsidRPr="00E83DA2">
        <w:rPr>
          <w:rFonts w:ascii="Gill Sans MT" w:hAnsi="Gill Sans MT"/>
        </w:rPr>
        <w:t>). Within the Region itself, the LGA with the highest average household income was $800-$999 in Flinders (12.1%), while West Tamar was again the only LGA to record above the Regional- average for all average weekly household income brackets above $1,250 per week.</w:t>
      </w:r>
    </w:p>
    <w:p w:rsidR="00756B53" w:rsidRPr="00E83DA2" w:rsidRDefault="00756B53" w:rsidP="00756B53">
      <w:pPr>
        <w:rPr>
          <w:rFonts w:ascii="Gill Sans MT" w:hAnsi="Gill Sans MT"/>
          <w:b/>
          <w:sz w:val="20"/>
          <w:szCs w:val="20"/>
        </w:rPr>
      </w:pPr>
    </w:p>
    <w:p w:rsidR="00756B53" w:rsidRPr="00E83DA2" w:rsidRDefault="00756B53" w:rsidP="00756B53">
      <w:pPr>
        <w:rPr>
          <w:rFonts w:ascii="Gill Sans MT" w:hAnsi="Gill Sans MT"/>
          <w:b/>
          <w:sz w:val="20"/>
          <w:szCs w:val="20"/>
        </w:rPr>
      </w:pPr>
    </w:p>
    <w:tbl>
      <w:tblPr>
        <w:tblStyle w:val="LightShading-Accent4"/>
        <w:tblpPr w:leftFromText="180" w:rightFromText="180" w:vertAnchor="text" w:horzAnchor="margin" w:tblpXSpec="center" w:tblpY="-556"/>
        <w:tblW w:w="9799" w:type="dxa"/>
        <w:tblLayout w:type="fixed"/>
        <w:tblLook w:val="04A0"/>
      </w:tblPr>
      <w:tblGrid>
        <w:gridCol w:w="1791"/>
        <w:gridCol w:w="794"/>
        <w:gridCol w:w="794"/>
        <w:gridCol w:w="839"/>
        <w:gridCol w:w="794"/>
        <w:gridCol w:w="1117"/>
        <w:gridCol w:w="925"/>
        <w:gridCol w:w="913"/>
        <w:gridCol w:w="794"/>
        <w:gridCol w:w="1038"/>
      </w:tblGrid>
      <w:tr w:rsidR="00756B53" w:rsidRPr="00E83DA2" w:rsidTr="008D2E39">
        <w:trPr>
          <w:cnfStyle w:val="100000000000"/>
          <w:trHeight w:val="369"/>
        </w:trPr>
        <w:tc>
          <w:tcPr>
            <w:cnfStyle w:val="001000000000"/>
            <w:tcW w:w="1791" w:type="dxa"/>
            <w:noWrap/>
            <w:hideMark/>
          </w:tcPr>
          <w:p w:rsidR="00756B53" w:rsidRPr="00E83DA2" w:rsidRDefault="00756B53" w:rsidP="008D2E39">
            <w:pPr>
              <w:ind w:right="-303"/>
              <w:rPr>
                <w:rFonts w:ascii="Gill Sans MT" w:eastAsia="Times New Roman" w:hAnsi="Gill Sans MT" w:cs="Arial"/>
                <w:sz w:val="16"/>
                <w:szCs w:val="16"/>
                <w:lang w:eastAsia="en-AU"/>
              </w:rPr>
            </w:pPr>
          </w:p>
        </w:tc>
        <w:tc>
          <w:tcPr>
            <w:tcW w:w="794"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Break O’Day</w:t>
            </w:r>
          </w:p>
        </w:tc>
        <w:tc>
          <w:tcPr>
            <w:tcW w:w="794"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Dorset</w:t>
            </w:r>
          </w:p>
        </w:tc>
        <w:tc>
          <w:tcPr>
            <w:tcW w:w="839"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Flinders</w:t>
            </w:r>
          </w:p>
        </w:tc>
        <w:tc>
          <w:tcPr>
            <w:tcW w:w="794"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George Town</w:t>
            </w:r>
          </w:p>
        </w:tc>
        <w:tc>
          <w:tcPr>
            <w:tcW w:w="1117"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Launceston</w:t>
            </w:r>
          </w:p>
        </w:tc>
        <w:tc>
          <w:tcPr>
            <w:tcW w:w="925"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Meander Valley</w:t>
            </w:r>
          </w:p>
        </w:tc>
        <w:tc>
          <w:tcPr>
            <w:tcW w:w="913"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Northern Midlands</w:t>
            </w:r>
          </w:p>
        </w:tc>
        <w:tc>
          <w:tcPr>
            <w:tcW w:w="794"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West Tamar</w:t>
            </w:r>
          </w:p>
        </w:tc>
        <w:tc>
          <w:tcPr>
            <w:tcW w:w="1038" w:type="dxa"/>
            <w:noWrap/>
            <w:hideMark/>
          </w:tcPr>
          <w:p w:rsidR="00756B53" w:rsidRPr="00E83DA2" w:rsidRDefault="00756B53" w:rsidP="008D2E39">
            <w:pPr>
              <w:jc w:val="center"/>
              <w:cnfStyle w:val="1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Northern Region</w:t>
            </w:r>
          </w:p>
        </w:tc>
      </w:tr>
      <w:tr w:rsidR="00756B53" w:rsidRPr="00E83DA2" w:rsidTr="008D2E39">
        <w:trPr>
          <w:cnfStyle w:val="000000100000"/>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Negative/Nil income</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1.7</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839"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2.0</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1117"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925"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w:t>
            </w:r>
          </w:p>
        </w:tc>
        <w:tc>
          <w:tcPr>
            <w:tcW w:w="913"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1038"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w:t>
            </w:r>
          </w:p>
        </w:tc>
      </w:tr>
      <w:tr w:rsidR="00756B53" w:rsidRPr="00E83DA2" w:rsidTr="008D2E39">
        <w:trPr>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$1-$199</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2.8</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2.3</w:t>
            </w:r>
          </w:p>
        </w:tc>
        <w:tc>
          <w:tcPr>
            <w:tcW w:w="839"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3.5</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2.8</w:t>
            </w:r>
          </w:p>
        </w:tc>
        <w:tc>
          <w:tcPr>
            <w:tcW w:w="1117"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1.7</w:t>
            </w:r>
          </w:p>
        </w:tc>
        <w:tc>
          <w:tcPr>
            <w:tcW w:w="925"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1.6</w:t>
            </w:r>
          </w:p>
        </w:tc>
        <w:tc>
          <w:tcPr>
            <w:tcW w:w="913"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1.9</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w:t>
            </w:r>
          </w:p>
        </w:tc>
        <w:tc>
          <w:tcPr>
            <w:tcW w:w="1038"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1.8</w:t>
            </w:r>
          </w:p>
        </w:tc>
      </w:tr>
      <w:tr w:rsidR="00756B53" w:rsidRPr="00E83DA2" w:rsidTr="008D2E39">
        <w:trPr>
          <w:cnfStyle w:val="000000100000"/>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$200-$299</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6.5</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4.3</w:t>
            </w:r>
          </w:p>
        </w:tc>
        <w:tc>
          <w:tcPr>
            <w:tcW w:w="839"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4.6</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5.3</w:t>
            </w:r>
          </w:p>
        </w:tc>
        <w:tc>
          <w:tcPr>
            <w:tcW w:w="1117"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4.4</w:t>
            </w:r>
          </w:p>
        </w:tc>
        <w:tc>
          <w:tcPr>
            <w:tcW w:w="925"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3.5</w:t>
            </w:r>
          </w:p>
        </w:tc>
        <w:tc>
          <w:tcPr>
            <w:tcW w:w="913"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3.5</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2.9</w:t>
            </w:r>
          </w:p>
        </w:tc>
        <w:tc>
          <w:tcPr>
            <w:tcW w:w="1038"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4.1</w:t>
            </w:r>
          </w:p>
        </w:tc>
      </w:tr>
      <w:tr w:rsidR="00756B53" w:rsidRPr="00E83DA2" w:rsidTr="008D2E39">
        <w:trPr>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$300-$399</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12.3</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12.3</w:t>
            </w:r>
          </w:p>
        </w:tc>
        <w:tc>
          <w:tcPr>
            <w:tcW w:w="839"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10.4</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10.5</w:t>
            </w:r>
          </w:p>
        </w:tc>
        <w:tc>
          <w:tcPr>
            <w:tcW w:w="1117"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9.3</w:t>
            </w:r>
          </w:p>
        </w:tc>
        <w:tc>
          <w:tcPr>
            <w:tcW w:w="925"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8.5</w:t>
            </w:r>
          </w:p>
        </w:tc>
        <w:tc>
          <w:tcPr>
            <w:tcW w:w="913"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8.4</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7.4</w:t>
            </w:r>
          </w:p>
        </w:tc>
        <w:tc>
          <w:tcPr>
            <w:tcW w:w="1038"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9.2</w:t>
            </w:r>
          </w:p>
        </w:tc>
      </w:tr>
      <w:tr w:rsidR="00756B53" w:rsidRPr="00E83DA2" w:rsidTr="008D2E39">
        <w:trPr>
          <w:cnfStyle w:val="000000100000"/>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$400-$599</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17.5</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16.8</w:t>
            </w:r>
          </w:p>
        </w:tc>
        <w:tc>
          <w:tcPr>
            <w:tcW w:w="839"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11.3</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14.4</w:t>
            </w:r>
          </w:p>
        </w:tc>
        <w:tc>
          <w:tcPr>
            <w:tcW w:w="1117"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13.2</w:t>
            </w:r>
          </w:p>
        </w:tc>
        <w:tc>
          <w:tcPr>
            <w:tcW w:w="925"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13.9</w:t>
            </w:r>
          </w:p>
        </w:tc>
        <w:tc>
          <w:tcPr>
            <w:tcW w:w="913"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14.0</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11.6</w:t>
            </w:r>
          </w:p>
        </w:tc>
        <w:tc>
          <w:tcPr>
            <w:tcW w:w="1038"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13.5</w:t>
            </w:r>
          </w:p>
        </w:tc>
      </w:tr>
      <w:tr w:rsidR="00756B53" w:rsidRPr="00E83DA2" w:rsidTr="008D2E39">
        <w:trPr>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$600-$799</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13.1</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12.3</w:t>
            </w:r>
          </w:p>
        </w:tc>
        <w:tc>
          <w:tcPr>
            <w:tcW w:w="839"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11.6</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11.4</w:t>
            </w:r>
          </w:p>
        </w:tc>
        <w:tc>
          <w:tcPr>
            <w:tcW w:w="1117"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11.1</w:t>
            </w:r>
          </w:p>
        </w:tc>
        <w:tc>
          <w:tcPr>
            <w:tcW w:w="925"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10.6</w:t>
            </w:r>
          </w:p>
        </w:tc>
        <w:tc>
          <w:tcPr>
            <w:tcW w:w="913"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10.7</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10.2</w:t>
            </w:r>
          </w:p>
        </w:tc>
        <w:tc>
          <w:tcPr>
            <w:tcW w:w="1038"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11.0</w:t>
            </w:r>
          </w:p>
        </w:tc>
      </w:tr>
      <w:tr w:rsidR="00756B53" w:rsidRPr="00E83DA2" w:rsidTr="008D2E39">
        <w:trPr>
          <w:cnfStyle w:val="000000100000"/>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$800-$999</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10.6</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9.9</w:t>
            </w:r>
          </w:p>
        </w:tc>
        <w:tc>
          <w:tcPr>
            <w:tcW w:w="839"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12.1</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8.7</w:t>
            </w:r>
          </w:p>
        </w:tc>
        <w:tc>
          <w:tcPr>
            <w:tcW w:w="1117"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8.9</w:t>
            </w:r>
          </w:p>
        </w:tc>
        <w:tc>
          <w:tcPr>
            <w:tcW w:w="925"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9.5</w:t>
            </w:r>
          </w:p>
        </w:tc>
        <w:tc>
          <w:tcPr>
            <w:tcW w:w="913"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9.9</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9.8</w:t>
            </w:r>
          </w:p>
        </w:tc>
        <w:tc>
          <w:tcPr>
            <w:tcW w:w="1038"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9.4</w:t>
            </w:r>
          </w:p>
        </w:tc>
      </w:tr>
      <w:tr w:rsidR="00756B53" w:rsidRPr="00E83DA2" w:rsidTr="008D2E39">
        <w:trPr>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$1,000-$1,249</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7.5</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8.1</w:t>
            </w:r>
          </w:p>
        </w:tc>
        <w:tc>
          <w:tcPr>
            <w:tcW w:w="839"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9.0</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8.1</w:t>
            </w:r>
          </w:p>
        </w:tc>
        <w:tc>
          <w:tcPr>
            <w:tcW w:w="1117"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9.1</w:t>
            </w:r>
          </w:p>
        </w:tc>
        <w:tc>
          <w:tcPr>
            <w:tcW w:w="925"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8.4</w:t>
            </w:r>
          </w:p>
        </w:tc>
        <w:tc>
          <w:tcPr>
            <w:tcW w:w="913"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8.6</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8.1</w:t>
            </w:r>
          </w:p>
        </w:tc>
        <w:tc>
          <w:tcPr>
            <w:tcW w:w="1038"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8.6</w:t>
            </w:r>
          </w:p>
        </w:tc>
      </w:tr>
      <w:tr w:rsidR="00756B53" w:rsidRPr="00E83DA2" w:rsidTr="008D2E39">
        <w:trPr>
          <w:cnfStyle w:val="000000100000"/>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$1,250-$1,499</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4.8</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7.3</w:t>
            </w:r>
          </w:p>
        </w:tc>
        <w:tc>
          <w:tcPr>
            <w:tcW w:w="839"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5.5</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6.1</w:t>
            </w:r>
          </w:p>
        </w:tc>
        <w:tc>
          <w:tcPr>
            <w:tcW w:w="1117"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7.4</w:t>
            </w:r>
          </w:p>
        </w:tc>
        <w:tc>
          <w:tcPr>
            <w:tcW w:w="925"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7.2</w:t>
            </w:r>
          </w:p>
        </w:tc>
        <w:tc>
          <w:tcPr>
            <w:tcW w:w="913"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8.2</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7.5</w:t>
            </w:r>
          </w:p>
        </w:tc>
        <w:tc>
          <w:tcPr>
            <w:tcW w:w="1038"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7.2</w:t>
            </w:r>
          </w:p>
        </w:tc>
      </w:tr>
      <w:tr w:rsidR="00756B53" w:rsidRPr="00E83DA2" w:rsidTr="008D2E39">
        <w:trPr>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$1,500-$1,999</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5.8</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7.3</w:t>
            </w:r>
          </w:p>
        </w:tc>
        <w:tc>
          <w:tcPr>
            <w:tcW w:w="839"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10.1</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9.2</w:t>
            </w:r>
          </w:p>
        </w:tc>
        <w:tc>
          <w:tcPr>
            <w:tcW w:w="1117"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10.0</w:t>
            </w:r>
          </w:p>
        </w:tc>
        <w:tc>
          <w:tcPr>
            <w:tcW w:w="925"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10.4</w:t>
            </w:r>
          </w:p>
        </w:tc>
        <w:tc>
          <w:tcPr>
            <w:tcW w:w="913"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10.4</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11.4</w:t>
            </w:r>
          </w:p>
        </w:tc>
        <w:tc>
          <w:tcPr>
            <w:tcW w:w="1038"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10.0</w:t>
            </w:r>
          </w:p>
        </w:tc>
      </w:tr>
      <w:tr w:rsidR="00756B53" w:rsidRPr="00E83DA2" w:rsidTr="008D2E39">
        <w:trPr>
          <w:cnfStyle w:val="000000100000"/>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$2,000-$2,499</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2.9</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4.4</w:t>
            </w:r>
          </w:p>
        </w:tc>
        <w:tc>
          <w:tcPr>
            <w:tcW w:w="839"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5.5</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6.2</w:t>
            </w:r>
          </w:p>
        </w:tc>
        <w:tc>
          <w:tcPr>
            <w:tcW w:w="1117"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6.4</w:t>
            </w:r>
          </w:p>
        </w:tc>
        <w:tc>
          <w:tcPr>
            <w:tcW w:w="925"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7.5</w:t>
            </w:r>
          </w:p>
        </w:tc>
        <w:tc>
          <w:tcPr>
            <w:tcW w:w="913"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6.5</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7.6</w:t>
            </w:r>
          </w:p>
        </w:tc>
        <w:tc>
          <w:tcPr>
            <w:tcW w:w="1038"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6.4</w:t>
            </w:r>
          </w:p>
        </w:tc>
      </w:tr>
      <w:tr w:rsidR="00756B53" w:rsidRPr="00E83DA2" w:rsidTr="008D2E39">
        <w:trPr>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$2,500-$2,999</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1.9</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2.0</w:t>
            </w:r>
          </w:p>
        </w:tc>
        <w:tc>
          <w:tcPr>
            <w:tcW w:w="839"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3.5</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3.3</w:t>
            </w:r>
          </w:p>
        </w:tc>
        <w:tc>
          <w:tcPr>
            <w:tcW w:w="1117"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4.0</w:t>
            </w:r>
          </w:p>
        </w:tc>
        <w:tc>
          <w:tcPr>
            <w:tcW w:w="925"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4.0</w:t>
            </w:r>
          </w:p>
        </w:tc>
        <w:tc>
          <w:tcPr>
            <w:tcW w:w="913"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3.4</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5.5</w:t>
            </w:r>
          </w:p>
        </w:tc>
        <w:tc>
          <w:tcPr>
            <w:tcW w:w="1038"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4.0</w:t>
            </w:r>
          </w:p>
        </w:tc>
      </w:tr>
      <w:tr w:rsidR="00756B53" w:rsidRPr="00E83DA2" w:rsidTr="008D2E39">
        <w:trPr>
          <w:cnfStyle w:val="000000100000"/>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$3,000-$3,499</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w:t>
            </w:r>
          </w:p>
        </w:tc>
        <w:tc>
          <w:tcPr>
            <w:tcW w:w="839"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1.6</w:t>
            </w:r>
          </w:p>
        </w:tc>
        <w:tc>
          <w:tcPr>
            <w:tcW w:w="1117"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2.4</w:t>
            </w:r>
          </w:p>
        </w:tc>
        <w:tc>
          <w:tcPr>
            <w:tcW w:w="925"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2.2</w:t>
            </w:r>
          </w:p>
        </w:tc>
        <w:tc>
          <w:tcPr>
            <w:tcW w:w="913"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1.5</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3.3</w:t>
            </w:r>
          </w:p>
        </w:tc>
        <w:tc>
          <w:tcPr>
            <w:tcW w:w="1038"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2.2</w:t>
            </w:r>
          </w:p>
        </w:tc>
      </w:tr>
      <w:tr w:rsidR="00756B53" w:rsidRPr="00E83DA2" w:rsidTr="008D2E39">
        <w:trPr>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$3,500-$3,999</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0.2</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0.5</w:t>
            </w:r>
          </w:p>
        </w:tc>
        <w:tc>
          <w:tcPr>
            <w:tcW w:w="839"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0.5</w:t>
            </w:r>
          </w:p>
        </w:tc>
        <w:tc>
          <w:tcPr>
            <w:tcW w:w="1117"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925"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913"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794"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1.3</w:t>
            </w:r>
          </w:p>
        </w:tc>
        <w:tc>
          <w:tcPr>
            <w:tcW w:w="1038" w:type="dxa"/>
            <w:noWrap/>
            <w:hideMark/>
          </w:tcPr>
          <w:p w:rsidR="00756B53" w:rsidRPr="00E83DA2" w:rsidRDefault="00756B53" w:rsidP="008D2E39">
            <w:pPr>
              <w:jc w:val="center"/>
              <w:cnfStyle w:val="0000000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r>
      <w:tr w:rsidR="00756B53" w:rsidRPr="00E83DA2" w:rsidTr="008D2E39">
        <w:trPr>
          <w:cnfStyle w:val="000000100000"/>
          <w:trHeight w:val="303"/>
        </w:trPr>
        <w:tc>
          <w:tcPr>
            <w:cnfStyle w:val="001000000000"/>
            <w:tcW w:w="1791" w:type="dxa"/>
            <w:noWrap/>
            <w:hideMark/>
          </w:tcPr>
          <w:p w:rsidR="00756B53" w:rsidRPr="00E83DA2" w:rsidRDefault="00756B53" w:rsidP="008D2E39">
            <w:pPr>
              <w:rPr>
                <w:rFonts w:ascii="Gill Sans MT" w:eastAsia="Times New Roman" w:hAnsi="Gill Sans MT" w:cs="Arial"/>
                <w:sz w:val="16"/>
                <w:szCs w:val="16"/>
                <w:lang w:eastAsia="en-AU"/>
              </w:rPr>
            </w:pPr>
            <w:r w:rsidRPr="00E83DA2">
              <w:rPr>
                <w:rFonts w:ascii="Gill Sans MT" w:eastAsia="Times New Roman" w:hAnsi="Gill Sans MT" w:cs="Arial"/>
                <w:sz w:val="16"/>
                <w:szCs w:val="16"/>
                <w:lang w:eastAsia="en-AU"/>
              </w:rPr>
              <w:t>$4,000 or more</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0.4</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0.7</w:t>
            </w:r>
          </w:p>
        </w:tc>
        <w:tc>
          <w:tcPr>
            <w:tcW w:w="839"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0.0</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0.6</w:t>
            </w:r>
          </w:p>
        </w:tc>
        <w:tc>
          <w:tcPr>
            <w:tcW w:w="1117"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1.1</w:t>
            </w:r>
          </w:p>
        </w:tc>
        <w:tc>
          <w:tcPr>
            <w:tcW w:w="925"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913"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0.9</w:t>
            </w:r>
          </w:p>
        </w:tc>
        <w:tc>
          <w:tcPr>
            <w:tcW w:w="794"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1.3</w:t>
            </w:r>
          </w:p>
        </w:tc>
        <w:tc>
          <w:tcPr>
            <w:tcW w:w="1038" w:type="dxa"/>
            <w:noWrap/>
            <w:hideMark/>
          </w:tcPr>
          <w:p w:rsidR="00756B53" w:rsidRPr="00E83DA2" w:rsidRDefault="00756B53" w:rsidP="008D2E39">
            <w:pPr>
              <w:jc w:val="center"/>
              <w:cnfStyle w:val="000000100000"/>
              <w:rPr>
                <w:rFonts w:ascii="Gill Sans MT" w:eastAsia="Times New Roman" w:hAnsi="Gill Sans MT" w:cs="Arial"/>
                <w:color w:val="000000"/>
                <w:sz w:val="16"/>
                <w:szCs w:val="16"/>
                <w:lang w:eastAsia="en-AU"/>
              </w:rPr>
            </w:pPr>
            <w:r w:rsidRPr="00E83DA2">
              <w:rPr>
                <w:rFonts w:ascii="Gill Sans MT" w:eastAsia="Times New Roman" w:hAnsi="Gill Sans MT" w:cs="Arial"/>
                <w:color w:val="000000"/>
                <w:sz w:val="16"/>
                <w:szCs w:val="16"/>
                <w:lang w:eastAsia="en-AU"/>
              </w:rPr>
              <w:t>1.0</w:t>
            </w:r>
          </w:p>
        </w:tc>
      </w:tr>
    </w:tbl>
    <w:p w:rsidR="00756B53" w:rsidRPr="00F62AB9" w:rsidRDefault="00756B53" w:rsidP="00756B53">
      <w:pPr>
        <w:rPr>
          <w:rFonts w:ascii="Gill Sans MT" w:hAnsi="Gill Sans MT"/>
          <w:b/>
        </w:rPr>
      </w:pPr>
      <w:proofErr w:type="gramStart"/>
      <w:r w:rsidRPr="00F62AB9">
        <w:rPr>
          <w:rFonts w:ascii="Gill Sans MT" w:hAnsi="Gill Sans MT"/>
          <w:b/>
          <w:i/>
        </w:rPr>
        <w:t xml:space="preserve">Table </w:t>
      </w:r>
      <w:r w:rsidR="00666BF3">
        <w:rPr>
          <w:rFonts w:ascii="Gill Sans MT" w:hAnsi="Gill Sans MT"/>
          <w:b/>
          <w:i/>
        </w:rPr>
        <w:t>48</w:t>
      </w:r>
      <w:r w:rsidRPr="00F62AB9">
        <w:rPr>
          <w:rFonts w:ascii="Gill Sans MT" w:hAnsi="Gill Sans MT"/>
          <w:b/>
          <w:i/>
        </w:rPr>
        <w:t>.</w:t>
      </w:r>
      <w:proofErr w:type="gramEnd"/>
      <w:r w:rsidRPr="00F62AB9">
        <w:rPr>
          <w:rFonts w:ascii="Gill Sans MT" w:hAnsi="Gill Sans MT"/>
          <w:b/>
        </w:rPr>
        <w:t xml:space="preserve"> </w:t>
      </w:r>
      <w:proofErr w:type="gramStart"/>
      <w:r w:rsidRPr="00F62AB9">
        <w:rPr>
          <w:rFonts w:ascii="Gill Sans MT" w:hAnsi="Gill Sans MT"/>
          <w:b/>
        </w:rPr>
        <w:t>Percentage average weekly household income of Northern LGA residents in 2011 (ABS Census of Population and Housing 2011).</w:t>
      </w:r>
      <w:proofErr w:type="gramEnd"/>
      <w:r w:rsidRPr="00F62AB9">
        <w:rPr>
          <w:rFonts w:ascii="Gill Sans MT" w:hAnsi="Gill Sans MT"/>
          <w:b/>
        </w:rPr>
        <w:t xml:space="preserve"> Does not include households where at least one member did not state an income.</w:t>
      </w:r>
    </w:p>
    <w:p w:rsidR="00756B53" w:rsidRPr="00E83DA2" w:rsidRDefault="00756B53" w:rsidP="00756B53">
      <w:pPr>
        <w:rPr>
          <w:rFonts w:ascii="Gill Sans MT" w:hAnsi="Gill Sans MT"/>
          <w:b/>
        </w:rPr>
      </w:pPr>
      <w:r w:rsidRPr="00E83DA2">
        <w:rPr>
          <w:rFonts w:ascii="Gill Sans MT" w:hAnsi="Gill Sans MT"/>
          <w:b/>
        </w:rPr>
        <w:t>Main sources of income</w:t>
      </w:r>
    </w:p>
    <w:p w:rsidR="00756B53" w:rsidRPr="00F62AB9" w:rsidRDefault="00756B53" w:rsidP="00F62AB9">
      <w:pPr>
        <w:rPr>
          <w:rFonts w:ascii="Gill Sans MT" w:hAnsi="Gill Sans MT"/>
        </w:rPr>
      </w:pPr>
      <w:r w:rsidRPr="00E83DA2">
        <w:rPr>
          <w:rFonts w:ascii="Gill Sans MT" w:hAnsi="Gill Sans MT"/>
          <w:sz w:val="20"/>
          <w:szCs w:val="20"/>
        </w:rPr>
        <w:t xml:space="preserve">For 2009-10, </w:t>
      </w:r>
      <w:r w:rsidRPr="00F62AB9">
        <w:rPr>
          <w:rFonts w:ascii="Gill Sans MT" w:hAnsi="Gill Sans MT"/>
        </w:rPr>
        <w:t>over half of all household incomes in Tasmania were from wages and salaries; another third were from government pensions and allowances (Figure 1). The figures also represents an improvement on 2003-04 figures which suggested a higher percentage of income was sourced from government pensions and allowances (36%), with a small improvement in earned wages and salaries (52%); other income sources have also since increased by 50% (ABS Household Expenditure Survey, Tasmania, 2003-04).</w:t>
      </w:r>
    </w:p>
    <w:p w:rsidR="00756B53" w:rsidRPr="00E83DA2" w:rsidRDefault="00756B53" w:rsidP="00756B53">
      <w:pPr>
        <w:rPr>
          <w:rFonts w:ascii="Gill Sans MT" w:hAnsi="Gill Sans MT"/>
          <w:b/>
          <w:sz w:val="20"/>
          <w:szCs w:val="20"/>
        </w:rPr>
      </w:pPr>
      <w:r w:rsidRPr="00E83DA2">
        <w:rPr>
          <w:rFonts w:ascii="Gill Sans MT" w:hAnsi="Gill Sans MT"/>
          <w:b/>
          <w:noProof/>
          <w:sz w:val="20"/>
          <w:szCs w:val="20"/>
          <w:lang w:eastAsia="en-AU"/>
        </w:rPr>
        <w:lastRenderedPageBreak/>
        <w:drawing>
          <wp:inline distT="0" distB="0" distL="0" distR="0">
            <wp:extent cx="5524500" cy="3514725"/>
            <wp:effectExtent l="19050" t="0" r="19050" b="0"/>
            <wp:docPr id="10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56B53" w:rsidRPr="00E83DA2" w:rsidRDefault="00756B53" w:rsidP="00F62AB9">
      <w:pPr>
        <w:spacing w:after="0" w:line="240" w:lineRule="auto"/>
        <w:rPr>
          <w:rFonts w:ascii="Gill Sans MT" w:hAnsi="Gill Sans MT"/>
          <w:i/>
          <w:sz w:val="20"/>
          <w:szCs w:val="20"/>
        </w:rPr>
      </w:pPr>
      <w:r w:rsidRPr="00E83DA2">
        <w:rPr>
          <w:rFonts w:ascii="Gill Sans MT" w:hAnsi="Gill Sans MT"/>
          <w:i/>
          <w:sz w:val="20"/>
          <w:szCs w:val="20"/>
        </w:rPr>
        <w:t xml:space="preserve">*Includes age pensions, disability/carer, unemployment, </w:t>
      </w:r>
      <w:proofErr w:type="gramStart"/>
      <w:r w:rsidRPr="00E83DA2">
        <w:rPr>
          <w:rFonts w:ascii="Gill Sans MT" w:hAnsi="Gill Sans MT"/>
          <w:i/>
          <w:sz w:val="20"/>
          <w:szCs w:val="20"/>
        </w:rPr>
        <w:t>study</w:t>
      </w:r>
      <w:proofErr w:type="gramEnd"/>
      <w:r w:rsidRPr="00E83DA2">
        <w:rPr>
          <w:rFonts w:ascii="Gill Sans MT" w:hAnsi="Gill Sans MT"/>
          <w:i/>
          <w:sz w:val="20"/>
          <w:szCs w:val="20"/>
        </w:rPr>
        <w:t xml:space="preserve"> and family payments.</w:t>
      </w:r>
    </w:p>
    <w:p w:rsidR="00756B53" w:rsidRPr="00E83DA2" w:rsidRDefault="00756B53" w:rsidP="00F62AB9">
      <w:pPr>
        <w:spacing w:after="0" w:line="240" w:lineRule="auto"/>
        <w:rPr>
          <w:rFonts w:ascii="Gill Sans MT" w:hAnsi="Gill Sans MT"/>
          <w:i/>
          <w:sz w:val="20"/>
          <w:szCs w:val="20"/>
        </w:rPr>
      </w:pPr>
      <w:r w:rsidRPr="00E83DA2">
        <w:rPr>
          <w:rFonts w:ascii="Gill Sans MT" w:hAnsi="Gill Sans MT"/>
          <w:i/>
          <w:sz w:val="20"/>
          <w:szCs w:val="20"/>
        </w:rPr>
        <w:t>#</w:t>
      </w:r>
      <w:proofErr w:type="gramStart"/>
      <w:r w:rsidRPr="00E83DA2">
        <w:rPr>
          <w:rFonts w:ascii="Gill Sans MT" w:hAnsi="Gill Sans MT"/>
          <w:i/>
          <w:sz w:val="20"/>
          <w:szCs w:val="20"/>
        </w:rPr>
        <w:t>Includes</w:t>
      </w:r>
      <w:proofErr w:type="gramEnd"/>
      <w:r w:rsidRPr="00E83DA2">
        <w:rPr>
          <w:rFonts w:ascii="Gill Sans MT" w:hAnsi="Gill Sans MT"/>
          <w:i/>
          <w:sz w:val="20"/>
          <w:szCs w:val="20"/>
        </w:rPr>
        <w:t xml:space="preserve"> investment and superannuation/annuity incomes.</w:t>
      </w:r>
    </w:p>
    <w:p w:rsidR="00756B53" w:rsidRPr="00E83DA2" w:rsidRDefault="00756B53" w:rsidP="00756B53">
      <w:pPr>
        <w:rPr>
          <w:rFonts w:ascii="Gill Sans MT" w:hAnsi="Gill Sans MT"/>
          <w:b/>
          <w:sz w:val="20"/>
          <w:szCs w:val="20"/>
        </w:rPr>
      </w:pPr>
    </w:p>
    <w:p w:rsidR="00756B53" w:rsidRPr="00E83DA2" w:rsidRDefault="00756B53" w:rsidP="00756B53">
      <w:pPr>
        <w:rPr>
          <w:rFonts w:ascii="Gill Sans MT" w:hAnsi="Gill Sans MT"/>
          <w:b/>
        </w:rPr>
      </w:pPr>
      <w:r w:rsidRPr="00E83DA2">
        <w:rPr>
          <w:rFonts w:ascii="Gill Sans MT" w:hAnsi="Gill Sans MT"/>
          <w:b/>
        </w:rPr>
        <w:t>Labour force</w:t>
      </w:r>
    </w:p>
    <w:p w:rsidR="00756B53" w:rsidRPr="00E83DA2" w:rsidRDefault="00756B53" w:rsidP="00756B53">
      <w:pPr>
        <w:rPr>
          <w:rFonts w:ascii="Gill Sans MT" w:hAnsi="Gill Sans MT"/>
        </w:rPr>
        <w:sectPr w:rsidR="00756B53" w:rsidRPr="00E83DA2" w:rsidSect="00103702">
          <w:pgSz w:w="11906" w:h="16838"/>
          <w:pgMar w:top="1440" w:right="1797" w:bottom="709" w:left="1797" w:header="709" w:footer="544" w:gutter="0"/>
          <w:cols w:space="708"/>
          <w:docGrid w:linePitch="360"/>
        </w:sectPr>
      </w:pPr>
      <w:r w:rsidRPr="00E83DA2">
        <w:rPr>
          <w:rFonts w:ascii="Gill Sans MT" w:hAnsi="Gill Sans MT"/>
        </w:rPr>
        <w:t xml:space="preserve">In the Northern Region in 2011, there were approximately 59,700 people employed in the labour force. The top three employment sectors in the Region were healthcare services (11.9%), retail (11.6%) and manufacturing (10.1%). The strength of industry and the highest employing sectors varies between municipalities, demonstrating the significant variation in economic strengths within the Region (see </w:t>
      </w:r>
      <w:r w:rsidRPr="00E83DA2">
        <w:rPr>
          <w:rFonts w:ascii="Gill Sans MT" w:hAnsi="Gill Sans MT"/>
          <w:i/>
        </w:rPr>
        <w:t>figure 5</w:t>
      </w:r>
      <w:r w:rsidRPr="00E83DA2">
        <w:rPr>
          <w:rFonts w:ascii="Gill Sans MT" w:hAnsi="Gill Sans MT"/>
        </w:rPr>
        <w:t>). This variability and employment diversity has helped build resilience into the Region, and is an asset to its future growth and development. The transport implications of this, however, suggest that there is the ongoing need to maintain connectivity between towns and regional centres: there is a high degree of flow across the Region between where people choose to live and where they choose to work. This, too, results in the high-dependence on private vehicle travel and the need for owning multiple vehicles.</w:t>
      </w:r>
    </w:p>
    <w:p w:rsidR="00756B53" w:rsidRPr="00E83DA2" w:rsidRDefault="008F0359" w:rsidP="00756B53">
      <w:pPr>
        <w:rPr>
          <w:rFonts w:ascii="Gill Sans MT" w:hAnsi="Gill Sans MT"/>
        </w:rPr>
      </w:pPr>
      <w:r>
        <w:rPr>
          <w:rFonts w:ascii="Gill Sans MT" w:hAnsi="Gill Sans MT"/>
          <w:noProof/>
          <w:lang w:eastAsia="en-AU"/>
        </w:rPr>
        <w:lastRenderedPageBreak/>
        <w:pict>
          <v:rect id="_x0000_s1240" style="position:absolute;margin-left:-388.95pt;margin-top:-14.65pt;width:785.45pt;height:537.65pt;z-index:251635198"/>
        </w:pict>
      </w:r>
      <w:r>
        <w:rPr>
          <w:rFonts w:ascii="Gill Sans MT" w:hAnsi="Gill Sans MT"/>
          <w:noProof/>
          <w:lang w:eastAsia="en-AU"/>
        </w:rPr>
        <w:pict>
          <v:rect id="_x0000_s1194" style="position:absolute;margin-left:-388.95pt;margin-top:-14.65pt;width:785.45pt;height:537.65pt;z-index:251668992" filled="f"/>
        </w:pict>
      </w:r>
      <w:r w:rsidR="00756B53" w:rsidRPr="00E83DA2">
        <w:rPr>
          <w:rFonts w:ascii="Gill Sans MT" w:hAnsi="Gill Sans MT"/>
          <w:noProof/>
          <w:lang w:eastAsia="en-AU"/>
        </w:rPr>
        <w:drawing>
          <wp:anchor distT="0" distB="0" distL="114300" distR="114300" simplePos="0" relativeHeight="251644416" behindDoc="0" locked="0" layoutInCell="1" allowOverlap="1">
            <wp:simplePos x="0" y="0"/>
            <wp:positionH relativeFrom="column">
              <wp:posOffset>6092825</wp:posOffset>
            </wp:positionH>
            <wp:positionV relativeFrom="paragraph">
              <wp:posOffset>74930</wp:posOffset>
            </wp:positionV>
            <wp:extent cx="2517140" cy="2837815"/>
            <wp:effectExtent l="0" t="0" r="0" b="0"/>
            <wp:wrapThrough wrapText="bothSides">
              <wp:wrapPolygon edited="0">
                <wp:start x="9318" y="580"/>
                <wp:lineTo x="9318" y="1305"/>
                <wp:lineTo x="10299" y="2900"/>
                <wp:lineTo x="10789" y="12180"/>
                <wp:lineTo x="5721" y="14355"/>
                <wp:lineTo x="3596" y="16820"/>
                <wp:lineTo x="2942" y="17255"/>
                <wp:lineTo x="654" y="19575"/>
                <wp:lineTo x="817" y="20155"/>
                <wp:lineTo x="1471" y="20155"/>
                <wp:lineTo x="3269" y="20155"/>
                <wp:lineTo x="9481" y="19430"/>
                <wp:lineTo x="11933" y="19140"/>
                <wp:lineTo x="14712" y="17835"/>
                <wp:lineTo x="14712" y="16820"/>
                <wp:lineTo x="16838" y="14645"/>
                <wp:lineTo x="16838" y="14500"/>
                <wp:lineTo x="17655" y="13920"/>
                <wp:lineTo x="16184" y="13340"/>
                <wp:lineTo x="10626" y="12180"/>
                <wp:lineTo x="10789" y="2900"/>
                <wp:lineTo x="15039" y="1740"/>
                <wp:lineTo x="15039" y="580"/>
                <wp:lineTo x="10789" y="580"/>
                <wp:lineTo x="9318" y="580"/>
              </wp:wrapPolygon>
            </wp:wrapThrough>
            <wp:docPr id="10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r w:rsidR="00756B53" w:rsidRPr="00E83DA2">
        <w:rPr>
          <w:rFonts w:ascii="Gill Sans MT" w:hAnsi="Gill Sans MT"/>
          <w:noProof/>
          <w:lang w:eastAsia="en-AU"/>
        </w:rPr>
        <w:drawing>
          <wp:anchor distT="0" distB="0" distL="114300" distR="114300" simplePos="0" relativeHeight="251639296" behindDoc="0" locked="0" layoutInCell="1" allowOverlap="1">
            <wp:simplePos x="0" y="0"/>
            <wp:positionH relativeFrom="column">
              <wp:posOffset>4608195</wp:posOffset>
            </wp:positionH>
            <wp:positionV relativeFrom="paragraph">
              <wp:posOffset>-162560</wp:posOffset>
            </wp:positionV>
            <wp:extent cx="2683510" cy="3218180"/>
            <wp:effectExtent l="0" t="0" r="0" b="0"/>
            <wp:wrapThrough wrapText="bothSides">
              <wp:wrapPolygon edited="0">
                <wp:start x="5827" y="2301"/>
                <wp:lineTo x="2607" y="3197"/>
                <wp:lineTo x="2760" y="3836"/>
                <wp:lineTo x="10734" y="4347"/>
                <wp:lineTo x="2607" y="4731"/>
                <wp:lineTo x="2607" y="8311"/>
                <wp:lineTo x="3067" y="8439"/>
                <wp:lineTo x="10734" y="8439"/>
                <wp:lineTo x="2760" y="9206"/>
                <wp:lineTo x="2760" y="9973"/>
                <wp:lineTo x="10734" y="10485"/>
                <wp:lineTo x="3220" y="10868"/>
                <wp:lineTo x="3373" y="13042"/>
                <wp:lineTo x="4907" y="14576"/>
                <wp:lineTo x="4600" y="15215"/>
                <wp:lineTo x="1073" y="18668"/>
                <wp:lineTo x="613" y="18796"/>
                <wp:lineTo x="1380" y="19946"/>
                <wp:lineTo x="8280" y="20074"/>
                <wp:lineTo x="9047" y="20074"/>
                <wp:lineTo x="9200" y="20074"/>
                <wp:lineTo x="12880" y="16622"/>
                <wp:lineTo x="14874" y="14704"/>
                <wp:lineTo x="14874" y="14576"/>
                <wp:lineTo x="15640" y="14065"/>
                <wp:lineTo x="14720" y="13681"/>
                <wp:lineTo x="4907" y="12530"/>
                <wp:lineTo x="10580" y="10485"/>
                <wp:lineTo x="10580" y="8439"/>
                <wp:lineTo x="4907" y="6393"/>
                <wp:lineTo x="10734" y="4347"/>
                <wp:lineTo x="15334" y="3580"/>
                <wp:lineTo x="15794" y="2557"/>
                <wp:lineTo x="13647" y="2301"/>
                <wp:lineTo x="5827" y="2301"/>
              </wp:wrapPolygon>
            </wp:wrapThrough>
            <wp:docPr id="104"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r w:rsidR="00756B53" w:rsidRPr="00E83DA2">
        <w:rPr>
          <w:rFonts w:ascii="Gill Sans MT" w:hAnsi="Gill Sans MT"/>
          <w:noProof/>
          <w:lang w:eastAsia="en-AU"/>
        </w:rPr>
        <w:drawing>
          <wp:anchor distT="0" distB="0" distL="114300" distR="114300" simplePos="0" relativeHeight="251637248" behindDoc="0" locked="0" layoutInCell="1" allowOverlap="1">
            <wp:simplePos x="0" y="0"/>
            <wp:positionH relativeFrom="column">
              <wp:posOffset>2339340</wp:posOffset>
            </wp:positionH>
            <wp:positionV relativeFrom="paragraph">
              <wp:posOffset>-293370</wp:posOffset>
            </wp:positionV>
            <wp:extent cx="3562350" cy="3657600"/>
            <wp:effectExtent l="0" t="0" r="0" b="0"/>
            <wp:wrapNone/>
            <wp:docPr id="10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r w:rsidR="00756B53" w:rsidRPr="00E83DA2">
        <w:rPr>
          <w:rFonts w:ascii="Gill Sans MT" w:hAnsi="Gill Sans MT"/>
          <w:noProof/>
          <w:lang w:eastAsia="en-AU"/>
        </w:rPr>
        <w:drawing>
          <wp:anchor distT="0" distB="0" distL="114300" distR="114300" simplePos="0" relativeHeight="251643392" behindDoc="0" locked="0" layoutInCell="1" allowOverlap="1">
            <wp:simplePos x="0" y="0"/>
            <wp:positionH relativeFrom="column">
              <wp:posOffset>102870</wp:posOffset>
            </wp:positionH>
            <wp:positionV relativeFrom="paragraph">
              <wp:posOffset>3810</wp:posOffset>
            </wp:positionV>
            <wp:extent cx="4606925" cy="3883025"/>
            <wp:effectExtent l="19050" t="0" r="22225" b="3175"/>
            <wp:wrapThrough wrapText="bothSides">
              <wp:wrapPolygon edited="0">
                <wp:start x="-89" y="0"/>
                <wp:lineTo x="-89" y="21618"/>
                <wp:lineTo x="21704" y="21618"/>
                <wp:lineTo x="21704" y="0"/>
                <wp:lineTo x="-89" y="0"/>
              </wp:wrapPolygon>
            </wp:wrapThrough>
            <wp:docPr id="10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p>
    <w:p w:rsidR="00756B53" w:rsidRPr="00E83DA2" w:rsidRDefault="00756B53" w:rsidP="00756B53">
      <w:pPr>
        <w:rPr>
          <w:rFonts w:ascii="Gill Sans MT" w:hAnsi="Gill Sans MT"/>
        </w:rPr>
      </w:pPr>
    </w:p>
    <w:p w:rsidR="00756B53" w:rsidRPr="00E83DA2" w:rsidRDefault="00756B53" w:rsidP="00756B53">
      <w:pPr>
        <w:rPr>
          <w:rFonts w:ascii="Gill Sans MT" w:hAnsi="Gill Sans MT"/>
        </w:rPr>
      </w:pPr>
    </w:p>
    <w:p w:rsidR="00756B53" w:rsidRPr="00E83DA2" w:rsidRDefault="00756B53" w:rsidP="00756B53">
      <w:pPr>
        <w:rPr>
          <w:rFonts w:ascii="Gill Sans MT" w:hAnsi="Gill Sans MT"/>
        </w:rPr>
      </w:pPr>
    </w:p>
    <w:p w:rsidR="00756B53" w:rsidRPr="00E83DA2" w:rsidRDefault="00756B53" w:rsidP="00756B53">
      <w:pPr>
        <w:rPr>
          <w:rFonts w:ascii="Gill Sans MT" w:hAnsi="Gill Sans MT"/>
        </w:rPr>
      </w:pPr>
    </w:p>
    <w:p w:rsidR="00756B53" w:rsidRPr="00E83DA2" w:rsidRDefault="008F0359" w:rsidP="00756B53">
      <w:pPr>
        <w:rPr>
          <w:rFonts w:ascii="Gill Sans MT" w:hAnsi="Gill Sans MT"/>
        </w:rPr>
        <w:sectPr w:rsidR="00756B53" w:rsidRPr="00E83DA2" w:rsidSect="00103702">
          <w:pgSz w:w="16838" w:h="11906" w:orient="landscape"/>
          <w:pgMar w:top="851" w:right="1440" w:bottom="993" w:left="709" w:header="709" w:footer="544" w:gutter="0"/>
          <w:cols w:space="708"/>
          <w:docGrid w:linePitch="360"/>
        </w:sectPr>
      </w:pPr>
      <w:r>
        <w:rPr>
          <w:rFonts w:ascii="Gill Sans MT" w:hAnsi="Gill Sans MT"/>
          <w:noProof/>
          <w:lang w:eastAsia="en-AU"/>
        </w:rPr>
        <w:pict>
          <v:rect id="_x0000_s1239" style="position:absolute;margin-left:-486.8pt;margin-top:324.25pt;width:554.2pt;height:78.2pt;z-index:251634173" stroked="f"/>
        </w:pict>
      </w:r>
      <w:r w:rsidRPr="008F0359">
        <w:rPr>
          <w:rFonts w:ascii="Gill Sans MT" w:hAnsi="Gill Sans MT"/>
          <w:noProof/>
          <w:lang w:val="en-US" w:eastAsia="zh-TW"/>
        </w:rPr>
        <w:pict>
          <v:shape id="_x0000_s1191" type="#_x0000_t202" style="position:absolute;margin-left:-92pt;margin-top:158.85pt;width:234.6pt;height:22.8pt;z-index:251665920;mso-width-relative:margin;mso-height-relative:margin" filled="f" stroked="f">
            <v:textbox style="mso-next-textbox:#_x0000_s1191">
              <w:txbxContent>
                <w:p w:rsidR="00A50F40" w:rsidRPr="009B67E8" w:rsidRDefault="00A50F40" w:rsidP="00756B53">
                  <w:pPr>
                    <w:rPr>
                      <w:sz w:val="16"/>
                      <w:szCs w:val="16"/>
                    </w:rPr>
                  </w:pPr>
                  <w:r w:rsidRPr="009B67E8">
                    <w:rPr>
                      <w:sz w:val="16"/>
                      <w:szCs w:val="16"/>
                    </w:rPr>
                    <w:t>ABS 2011 Census of Population and Housing</w:t>
                  </w:r>
                </w:p>
              </w:txbxContent>
            </v:textbox>
          </v:shape>
        </w:pict>
      </w:r>
      <w:r w:rsidRPr="008F0359">
        <w:rPr>
          <w:rFonts w:ascii="Gill Sans MT" w:hAnsi="Gill Sans MT"/>
          <w:noProof/>
          <w:lang w:val="en-US" w:eastAsia="zh-TW"/>
        </w:rPr>
        <w:pict>
          <v:shape id="_x0000_s1193" type="#_x0000_t202" style="position:absolute;margin-left:-151.75pt;margin-top:181.65pt;width:145pt;height:29.95pt;z-index:251667968;mso-width-relative:margin;mso-height-relative:margin" filled="f" stroked="f">
            <v:textbox style="mso-next-textbox:#_x0000_s1193">
              <w:txbxContent>
                <w:p w:rsidR="00A50F40" w:rsidRPr="00782EFE" w:rsidRDefault="00A50F40" w:rsidP="00756B53">
                  <w:pPr>
                    <w:rPr>
                      <w:b/>
                      <w:sz w:val="36"/>
                      <w:szCs w:val="36"/>
                    </w:rPr>
                  </w:pPr>
                  <w:r w:rsidRPr="00782EFE">
                    <w:rPr>
                      <w:b/>
                      <w:sz w:val="36"/>
                      <w:szCs w:val="36"/>
                    </w:rPr>
                    <w:t>Meander Valley</w:t>
                  </w:r>
                </w:p>
              </w:txbxContent>
            </v:textbox>
          </v:shape>
        </w:pict>
      </w:r>
      <w:r w:rsidRPr="008F0359">
        <w:rPr>
          <w:rFonts w:ascii="Gill Sans MT" w:hAnsi="Gill Sans MT"/>
          <w:noProof/>
          <w:lang w:val="en-US" w:eastAsia="zh-TW"/>
        </w:rPr>
        <w:pict>
          <v:shape id="_x0000_s1192" type="#_x0000_t202" style="position:absolute;margin-left:-287pt;margin-top:182.6pt;width:110.35pt;height:29pt;z-index:251666944;mso-width-relative:margin;mso-height-relative:margin" filled="f" stroked="f">
            <v:textbox>
              <w:txbxContent>
                <w:p w:rsidR="00A50F40" w:rsidRPr="00782EFE" w:rsidRDefault="00A50F40" w:rsidP="00756B53">
                  <w:pPr>
                    <w:jc w:val="center"/>
                    <w:rPr>
                      <w:b/>
                      <w:sz w:val="36"/>
                      <w:szCs w:val="36"/>
                    </w:rPr>
                  </w:pPr>
                  <w:r w:rsidRPr="00782EFE">
                    <w:rPr>
                      <w:b/>
                      <w:sz w:val="36"/>
                      <w:szCs w:val="36"/>
                    </w:rPr>
                    <w:t>Launceston</w:t>
                  </w:r>
                </w:p>
              </w:txbxContent>
            </v:textbox>
          </v:shape>
        </w:pict>
      </w:r>
      <w:r w:rsidR="00756B53" w:rsidRPr="00E83DA2">
        <w:rPr>
          <w:rFonts w:ascii="Gill Sans MT" w:hAnsi="Gill Sans MT"/>
          <w:noProof/>
          <w:lang w:eastAsia="en-AU"/>
        </w:rPr>
        <w:drawing>
          <wp:anchor distT="0" distB="0" distL="114300" distR="114300" simplePos="0" relativeHeight="251645440" behindDoc="0" locked="0" layoutInCell="1" allowOverlap="1">
            <wp:simplePos x="0" y="0"/>
            <wp:positionH relativeFrom="column">
              <wp:posOffset>1267460</wp:posOffset>
            </wp:positionH>
            <wp:positionV relativeFrom="paragraph">
              <wp:posOffset>2152650</wp:posOffset>
            </wp:positionV>
            <wp:extent cx="2731135" cy="2790190"/>
            <wp:effectExtent l="0" t="0" r="0" b="0"/>
            <wp:wrapThrough wrapText="bothSides">
              <wp:wrapPolygon edited="0">
                <wp:start x="7232" y="1917"/>
                <wp:lineTo x="7232" y="2655"/>
                <wp:lineTo x="9642" y="4277"/>
                <wp:lineTo x="10697" y="4277"/>
                <wp:lineTo x="10697" y="13715"/>
                <wp:lineTo x="5575" y="15485"/>
                <wp:lineTo x="5575" y="16075"/>
                <wp:lineTo x="2863" y="18434"/>
                <wp:lineTo x="1657" y="19761"/>
                <wp:lineTo x="1959" y="20204"/>
                <wp:lineTo x="2561" y="20204"/>
                <wp:lineTo x="9040" y="20204"/>
                <wp:lineTo x="15217" y="19319"/>
                <wp:lineTo x="15217" y="18434"/>
                <wp:lineTo x="17326" y="16222"/>
                <wp:lineTo x="17326" y="16075"/>
                <wp:lineTo x="18080" y="15485"/>
                <wp:lineTo x="16422" y="14895"/>
                <wp:lineTo x="10546" y="13715"/>
                <wp:lineTo x="10697" y="4277"/>
                <wp:lineTo x="16272" y="3097"/>
                <wp:lineTo x="16422" y="2065"/>
                <wp:lineTo x="12806" y="1917"/>
                <wp:lineTo x="7232" y="1917"/>
              </wp:wrapPolygon>
            </wp:wrapThrough>
            <wp:docPr id="10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r w:rsidR="00756B53" w:rsidRPr="00E83DA2">
        <w:rPr>
          <w:rFonts w:ascii="Gill Sans MT" w:hAnsi="Gill Sans MT"/>
          <w:noProof/>
          <w:lang w:eastAsia="en-AU"/>
        </w:rPr>
        <w:drawing>
          <wp:anchor distT="0" distB="0" distL="114300" distR="114300" simplePos="0" relativeHeight="251709952" behindDoc="0" locked="0" layoutInCell="1" allowOverlap="1">
            <wp:simplePos x="0" y="0"/>
            <wp:positionH relativeFrom="column">
              <wp:posOffset>-680085</wp:posOffset>
            </wp:positionH>
            <wp:positionV relativeFrom="paragraph">
              <wp:posOffset>2021840</wp:posOffset>
            </wp:positionV>
            <wp:extent cx="3051810" cy="3087370"/>
            <wp:effectExtent l="0" t="0" r="0" b="0"/>
            <wp:wrapThrough wrapText="bothSides">
              <wp:wrapPolygon edited="0">
                <wp:start x="12404" y="2532"/>
                <wp:lineTo x="4584" y="2532"/>
                <wp:lineTo x="4584" y="3732"/>
                <wp:lineTo x="10787" y="4665"/>
                <wp:lineTo x="10787" y="13195"/>
                <wp:lineTo x="7281" y="14394"/>
                <wp:lineTo x="5393" y="15194"/>
                <wp:lineTo x="1213" y="19459"/>
                <wp:lineTo x="944" y="19992"/>
                <wp:lineTo x="1079" y="20392"/>
                <wp:lineTo x="1618" y="20392"/>
                <wp:lineTo x="1753" y="20392"/>
                <wp:lineTo x="2292" y="19725"/>
                <wp:lineTo x="8225" y="19592"/>
                <wp:lineTo x="13753" y="18526"/>
                <wp:lineTo x="13753" y="17459"/>
                <wp:lineTo x="15640" y="15460"/>
                <wp:lineTo x="15910" y="15060"/>
                <wp:lineTo x="10652" y="13195"/>
                <wp:lineTo x="10787" y="4665"/>
                <wp:lineTo x="17393" y="3599"/>
                <wp:lineTo x="17528" y="2532"/>
                <wp:lineTo x="13213" y="2532"/>
                <wp:lineTo x="12404" y="2532"/>
              </wp:wrapPolygon>
            </wp:wrapThrough>
            <wp:docPr id="10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r w:rsidR="00756B53" w:rsidRPr="00E83DA2">
        <w:rPr>
          <w:rFonts w:ascii="Gill Sans MT" w:hAnsi="Gill Sans MT"/>
          <w:noProof/>
          <w:lang w:eastAsia="en-AU"/>
        </w:rPr>
        <w:drawing>
          <wp:anchor distT="0" distB="0" distL="114300" distR="114300" simplePos="0" relativeHeight="251710976" behindDoc="0" locked="0" layoutInCell="1" allowOverlap="1">
            <wp:simplePos x="0" y="0"/>
            <wp:positionH relativeFrom="column">
              <wp:posOffset>-2390140</wp:posOffset>
            </wp:positionH>
            <wp:positionV relativeFrom="paragraph">
              <wp:posOffset>2152650</wp:posOffset>
            </wp:positionV>
            <wp:extent cx="2256155" cy="2671445"/>
            <wp:effectExtent l="0" t="0" r="0" b="0"/>
            <wp:wrapThrough wrapText="bothSides">
              <wp:wrapPolygon edited="0">
                <wp:start x="12584" y="15865"/>
                <wp:lineTo x="5836" y="16019"/>
                <wp:lineTo x="2736" y="16789"/>
                <wp:lineTo x="2736" y="18329"/>
                <wp:lineTo x="1459" y="19408"/>
                <wp:lineTo x="2189" y="20024"/>
                <wp:lineTo x="13679" y="20332"/>
                <wp:lineTo x="14590" y="20332"/>
                <wp:lineTo x="14773" y="20332"/>
                <wp:lineTo x="16597" y="18483"/>
                <wp:lineTo x="16597" y="18329"/>
                <wp:lineTo x="18968" y="17405"/>
                <wp:lineTo x="18968" y="16173"/>
                <wp:lineTo x="16414" y="15865"/>
                <wp:lineTo x="12584" y="15865"/>
              </wp:wrapPolygon>
            </wp:wrapThrough>
            <wp:docPr id="10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r w:rsidR="00756B53" w:rsidRPr="00E83DA2">
        <w:rPr>
          <w:rFonts w:ascii="Gill Sans MT" w:hAnsi="Gill Sans MT"/>
          <w:noProof/>
          <w:lang w:eastAsia="en-AU"/>
        </w:rPr>
        <w:drawing>
          <wp:anchor distT="0" distB="0" distL="114300" distR="114300" simplePos="0" relativeHeight="251708928" behindDoc="0" locked="0" layoutInCell="1" allowOverlap="1">
            <wp:simplePos x="0" y="0"/>
            <wp:positionH relativeFrom="column">
              <wp:posOffset>-4337685</wp:posOffset>
            </wp:positionH>
            <wp:positionV relativeFrom="paragraph">
              <wp:posOffset>2152650</wp:posOffset>
            </wp:positionV>
            <wp:extent cx="2256155" cy="2790190"/>
            <wp:effectExtent l="0" t="0" r="0" b="0"/>
            <wp:wrapThrough wrapText="bothSides">
              <wp:wrapPolygon edited="0">
                <wp:start x="6748" y="15337"/>
                <wp:lineTo x="4195" y="17697"/>
                <wp:lineTo x="3100" y="18287"/>
                <wp:lineTo x="1641" y="19614"/>
                <wp:lineTo x="1824" y="20204"/>
                <wp:lineTo x="2736" y="20204"/>
                <wp:lineTo x="14590" y="20204"/>
                <wp:lineTo x="14590" y="20056"/>
                <wp:lineTo x="17326" y="17844"/>
                <wp:lineTo x="17326" y="17697"/>
                <wp:lineTo x="17509" y="17697"/>
                <wp:lineTo x="20244" y="15485"/>
                <wp:lineTo x="20244" y="15337"/>
                <wp:lineTo x="6748" y="15337"/>
              </wp:wrapPolygon>
            </wp:wrapThrough>
            <wp:docPr id="1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r w:rsidR="00756B53" w:rsidRPr="00E83DA2">
        <w:rPr>
          <w:rFonts w:ascii="Gill Sans MT" w:hAnsi="Gill Sans MT"/>
          <w:noProof/>
          <w:lang w:eastAsia="en-AU"/>
        </w:rPr>
        <w:drawing>
          <wp:anchor distT="0" distB="0" distL="114300" distR="114300" simplePos="0" relativeHeight="251707904" behindDoc="0" locked="0" layoutInCell="1" allowOverlap="1">
            <wp:simplePos x="0" y="0"/>
            <wp:positionH relativeFrom="column">
              <wp:posOffset>-5892800</wp:posOffset>
            </wp:positionH>
            <wp:positionV relativeFrom="paragraph">
              <wp:posOffset>2271395</wp:posOffset>
            </wp:positionV>
            <wp:extent cx="2600325" cy="2671445"/>
            <wp:effectExtent l="0" t="0" r="0" b="0"/>
            <wp:wrapThrough wrapText="bothSides">
              <wp:wrapPolygon edited="0">
                <wp:start x="5222" y="1232"/>
                <wp:lineTo x="1108" y="2310"/>
                <wp:lineTo x="1266" y="3081"/>
                <wp:lineTo x="10760" y="3697"/>
                <wp:lineTo x="1108" y="4159"/>
                <wp:lineTo x="1108" y="8472"/>
                <wp:lineTo x="1582" y="8626"/>
                <wp:lineTo x="10760" y="8626"/>
                <wp:lineTo x="1266" y="9550"/>
                <wp:lineTo x="1266" y="10474"/>
                <wp:lineTo x="10760" y="11090"/>
                <wp:lineTo x="1741" y="11552"/>
                <wp:lineTo x="1741" y="13863"/>
                <wp:lineTo x="3640" y="16019"/>
                <wp:lineTo x="3323" y="16635"/>
                <wp:lineTo x="633" y="19562"/>
                <wp:lineTo x="949" y="20024"/>
                <wp:lineTo x="1741" y="20024"/>
                <wp:lineTo x="8229" y="20024"/>
                <wp:lineTo x="12659" y="19408"/>
                <wp:lineTo x="12659" y="18483"/>
                <wp:lineTo x="14875" y="16173"/>
                <wp:lineTo x="14875" y="16019"/>
                <wp:lineTo x="15824" y="15095"/>
                <wp:lineTo x="3481" y="13555"/>
                <wp:lineTo x="10602" y="11090"/>
                <wp:lineTo x="10602" y="8626"/>
                <wp:lineTo x="3481" y="6161"/>
                <wp:lineTo x="10760" y="3697"/>
                <wp:lineTo x="15349" y="2464"/>
                <wp:lineTo x="15508" y="1386"/>
                <wp:lineTo x="12343" y="1232"/>
                <wp:lineTo x="5222" y="1232"/>
              </wp:wrapPolygon>
            </wp:wrapThrough>
            <wp:docPr id="111"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rsidR="00756B53" w:rsidRPr="00E83DA2" w:rsidRDefault="00756B53" w:rsidP="00756B53">
      <w:pPr>
        <w:rPr>
          <w:rFonts w:ascii="Gill Sans MT" w:hAnsi="Gill Sans MT"/>
          <w:b/>
        </w:rPr>
      </w:pPr>
      <w:r w:rsidRPr="00E83DA2">
        <w:rPr>
          <w:rFonts w:ascii="Gill Sans MT" w:hAnsi="Gill Sans MT"/>
          <w:b/>
        </w:rPr>
        <w:lastRenderedPageBreak/>
        <w:t>Car ownership – limited access to vehicles</w:t>
      </w:r>
    </w:p>
    <w:p w:rsidR="00756B53" w:rsidRPr="00E83DA2" w:rsidRDefault="00756B53" w:rsidP="00756B53">
      <w:pPr>
        <w:rPr>
          <w:rFonts w:ascii="Gill Sans MT" w:hAnsi="Gill Sans MT"/>
        </w:rPr>
      </w:pPr>
      <w:r w:rsidRPr="00E83DA2">
        <w:rPr>
          <w:rFonts w:ascii="Gill Sans MT" w:hAnsi="Gill Sans MT"/>
        </w:rPr>
        <w:t xml:space="preserve">Car ownership in Northern Tasmania is relatively consistent with respect to overall state and national figures. Of particular note is the high proportion of households which own three or more motor vehicles: Launceston is the only LGA where this percentage is less than the national average, with Dorset, Meander Valley, Northern Midlands and West Tamar demonstrating numbers nearly 50% higher than the national average. </w:t>
      </w:r>
    </w:p>
    <w:p w:rsidR="00756B53" w:rsidRPr="00E83DA2" w:rsidRDefault="00756B53" w:rsidP="00756B53">
      <w:pPr>
        <w:ind w:left="-284"/>
        <w:rPr>
          <w:rFonts w:ascii="Gill Sans MT" w:hAnsi="Gill Sans MT"/>
        </w:rPr>
      </w:pPr>
      <w:r w:rsidRPr="00E83DA2">
        <w:rPr>
          <w:rFonts w:ascii="Gill Sans MT" w:hAnsi="Gill Sans MT"/>
          <w:noProof/>
          <w:lang w:eastAsia="en-AU"/>
        </w:rPr>
        <w:drawing>
          <wp:inline distT="0" distB="0" distL="0" distR="0">
            <wp:extent cx="5486400" cy="3200400"/>
            <wp:effectExtent l="19050" t="0" r="19050" b="0"/>
            <wp:docPr id="1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62AB9" w:rsidRPr="00F62AB9" w:rsidRDefault="00666BF3" w:rsidP="00F62AB9">
      <w:pPr>
        <w:pStyle w:val="Heading3"/>
        <w:rPr>
          <w:i/>
          <w:color w:val="auto"/>
        </w:rPr>
      </w:pPr>
      <w:proofErr w:type="gramStart"/>
      <w:r>
        <w:rPr>
          <w:i/>
          <w:color w:val="auto"/>
        </w:rPr>
        <w:t>Figure 51</w:t>
      </w:r>
      <w:r w:rsidR="00F62AB9" w:rsidRPr="00F62AB9">
        <w:rPr>
          <w:i/>
          <w:color w:val="auto"/>
        </w:rPr>
        <w:t>.</w:t>
      </w:r>
      <w:proofErr w:type="gramEnd"/>
      <w:r w:rsidR="00F62AB9" w:rsidRPr="00F62AB9">
        <w:rPr>
          <w:color w:val="auto"/>
        </w:rPr>
        <w:t xml:space="preserve"> </w:t>
      </w:r>
      <w:proofErr w:type="gramStart"/>
      <w:r w:rsidR="00F62AB9" w:rsidRPr="00F62AB9">
        <w:rPr>
          <w:color w:val="auto"/>
        </w:rPr>
        <w:t xml:space="preserve">Car ownership of </w:t>
      </w:r>
      <w:r w:rsidR="00F62AB9">
        <w:rPr>
          <w:color w:val="auto"/>
        </w:rPr>
        <w:t>households</w:t>
      </w:r>
      <w:r w:rsidR="00F62AB9" w:rsidRPr="00F62AB9">
        <w:rPr>
          <w:color w:val="auto"/>
        </w:rPr>
        <w:t xml:space="preserve"> in Tasmania </w:t>
      </w:r>
      <w:proofErr w:type="spellStart"/>
      <w:r w:rsidR="00F62AB9" w:rsidRPr="00F62AB9">
        <w:rPr>
          <w:color w:val="auto"/>
        </w:rPr>
        <w:t>vs</w:t>
      </w:r>
      <w:proofErr w:type="spellEnd"/>
      <w:r w:rsidR="00F62AB9" w:rsidRPr="00F62AB9">
        <w:rPr>
          <w:color w:val="auto"/>
        </w:rPr>
        <w:t xml:space="preserve"> </w:t>
      </w:r>
      <w:r w:rsidR="00F62AB9">
        <w:rPr>
          <w:color w:val="auto"/>
        </w:rPr>
        <w:t>household</w:t>
      </w:r>
      <w:r w:rsidR="00F62AB9" w:rsidRPr="00F62AB9">
        <w:rPr>
          <w:color w:val="auto"/>
        </w:rPr>
        <w:t>s in Northern Region, 2011.</w:t>
      </w:r>
      <w:proofErr w:type="gramEnd"/>
    </w:p>
    <w:p w:rsidR="00F62AB9" w:rsidRDefault="00F62AB9" w:rsidP="00756B53">
      <w:pPr>
        <w:ind w:left="-851"/>
        <w:rPr>
          <w:rFonts w:ascii="Gill Sans MT" w:hAnsi="Gill Sans MT"/>
        </w:rPr>
      </w:pPr>
    </w:p>
    <w:p w:rsidR="00F62AB9" w:rsidRDefault="00F62AB9" w:rsidP="00756B53">
      <w:pPr>
        <w:ind w:left="-851"/>
        <w:rPr>
          <w:rFonts w:ascii="Gill Sans MT" w:hAnsi="Gill Sans MT"/>
        </w:rPr>
      </w:pPr>
    </w:p>
    <w:p w:rsidR="00F62AB9" w:rsidRDefault="00F62AB9" w:rsidP="00756B53">
      <w:pPr>
        <w:ind w:left="-851"/>
        <w:rPr>
          <w:rFonts w:ascii="Gill Sans MT" w:hAnsi="Gill Sans MT"/>
        </w:rPr>
      </w:pPr>
    </w:p>
    <w:p w:rsidR="00F62AB9" w:rsidRDefault="00F62AB9" w:rsidP="00756B53">
      <w:pPr>
        <w:ind w:left="-851"/>
        <w:rPr>
          <w:rFonts w:ascii="Gill Sans MT" w:hAnsi="Gill Sans MT"/>
        </w:rPr>
      </w:pPr>
    </w:p>
    <w:p w:rsidR="00F62AB9" w:rsidRDefault="00F62AB9" w:rsidP="00756B53">
      <w:pPr>
        <w:ind w:left="-851"/>
        <w:rPr>
          <w:rFonts w:ascii="Gill Sans MT" w:hAnsi="Gill Sans MT"/>
        </w:rPr>
      </w:pPr>
    </w:p>
    <w:p w:rsidR="00F62AB9" w:rsidRDefault="00F62AB9" w:rsidP="00756B53">
      <w:pPr>
        <w:ind w:left="-851"/>
        <w:rPr>
          <w:rFonts w:ascii="Gill Sans MT" w:hAnsi="Gill Sans MT"/>
        </w:rPr>
      </w:pPr>
    </w:p>
    <w:p w:rsidR="00DB0455" w:rsidRDefault="00756B53" w:rsidP="00F62AB9">
      <w:pPr>
        <w:ind w:left="-284"/>
        <w:rPr>
          <w:rFonts w:ascii="Gill Sans MT" w:hAnsi="Gill Sans MT"/>
          <w:b/>
        </w:rPr>
      </w:pPr>
      <w:r w:rsidRPr="00E83DA2">
        <w:rPr>
          <w:rFonts w:ascii="Gill Sans MT" w:hAnsi="Gill Sans MT"/>
          <w:noProof/>
          <w:lang w:eastAsia="en-AU"/>
        </w:rPr>
        <w:lastRenderedPageBreak/>
        <w:drawing>
          <wp:anchor distT="0" distB="0" distL="114300" distR="114300" simplePos="0" relativeHeight="251646464" behindDoc="0" locked="0" layoutInCell="1" allowOverlap="1">
            <wp:simplePos x="0" y="0"/>
            <wp:positionH relativeFrom="column">
              <wp:posOffset>-837565</wp:posOffset>
            </wp:positionH>
            <wp:positionV relativeFrom="paragraph">
              <wp:posOffset>-368300</wp:posOffset>
            </wp:positionV>
            <wp:extent cx="7019925" cy="5260340"/>
            <wp:effectExtent l="19050" t="0" r="9525" b="0"/>
            <wp:wrapThrough wrapText="bothSides">
              <wp:wrapPolygon edited="0">
                <wp:start x="-59" y="0"/>
                <wp:lineTo x="-59" y="21511"/>
                <wp:lineTo x="21629" y="21511"/>
                <wp:lineTo x="21629" y="0"/>
                <wp:lineTo x="-59" y="0"/>
              </wp:wrapPolygon>
            </wp:wrapThrough>
            <wp:docPr id="113" name="Picture 5" descr="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TIF"/>
                    <pic:cNvPicPr/>
                  </pic:nvPicPr>
                  <pic:blipFill>
                    <a:blip r:embed="rId59" cstate="print"/>
                    <a:stretch>
                      <a:fillRect/>
                    </a:stretch>
                  </pic:blipFill>
                  <pic:spPr>
                    <a:xfrm>
                      <a:off x="0" y="0"/>
                      <a:ext cx="7019925" cy="5260340"/>
                    </a:xfrm>
                    <a:prstGeom prst="rect">
                      <a:avLst/>
                    </a:prstGeom>
                  </pic:spPr>
                </pic:pic>
              </a:graphicData>
            </a:graphic>
          </wp:anchor>
        </w:drawing>
      </w:r>
      <w:proofErr w:type="gramStart"/>
      <w:r w:rsidR="00666BF3">
        <w:rPr>
          <w:rFonts w:ascii="Gill Sans MT" w:hAnsi="Gill Sans MT"/>
          <w:b/>
          <w:i/>
        </w:rPr>
        <w:t>Figure 52</w:t>
      </w:r>
      <w:r w:rsidR="00F62AB9">
        <w:rPr>
          <w:rFonts w:ascii="Gill Sans MT" w:hAnsi="Gill Sans MT"/>
          <w:b/>
          <w:i/>
        </w:rPr>
        <w:t>.</w:t>
      </w:r>
      <w:proofErr w:type="gramEnd"/>
      <w:r w:rsidR="00F62AB9">
        <w:rPr>
          <w:rFonts w:ascii="Gill Sans MT" w:hAnsi="Gill Sans MT"/>
          <w:b/>
        </w:rPr>
        <w:t xml:space="preserve"> </w:t>
      </w:r>
      <w:proofErr w:type="gramStart"/>
      <w:r w:rsidR="00F62AB9">
        <w:rPr>
          <w:rFonts w:ascii="Gill Sans MT" w:hAnsi="Gill Sans MT"/>
          <w:b/>
        </w:rPr>
        <w:t>Car ownership – 3 or more vehicles per household – for Northern Councils, 2011.</w:t>
      </w:r>
      <w:proofErr w:type="gramEnd"/>
    </w:p>
    <w:p w:rsidR="001C54BE" w:rsidRDefault="001C54BE" w:rsidP="00F62AB9">
      <w:pPr>
        <w:ind w:left="-284"/>
        <w:rPr>
          <w:rFonts w:ascii="Gill Sans MT" w:hAnsi="Gill Sans MT"/>
        </w:rPr>
      </w:pPr>
    </w:p>
    <w:p w:rsidR="001C54BE" w:rsidRDefault="001C54BE" w:rsidP="00F62AB9">
      <w:pPr>
        <w:ind w:left="-284"/>
        <w:rPr>
          <w:rFonts w:ascii="Gill Sans MT" w:hAnsi="Gill Sans MT"/>
        </w:rPr>
      </w:pPr>
    </w:p>
    <w:p w:rsidR="001C54BE" w:rsidRDefault="001C54BE" w:rsidP="00F62AB9">
      <w:pPr>
        <w:ind w:left="-284"/>
        <w:rPr>
          <w:rFonts w:ascii="Gill Sans MT" w:hAnsi="Gill Sans MT"/>
        </w:rPr>
        <w:sectPr w:rsidR="001C54BE" w:rsidSect="00103702">
          <w:headerReference w:type="first" r:id="rId60"/>
          <w:pgSz w:w="11906" w:h="16838"/>
          <w:pgMar w:top="1440" w:right="1797" w:bottom="709" w:left="1797" w:header="709" w:footer="544" w:gutter="0"/>
          <w:cols w:space="708"/>
          <w:docGrid w:linePitch="360"/>
        </w:sectPr>
      </w:pPr>
    </w:p>
    <w:p w:rsidR="001C54BE" w:rsidRPr="00F62AB9" w:rsidRDefault="008F0359" w:rsidP="00F62AB9">
      <w:pPr>
        <w:ind w:left="-284"/>
        <w:rPr>
          <w:rFonts w:ascii="Gill Sans MT" w:hAnsi="Gill Sans MT"/>
        </w:rPr>
      </w:pPr>
      <w:r w:rsidRPr="008F0359">
        <w:rPr>
          <w:rFonts w:ascii="Gill Sans MT" w:hAnsi="Gill Sans MT"/>
          <w:noProof/>
          <w:lang w:val="en-US" w:eastAsia="zh-TW"/>
        </w:rPr>
        <w:lastRenderedPageBreak/>
        <w:pict>
          <v:shape id="_x0000_s1242" type="#_x0000_t202" style="position:absolute;left:0;text-align:left;margin-left:309.4pt;margin-top:509.1pt;width:175.5pt;height:217.45pt;z-index:251714048;mso-width-relative:margin;mso-height-relative:margin" filled="f" stroked="f">
            <v:textbox>
              <w:txbxContent>
                <w:p w:rsidR="00A50F40" w:rsidRDefault="00A50F40">
                  <w:pPr>
                    <w:rPr>
                      <w:rFonts w:ascii="Gill Sans MT" w:hAnsi="Gill Sans MT"/>
                      <w:color w:val="FFFFFF" w:themeColor="background1"/>
                    </w:rPr>
                  </w:pPr>
                  <w:r w:rsidRPr="00E16854">
                    <w:rPr>
                      <w:rFonts w:ascii="Gill Sans MT" w:hAnsi="Gill Sans MT"/>
                      <w:color w:val="FFFFFF" w:themeColor="background1"/>
                    </w:rPr>
                    <w:t>Department of Infrastructure, Energy and Resources</w:t>
                  </w:r>
                </w:p>
                <w:p w:rsidR="00A50F40" w:rsidRDefault="00A50F40" w:rsidP="00E16854">
                  <w:pPr>
                    <w:spacing w:after="0"/>
                    <w:rPr>
                      <w:rFonts w:ascii="Gill Sans MT" w:hAnsi="Gill Sans MT"/>
                      <w:color w:val="FFFFFF" w:themeColor="background1"/>
                    </w:rPr>
                  </w:pPr>
                  <w:r>
                    <w:rPr>
                      <w:rFonts w:ascii="Gill Sans MT" w:hAnsi="Gill Sans MT"/>
                      <w:color w:val="FFFFFF" w:themeColor="background1"/>
                    </w:rPr>
                    <w:t>10 Murray Street</w:t>
                  </w:r>
                </w:p>
                <w:p w:rsidR="00A50F40" w:rsidRDefault="00A50F40" w:rsidP="00E16854">
                  <w:pPr>
                    <w:spacing w:after="0"/>
                    <w:rPr>
                      <w:rFonts w:ascii="Gill Sans MT" w:hAnsi="Gill Sans MT"/>
                      <w:color w:val="FFFFFF" w:themeColor="background1"/>
                    </w:rPr>
                  </w:pPr>
                  <w:r>
                    <w:rPr>
                      <w:rFonts w:ascii="Gill Sans MT" w:hAnsi="Gill Sans MT"/>
                      <w:color w:val="FFFFFF" w:themeColor="background1"/>
                    </w:rPr>
                    <w:t>Hobart</w:t>
                  </w:r>
                </w:p>
                <w:p w:rsidR="00A50F40" w:rsidRDefault="00A50F40" w:rsidP="00E16854">
                  <w:pPr>
                    <w:spacing w:after="0"/>
                    <w:rPr>
                      <w:rFonts w:ascii="Gill Sans MT" w:hAnsi="Gill Sans MT"/>
                      <w:color w:val="FFFFFF" w:themeColor="background1"/>
                    </w:rPr>
                  </w:pPr>
                  <w:r>
                    <w:rPr>
                      <w:rFonts w:ascii="Gill Sans MT" w:hAnsi="Gill Sans MT"/>
                      <w:color w:val="FFFFFF" w:themeColor="background1"/>
                    </w:rPr>
                    <w:t>GPO Box 936</w:t>
                  </w:r>
                </w:p>
                <w:p w:rsidR="00A50F40" w:rsidRDefault="00A50F40" w:rsidP="00E16854">
                  <w:pPr>
                    <w:rPr>
                      <w:rFonts w:ascii="Gill Sans MT" w:hAnsi="Gill Sans MT"/>
                      <w:color w:val="FFFFFF" w:themeColor="background1"/>
                    </w:rPr>
                  </w:pPr>
                  <w:r>
                    <w:rPr>
                      <w:rFonts w:ascii="Gill Sans MT" w:hAnsi="Gill Sans MT"/>
                      <w:color w:val="FFFFFF" w:themeColor="background1"/>
                    </w:rPr>
                    <w:t>Hobart TAS 7001</w:t>
                  </w:r>
                </w:p>
                <w:p w:rsidR="00A50F40" w:rsidRPr="00E16854" w:rsidRDefault="00A50F40" w:rsidP="00E16854">
                  <w:pPr>
                    <w:rPr>
                      <w:rFonts w:ascii="Gill Sans MT" w:hAnsi="Gill Sans MT"/>
                      <w:color w:val="FFFFFF" w:themeColor="background1"/>
                    </w:rPr>
                  </w:pPr>
                  <w:hyperlink r:id="rId61" w:history="1">
                    <w:r w:rsidRPr="00E16854">
                      <w:rPr>
                        <w:rStyle w:val="Hyperlink"/>
                        <w:rFonts w:ascii="Gill Sans MT" w:hAnsi="Gill Sans MT"/>
                        <w:color w:val="FFFFFF" w:themeColor="background1"/>
                      </w:rPr>
                      <w:t>www.dier.tas.gov.au</w:t>
                    </w:r>
                  </w:hyperlink>
                </w:p>
                <w:p w:rsidR="00A50F40" w:rsidRDefault="00A50F40">
                  <w:pPr>
                    <w:rPr>
                      <w:rFonts w:ascii="Gill Sans MT" w:hAnsi="Gill Sans MT"/>
                      <w:color w:val="FFFFFF" w:themeColor="background1"/>
                    </w:rPr>
                  </w:pPr>
                  <w:r>
                    <w:rPr>
                      <w:rFonts w:ascii="Gill Sans MT" w:hAnsi="Gill Sans MT"/>
                      <w:color w:val="FFFFFF" w:themeColor="background1"/>
                    </w:rPr>
                    <w:t>Phone: 1300 135 513</w:t>
                  </w:r>
                </w:p>
                <w:p w:rsidR="00A50F40" w:rsidRDefault="00A50F40" w:rsidP="00E16854">
                  <w:pPr>
                    <w:spacing w:after="0"/>
                    <w:rPr>
                      <w:rFonts w:ascii="Gill Sans MT" w:hAnsi="Gill Sans MT"/>
                      <w:color w:val="FFFFFF" w:themeColor="background1"/>
                    </w:rPr>
                  </w:pPr>
                  <w:r>
                    <w:rPr>
                      <w:rFonts w:ascii="Gill Sans MT" w:hAnsi="Gill Sans MT"/>
                      <w:color w:val="FFFFFF" w:themeColor="background1"/>
                    </w:rPr>
                    <w:t>Published February 2013</w:t>
                  </w:r>
                </w:p>
                <w:p w:rsidR="00A50F40" w:rsidRPr="00E16854" w:rsidRDefault="00A50F40">
                  <w:pPr>
                    <w:rPr>
                      <w:rFonts w:ascii="Gill Sans MT" w:hAnsi="Gill Sans MT"/>
                      <w:color w:val="FFFFFF" w:themeColor="background1"/>
                    </w:rPr>
                  </w:pPr>
                  <w:r>
                    <w:rPr>
                      <w:rFonts w:ascii="Gill Sans MT" w:hAnsi="Gill Sans MT"/>
                      <w:color w:val="FFFFFF" w:themeColor="background1"/>
                    </w:rPr>
                    <w:t>Copyright State of Tasmania</w:t>
                  </w:r>
                </w:p>
              </w:txbxContent>
            </v:textbox>
          </v:shape>
        </w:pict>
      </w:r>
      <w:r w:rsidR="00E16854">
        <w:rPr>
          <w:rFonts w:ascii="Gill Sans MT" w:hAnsi="Gill Sans MT"/>
          <w:noProof/>
          <w:lang w:eastAsia="en-AU"/>
        </w:rPr>
        <w:drawing>
          <wp:anchor distT="0" distB="0" distL="114300" distR="114300" simplePos="0" relativeHeight="251712000" behindDoc="1" locked="0" layoutInCell="0" allowOverlap="1">
            <wp:simplePos x="0" y="0"/>
            <wp:positionH relativeFrom="page">
              <wp:align>center</wp:align>
            </wp:positionH>
            <wp:positionV relativeFrom="page">
              <wp:align>center</wp:align>
            </wp:positionV>
            <wp:extent cx="7557407" cy="10688877"/>
            <wp:effectExtent l="19050" t="0" r="5443" b="0"/>
            <wp:wrapNone/>
            <wp:docPr id="217" name="Picture 217" descr="M:\Studio Production\For Archiving\DPC\0061_StyleGuide_Staff use\DPC_Word\Images\back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M:\Studio Production\For Archiving\DPC\0061_StyleGuide_Staff use\DPC_Word\Images\backcover.jpg"/>
                    <pic:cNvPicPr>
                      <a:picLocks noChangeAspect="1" noChangeArrowheads="1"/>
                    </pic:cNvPicPr>
                  </pic:nvPicPr>
                  <pic:blipFill>
                    <a:blip r:embed="rId62" cstate="print"/>
                    <a:srcRect/>
                    <a:stretch>
                      <a:fillRect/>
                    </a:stretch>
                  </pic:blipFill>
                  <pic:spPr bwMode="auto">
                    <a:xfrm>
                      <a:off x="0" y="0"/>
                      <a:ext cx="7562850" cy="10696575"/>
                    </a:xfrm>
                    <a:prstGeom prst="rect">
                      <a:avLst/>
                    </a:prstGeom>
                    <a:noFill/>
                    <a:ln w="9525">
                      <a:noFill/>
                      <a:miter lim="800000"/>
                      <a:headEnd/>
                      <a:tailEnd/>
                    </a:ln>
                  </pic:spPr>
                </pic:pic>
              </a:graphicData>
            </a:graphic>
          </wp:anchor>
        </w:drawing>
      </w:r>
    </w:p>
    <w:sectPr w:rsidR="001C54BE" w:rsidRPr="00F62AB9" w:rsidSect="00103702">
      <w:pgSz w:w="11906" w:h="16838"/>
      <w:pgMar w:top="1440" w:right="1797" w:bottom="709" w:left="1797" w:header="709" w:footer="54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F40" w:rsidRDefault="00A50F40" w:rsidP="009345F9">
      <w:pPr>
        <w:spacing w:after="0" w:line="240" w:lineRule="auto"/>
      </w:pPr>
      <w:r>
        <w:separator/>
      </w:r>
    </w:p>
  </w:endnote>
  <w:endnote w:type="continuationSeparator" w:id="0">
    <w:p w:rsidR="00A50F40" w:rsidRDefault="00A50F40" w:rsidP="009345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ill Sans MT">
    <w:altName w:val="Century Gothic"/>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Sans Light">
    <w:panose1 w:val="00000000000000000000"/>
    <w:charset w:val="00"/>
    <w:family w:val="swiss"/>
    <w:notTrueType/>
    <w:pitch w:val="variable"/>
    <w:sig w:usb0="00000003" w:usb1="00000000"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 w:name="GillSans-LightItalic">
    <w:panose1 w:val="00000000000000000000"/>
    <w:charset w:val="00"/>
    <w:family w:val="swiss"/>
    <w:notTrueType/>
    <w:pitch w:val="default"/>
    <w:sig w:usb0="00000003" w:usb1="00000000" w:usb2="00000000" w:usb3="00000000" w:csb0="00000001" w:csb1="00000000"/>
  </w:font>
  <w:font w:name="GillSansStd-Light">
    <w:panose1 w:val="00000000000000000000"/>
    <w:charset w:val="00"/>
    <w:family w:val="swiss"/>
    <w:notTrueType/>
    <w:pitch w:val="default"/>
    <w:sig w:usb0="00000003" w:usb1="00000000" w:usb2="00000000" w:usb3="00000000" w:csb0="00000001" w:csb1="00000000"/>
  </w:font>
  <w:font w:name="Lucida Grande">
    <w:altName w:val="Lucida Grande"/>
    <w:panose1 w:val="00000000000000000000"/>
    <w:charset w:val="00"/>
    <w:family w:val="swiss"/>
    <w:notTrueType/>
    <w:pitch w:val="default"/>
    <w:sig w:usb0="00000003" w:usb1="00000000" w:usb2="00000000" w:usb3="00000000" w:csb0="00000001" w:csb1="00000000"/>
  </w:font>
  <w:font w:name="HelveticaNeue LT 57 Cn">
    <w:panose1 w:val="00000000000000000000"/>
    <w:charset w:val="00"/>
    <w:family w:val="swiss"/>
    <w:notTrueType/>
    <w:pitch w:val="default"/>
    <w:sig w:usb0="00000003" w:usb1="00000000" w:usb2="00000000" w:usb3="00000000" w:csb0="00000001" w:csb1="00000000"/>
  </w:font>
  <w:font w:name="Futura-Ligh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58"/>
      <w:gridCol w:w="8284"/>
    </w:tblGrid>
    <w:tr w:rsidR="00A50F40">
      <w:tc>
        <w:tcPr>
          <w:tcW w:w="918" w:type="dxa"/>
        </w:tcPr>
        <w:p w:rsidR="00A50F40" w:rsidRDefault="00A50F40">
          <w:pPr>
            <w:pStyle w:val="Footer"/>
            <w:jc w:val="right"/>
            <w:rPr>
              <w:b/>
              <w:color w:val="4F81BD" w:themeColor="accent1"/>
              <w:sz w:val="32"/>
              <w:szCs w:val="32"/>
            </w:rPr>
          </w:pPr>
          <w:fldSimple w:instr=" PAGE   \* MERGEFORMAT ">
            <w:r w:rsidR="008351A4" w:rsidRPr="008351A4">
              <w:rPr>
                <w:b/>
                <w:noProof/>
                <w:color w:val="4F81BD" w:themeColor="accent1"/>
                <w:sz w:val="32"/>
                <w:szCs w:val="32"/>
              </w:rPr>
              <w:t>2</w:t>
            </w:r>
          </w:fldSimple>
        </w:p>
      </w:tc>
      <w:tc>
        <w:tcPr>
          <w:tcW w:w="7938" w:type="dxa"/>
        </w:tcPr>
        <w:p w:rsidR="00A50F40" w:rsidRPr="00103702" w:rsidRDefault="00A50F40" w:rsidP="00103702">
          <w:pPr>
            <w:pStyle w:val="Footer"/>
            <w:ind w:right="-330"/>
            <w:rPr>
              <w:color w:val="4F81BD" w:themeColor="accent1"/>
              <w:sz w:val="32"/>
              <w:szCs w:val="32"/>
            </w:rPr>
          </w:pPr>
          <w:r w:rsidRPr="00103702">
            <w:rPr>
              <w:color w:val="4F81BD" w:themeColor="accent1"/>
              <w:sz w:val="32"/>
              <w:szCs w:val="32"/>
            </w:rPr>
            <w:t>Norther</w:t>
          </w:r>
          <w:r>
            <w:rPr>
              <w:color w:val="4F81BD" w:themeColor="accent1"/>
              <w:sz w:val="32"/>
              <w:szCs w:val="32"/>
            </w:rPr>
            <w:t xml:space="preserve">n Integrated Transport Plan </w:t>
          </w:r>
          <w:r w:rsidRPr="00103702">
            <w:rPr>
              <w:color w:val="4F81BD" w:themeColor="accent1"/>
              <w:sz w:val="32"/>
              <w:szCs w:val="32"/>
            </w:rPr>
            <w:t xml:space="preserve"> – Background Report</w:t>
          </w:r>
        </w:p>
      </w:tc>
    </w:tr>
  </w:tbl>
  <w:p w:rsidR="00A50F40" w:rsidRDefault="00A50F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90417"/>
      <w:docPartObj>
        <w:docPartGallery w:val="Page Numbers (Bottom of Page)"/>
        <w:docPartUnique/>
      </w:docPartObj>
    </w:sdtPr>
    <w:sdtEndPr>
      <w:rPr>
        <w:color w:val="7F7F7F" w:themeColor="background1" w:themeShade="7F"/>
        <w:spacing w:val="60"/>
      </w:rPr>
    </w:sdtEndPr>
    <w:sdtContent>
      <w:p w:rsidR="00A50F40" w:rsidRDefault="00A50F40">
        <w:pPr>
          <w:pStyle w:val="Footer"/>
          <w:pBdr>
            <w:top w:val="single" w:sz="4" w:space="1" w:color="D9D9D9" w:themeColor="background1" w:themeShade="D9"/>
          </w:pBdr>
          <w:rPr>
            <w:b/>
          </w:rPr>
        </w:pPr>
        <w:fldSimple w:instr=" PAGE   \* MERGEFORMAT ">
          <w:r w:rsidRPr="00103702">
            <w:rPr>
              <w:b/>
              <w:noProof/>
            </w:rPr>
            <w:t>2</w:t>
          </w:r>
        </w:fldSimple>
        <w:r>
          <w:rPr>
            <w:b/>
          </w:rPr>
          <w:t xml:space="preserve"> | </w:t>
        </w:r>
        <w:r>
          <w:rPr>
            <w:color w:val="7F7F7F" w:themeColor="background1" w:themeShade="7F"/>
            <w:spacing w:val="60"/>
          </w:rPr>
          <w:t>Page</w:t>
        </w:r>
      </w:p>
    </w:sdtContent>
  </w:sdt>
  <w:p w:rsidR="00A50F40" w:rsidRDefault="00A50F4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F40" w:rsidRDefault="00A50F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F40" w:rsidRDefault="00A50F40" w:rsidP="009345F9">
      <w:pPr>
        <w:spacing w:after="0" w:line="240" w:lineRule="auto"/>
      </w:pPr>
      <w:r>
        <w:separator/>
      </w:r>
    </w:p>
  </w:footnote>
  <w:footnote w:type="continuationSeparator" w:id="0">
    <w:p w:rsidR="00A50F40" w:rsidRDefault="00A50F40" w:rsidP="009345F9">
      <w:pPr>
        <w:spacing w:after="0" w:line="240" w:lineRule="auto"/>
      </w:pPr>
      <w:r>
        <w:continuationSeparator/>
      </w:r>
    </w:p>
  </w:footnote>
  <w:footnote w:id="1">
    <w:p w:rsidR="00A50F40" w:rsidRDefault="00A50F40" w:rsidP="00756B53">
      <w:pPr>
        <w:pStyle w:val="FootnoteText"/>
      </w:pPr>
      <w:r>
        <w:rPr>
          <w:rStyle w:val="FootnoteReference"/>
        </w:rPr>
        <w:footnoteRef/>
      </w:r>
      <w:r>
        <w:t xml:space="preserve"> Road length based on the LIST road network, and divided roads are treated as separate lengths. </w:t>
      </w:r>
    </w:p>
  </w:footnote>
  <w:footnote w:id="2">
    <w:p w:rsidR="00A50F40" w:rsidRDefault="00A50F40" w:rsidP="00756B53">
      <w:pPr>
        <w:pStyle w:val="FootnoteText"/>
      </w:pPr>
      <w:r>
        <w:rPr>
          <w:rStyle w:val="FootnoteReference"/>
        </w:rPr>
        <w:footnoteRef/>
      </w:r>
      <w:r>
        <w:t xml:space="preserve"> Road length based on the LIST road network, and divided roads are treated as separate lengths. </w:t>
      </w:r>
    </w:p>
  </w:footnote>
  <w:footnote w:id="3">
    <w:p w:rsidR="00A50F40" w:rsidRDefault="00A50F40" w:rsidP="00756B53">
      <w:pPr>
        <w:pStyle w:val="FootnoteText"/>
      </w:pPr>
      <w:r>
        <w:rPr>
          <w:rStyle w:val="FootnoteReference"/>
        </w:rPr>
        <w:footnoteRef/>
      </w:r>
      <w:r>
        <w:t xml:space="preserve"> Tasmanian Freight Survey 2008/09, DIER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F40" w:rsidRDefault="00A50F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F40" w:rsidRDefault="00A50F40" w:rsidP="00DF0BBE">
    <w:pPr>
      <w:pStyle w:val="Header"/>
      <w:pBdr>
        <w:bottom w:val="single" w:sz="4" w:space="1" w:color="D9D9D9" w:themeColor="background1" w:themeShade="D9"/>
      </w:pBdr>
      <w:jc w:val="center"/>
      <w:rPr>
        <w:b/>
      </w:rPr>
    </w:pPr>
    <w:r>
      <w:rPr>
        <w:color w:val="7F7F7F" w:themeColor="background1" w:themeShade="7F"/>
        <w:spacing w:val="60"/>
      </w:rPr>
      <w:t>Page</w:t>
    </w:r>
    <w:r>
      <w:t xml:space="preserve"> | </w:t>
    </w:r>
    <w:fldSimple w:instr=" PAGE   \* MERGEFORMAT ">
      <w:r w:rsidRPr="00D11622">
        <w:rPr>
          <w:b/>
          <w:noProof/>
        </w:rPr>
        <w:t>26</w:t>
      </w:r>
    </w:fldSimple>
  </w:p>
  <w:p w:rsidR="00A50F40" w:rsidRDefault="00A50F4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F40" w:rsidRDefault="00A50F4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F40" w:rsidRDefault="00A50F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2CCA"/>
    <w:multiLevelType w:val="hybridMultilevel"/>
    <w:tmpl w:val="28E0968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1F30440"/>
    <w:multiLevelType w:val="hybridMultilevel"/>
    <w:tmpl w:val="9830FE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209318E"/>
    <w:multiLevelType w:val="hybridMultilevel"/>
    <w:tmpl w:val="93DA8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2912DCB"/>
    <w:multiLevelType w:val="hybridMultilevel"/>
    <w:tmpl w:val="96DE2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2D312C0"/>
    <w:multiLevelType w:val="hybridMultilevel"/>
    <w:tmpl w:val="62E66B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394787D"/>
    <w:multiLevelType w:val="hybridMultilevel"/>
    <w:tmpl w:val="50589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3F87DBE"/>
    <w:multiLevelType w:val="hybridMultilevel"/>
    <w:tmpl w:val="509AA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5037204"/>
    <w:multiLevelType w:val="hybridMultilevel"/>
    <w:tmpl w:val="BA921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5082ED7"/>
    <w:multiLevelType w:val="multilevel"/>
    <w:tmpl w:val="0A8C11D6"/>
    <w:styleLink w:val="Style2"/>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65B0D46"/>
    <w:multiLevelType w:val="hybridMultilevel"/>
    <w:tmpl w:val="B756F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84870BA"/>
    <w:multiLevelType w:val="hybridMultilevel"/>
    <w:tmpl w:val="6256D6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AC43772">
      <w:start w:val="2"/>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9953ED7"/>
    <w:multiLevelType w:val="hybridMultilevel"/>
    <w:tmpl w:val="21F2C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A4A7054"/>
    <w:multiLevelType w:val="hybridMultilevel"/>
    <w:tmpl w:val="E1B8D9D4"/>
    <w:lvl w:ilvl="0" w:tplc="0C090001">
      <w:start w:val="1"/>
      <w:numFmt w:val="bullet"/>
      <w:lvlText w:val=""/>
      <w:lvlJc w:val="left"/>
      <w:pPr>
        <w:ind w:left="360" w:hanging="360"/>
      </w:pPr>
      <w:rPr>
        <w:rFonts w:ascii="Symbol" w:hAnsi="Symbol" w:hint="default"/>
      </w:rPr>
    </w:lvl>
    <w:lvl w:ilvl="1" w:tplc="64625A3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0B3E0181"/>
    <w:multiLevelType w:val="hybridMultilevel"/>
    <w:tmpl w:val="B04A80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0BA2774D"/>
    <w:multiLevelType w:val="hybridMultilevel"/>
    <w:tmpl w:val="1EEEF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CF24207"/>
    <w:multiLevelType w:val="multilevel"/>
    <w:tmpl w:val="0C09001F"/>
    <w:styleLink w:val="Style9"/>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D494B72"/>
    <w:multiLevelType w:val="hybridMultilevel"/>
    <w:tmpl w:val="2D486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0D8E2DCC"/>
    <w:multiLevelType w:val="hybridMultilevel"/>
    <w:tmpl w:val="461063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0F1D7C69"/>
    <w:multiLevelType w:val="hybridMultilevel"/>
    <w:tmpl w:val="D42406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118B3A1C"/>
    <w:multiLevelType w:val="hybridMultilevel"/>
    <w:tmpl w:val="FCEA4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19B1EFA"/>
    <w:multiLevelType w:val="hybridMultilevel"/>
    <w:tmpl w:val="A7363E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11BE5F3F"/>
    <w:multiLevelType w:val="hybridMultilevel"/>
    <w:tmpl w:val="5B926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2365627"/>
    <w:multiLevelType w:val="hybridMultilevel"/>
    <w:tmpl w:val="A4BEA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13EE4B23"/>
    <w:multiLevelType w:val="multilevel"/>
    <w:tmpl w:val="0C09001F"/>
    <w:styleLink w:val="Style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142E6854"/>
    <w:multiLevelType w:val="hybridMultilevel"/>
    <w:tmpl w:val="DE68F904"/>
    <w:lvl w:ilvl="0" w:tplc="91D4D5FE">
      <w:start w:val="1"/>
      <w:numFmt w:val="bullet"/>
      <w:pStyle w:val="Bullet"/>
      <w:lvlText w:val=""/>
      <w:lvlJc w:val="left"/>
      <w:pPr>
        <w:tabs>
          <w:tab w:val="num" w:pos="340"/>
        </w:tabs>
        <w:ind w:left="340" w:hanging="340"/>
      </w:pPr>
      <w:rPr>
        <w:rFonts w:ascii="Wingdings 2" w:hAnsi="Wingdings 2"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16671E20"/>
    <w:multiLevelType w:val="multilevel"/>
    <w:tmpl w:val="0C0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17A67766"/>
    <w:multiLevelType w:val="multilevel"/>
    <w:tmpl w:val="0C09001F"/>
    <w:styleLink w:val="Style7"/>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1C841E70"/>
    <w:multiLevelType w:val="hybridMultilevel"/>
    <w:tmpl w:val="BA9A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1E4C72DA"/>
    <w:multiLevelType w:val="hybridMultilevel"/>
    <w:tmpl w:val="D68E81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1EB650AB"/>
    <w:multiLevelType w:val="hybridMultilevel"/>
    <w:tmpl w:val="EB769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1F302FED"/>
    <w:multiLevelType w:val="hybridMultilevel"/>
    <w:tmpl w:val="BD96A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206B59F5"/>
    <w:multiLevelType w:val="hybridMultilevel"/>
    <w:tmpl w:val="9670C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2200029B"/>
    <w:multiLevelType w:val="multilevel"/>
    <w:tmpl w:val="0C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220557AE"/>
    <w:multiLevelType w:val="hybridMultilevel"/>
    <w:tmpl w:val="01AEB3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22107E3A"/>
    <w:multiLevelType w:val="multilevel"/>
    <w:tmpl w:val="0C09001F"/>
    <w:styleLink w:val="Style1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5E46043"/>
    <w:multiLevelType w:val="multilevel"/>
    <w:tmpl w:val="640CB78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ind w:left="1800" w:hanging="360"/>
      </w:pPr>
      <w:rPr>
        <w:rFonts w:ascii="Symbol" w:hAnsi="Symbol"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nsid w:val="265B2ECF"/>
    <w:multiLevelType w:val="hybridMultilevel"/>
    <w:tmpl w:val="D654DA18"/>
    <w:lvl w:ilvl="0" w:tplc="C486C5B2">
      <w:start w:val="1"/>
      <w:numFmt w:val="decimal"/>
      <w:lvlText w:val="%1."/>
      <w:lvlJc w:val="left"/>
      <w:pPr>
        <w:ind w:left="720" w:hanging="360"/>
      </w:pPr>
      <w:rPr>
        <w:rFonts w:cs="Century Gothic"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26BD6D04"/>
    <w:multiLevelType w:val="multilevel"/>
    <w:tmpl w:val="6D9EB5A8"/>
    <w:lvl w:ilvl="0">
      <w:start w:val="1"/>
      <w:numFmt w:val="decimal"/>
      <w:pStyle w:val="CHAPTERHEADING1"/>
      <w:lvlText w:val="Chapter %1"/>
      <w:lvlJc w:val="left"/>
      <w:pPr>
        <w:tabs>
          <w:tab w:val="num" w:pos="0"/>
        </w:tabs>
        <w:ind w:left="0" w:firstLine="0"/>
      </w:pPr>
      <w:rPr>
        <w:rFonts w:hint="default"/>
      </w:rPr>
    </w:lvl>
    <w:lvl w:ilvl="1">
      <w:start w:val="1"/>
      <w:numFmt w:val="decimal"/>
      <w:pStyle w:val="TABLETITLE"/>
      <w:lvlText w:val="TABLE %1.%2"/>
      <w:lvlJc w:val="left"/>
      <w:pPr>
        <w:tabs>
          <w:tab w:val="num" w:pos="0"/>
        </w:tabs>
        <w:ind w:left="0" w:firstLine="0"/>
      </w:pPr>
      <w:rPr>
        <w:rFonts w:hint="default"/>
      </w:rPr>
    </w:lvl>
    <w:lvl w:ilvl="2">
      <w:start w:val="1"/>
      <w:numFmt w:val="none"/>
      <w:lvlRestart w:val="1"/>
      <w:lvlText w:val=""/>
      <w:lvlJc w:val="left"/>
      <w:pPr>
        <w:tabs>
          <w:tab w:val="num" w:pos="0"/>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nsid w:val="277E51C0"/>
    <w:multiLevelType w:val="hybridMultilevel"/>
    <w:tmpl w:val="8C4E2F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296300DC"/>
    <w:multiLevelType w:val="hybridMultilevel"/>
    <w:tmpl w:val="46301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29A14B39"/>
    <w:multiLevelType w:val="hybridMultilevel"/>
    <w:tmpl w:val="39003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29F964B7"/>
    <w:multiLevelType w:val="hybridMultilevel"/>
    <w:tmpl w:val="2878D588"/>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42">
    <w:nsid w:val="2B73216C"/>
    <w:multiLevelType w:val="hybridMultilevel"/>
    <w:tmpl w:val="CAE667B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3">
    <w:nsid w:val="2DD45422"/>
    <w:multiLevelType w:val="hybridMultilevel"/>
    <w:tmpl w:val="738C22B0"/>
    <w:lvl w:ilvl="0" w:tplc="0D365286">
      <w:start w:val="1"/>
      <w:numFmt w:val="bullet"/>
      <w:pStyle w:val="KeyMessageTex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4">
    <w:nsid w:val="2E3C5FFB"/>
    <w:multiLevelType w:val="hybridMultilevel"/>
    <w:tmpl w:val="C46CD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2EBF1E06"/>
    <w:multiLevelType w:val="hybridMultilevel"/>
    <w:tmpl w:val="20CC9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326F0080"/>
    <w:multiLevelType w:val="hybridMultilevel"/>
    <w:tmpl w:val="9B9C37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nsid w:val="34141264"/>
    <w:multiLevelType w:val="hybridMultilevel"/>
    <w:tmpl w:val="6422E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346F4B8A"/>
    <w:multiLevelType w:val="hybridMultilevel"/>
    <w:tmpl w:val="77FC9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34F7334E"/>
    <w:multiLevelType w:val="hybridMultilevel"/>
    <w:tmpl w:val="09066E3C"/>
    <w:lvl w:ilvl="0" w:tplc="0C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35930369"/>
    <w:multiLevelType w:val="hybridMultilevel"/>
    <w:tmpl w:val="EA4A9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36035C56"/>
    <w:multiLevelType w:val="multilevel"/>
    <w:tmpl w:val="2954BF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ind w:left="1800" w:hanging="360"/>
      </w:pPr>
      <w:rPr>
        <w:rFonts w:ascii="Symbol" w:hAnsi="Symbol"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nsid w:val="36161AF3"/>
    <w:multiLevelType w:val="hybridMultilevel"/>
    <w:tmpl w:val="4DF4E48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368D73AE"/>
    <w:multiLevelType w:val="hybridMultilevel"/>
    <w:tmpl w:val="78F6F1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nsid w:val="36D95F65"/>
    <w:multiLevelType w:val="hybridMultilevel"/>
    <w:tmpl w:val="C7189E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nsid w:val="370B61AF"/>
    <w:multiLevelType w:val="hybridMultilevel"/>
    <w:tmpl w:val="950A20A0"/>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56">
    <w:nsid w:val="37684284"/>
    <w:multiLevelType w:val="hybridMultilevel"/>
    <w:tmpl w:val="1FAC9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38361CF4"/>
    <w:multiLevelType w:val="hybridMultilevel"/>
    <w:tmpl w:val="48E4B1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nsid w:val="3973277B"/>
    <w:multiLevelType w:val="hybridMultilevel"/>
    <w:tmpl w:val="56AA2C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nsid w:val="3A4E77AA"/>
    <w:multiLevelType w:val="hybridMultilevel"/>
    <w:tmpl w:val="53BA6214"/>
    <w:lvl w:ilvl="0" w:tplc="0C090001">
      <w:start w:val="1"/>
      <w:numFmt w:val="bullet"/>
      <w:lvlText w:val=""/>
      <w:lvlJc w:val="left"/>
      <w:pPr>
        <w:ind w:left="360" w:hanging="360"/>
      </w:pPr>
      <w:rPr>
        <w:rFonts w:ascii="Symbol" w:hAnsi="Symbol" w:hint="default"/>
      </w:rPr>
    </w:lvl>
    <w:lvl w:ilvl="1" w:tplc="64625A3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nsid w:val="3ACD0D29"/>
    <w:multiLevelType w:val="hybridMultilevel"/>
    <w:tmpl w:val="6CA467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nsid w:val="3C036FEA"/>
    <w:multiLevelType w:val="hybridMultilevel"/>
    <w:tmpl w:val="65D2C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3C6810BC"/>
    <w:multiLevelType w:val="hybridMultilevel"/>
    <w:tmpl w:val="2004A8AE"/>
    <w:lvl w:ilvl="0" w:tplc="B706DA5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3E503DE1"/>
    <w:multiLevelType w:val="hybridMultilevel"/>
    <w:tmpl w:val="3198FB5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4">
    <w:nsid w:val="3E853022"/>
    <w:multiLevelType w:val="hybridMultilevel"/>
    <w:tmpl w:val="9D8C8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3E8B2936"/>
    <w:multiLevelType w:val="hybridMultilevel"/>
    <w:tmpl w:val="73286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3F183CA5"/>
    <w:multiLevelType w:val="hybridMultilevel"/>
    <w:tmpl w:val="9C84F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3F4C1109"/>
    <w:multiLevelType w:val="hybridMultilevel"/>
    <w:tmpl w:val="96E8C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3FF558DA"/>
    <w:multiLevelType w:val="multilevel"/>
    <w:tmpl w:val="90207D2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9">
    <w:nsid w:val="40677380"/>
    <w:multiLevelType w:val="hybridMultilevel"/>
    <w:tmpl w:val="91C6E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nsid w:val="40EE25DC"/>
    <w:multiLevelType w:val="hybridMultilevel"/>
    <w:tmpl w:val="475641E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71">
    <w:nsid w:val="45F62774"/>
    <w:multiLevelType w:val="hybridMultilevel"/>
    <w:tmpl w:val="6B18D106"/>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72">
    <w:nsid w:val="48EB33D1"/>
    <w:multiLevelType w:val="hybridMultilevel"/>
    <w:tmpl w:val="B672EA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nsid w:val="4D56180D"/>
    <w:multiLevelType w:val="hybridMultilevel"/>
    <w:tmpl w:val="69206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nsid w:val="4EB00295"/>
    <w:multiLevelType w:val="hybridMultilevel"/>
    <w:tmpl w:val="88440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nsid w:val="4FBF18B1"/>
    <w:multiLevelType w:val="hybridMultilevel"/>
    <w:tmpl w:val="C408F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nsid w:val="54755298"/>
    <w:multiLevelType w:val="hybridMultilevel"/>
    <w:tmpl w:val="C8C0EC82"/>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7">
    <w:nsid w:val="55403FBB"/>
    <w:multiLevelType w:val="hybridMultilevel"/>
    <w:tmpl w:val="6040D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nsid w:val="555A311A"/>
    <w:multiLevelType w:val="hybridMultilevel"/>
    <w:tmpl w:val="E034D3CA"/>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79">
    <w:nsid w:val="5C4E6568"/>
    <w:multiLevelType w:val="hybridMultilevel"/>
    <w:tmpl w:val="0902E2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nsid w:val="5C9D4A8B"/>
    <w:multiLevelType w:val="multilevel"/>
    <w:tmpl w:val="3E163930"/>
    <w:styleLink w:val="Style1"/>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nsid w:val="5CE051D8"/>
    <w:multiLevelType w:val="hybridMultilevel"/>
    <w:tmpl w:val="CB04EF74"/>
    <w:lvl w:ilvl="0" w:tplc="2B8AADFA">
      <w:numFmt w:val="bullet"/>
      <w:lvlText w:val="-"/>
      <w:lvlJc w:val="left"/>
      <w:pPr>
        <w:tabs>
          <w:tab w:val="num" w:pos="720"/>
        </w:tabs>
        <w:ind w:left="720" w:hanging="360"/>
      </w:pPr>
      <w:rPr>
        <w:rFonts w:ascii="Calibri" w:eastAsia="Times New Roman" w:hAnsi="Calibri"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5D177DCD"/>
    <w:multiLevelType w:val="multilevel"/>
    <w:tmpl w:val="0C09001F"/>
    <w:styleLink w:val="Style6"/>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60A27692"/>
    <w:multiLevelType w:val="hybridMultilevel"/>
    <w:tmpl w:val="04BCE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nsid w:val="617F04CA"/>
    <w:multiLevelType w:val="hybridMultilevel"/>
    <w:tmpl w:val="EC5E99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nsid w:val="64AD1493"/>
    <w:multiLevelType w:val="hybridMultilevel"/>
    <w:tmpl w:val="E66AF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nsid w:val="65995C71"/>
    <w:multiLevelType w:val="hybridMultilevel"/>
    <w:tmpl w:val="5AFA9A80"/>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87">
    <w:nsid w:val="66B4481E"/>
    <w:multiLevelType w:val="hybridMultilevel"/>
    <w:tmpl w:val="AFF4D8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8">
    <w:nsid w:val="69220A3F"/>
    <w:multiLevelType w:val="hybridMultilevel"/>
    <w:tmpl w:val="AE4037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nsid w:val="698618CE"/>
    <w:multiLevelType w:val="hybridMultilevel"/>
    <w:tmpl w:val="BBE4D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nsid w:val="69B87D35"/>
    <w:multiLevelType w:val="hybridMultilevel"/>
    <w:tmpl w:val="697AF240"/>
    <w:lvl w:ilvl="0" w:tplc="0C090001">
      <w:start w:val="1"/>
      <w:numFmt w:val="bullet"/>
      <w:lvlText w:val=""/>
      <w:lvlJc w:val="left"/>
      <w:pPr>
        <w:ind w:left="1470" w:hanging="360"/>
      </w:pPr>
      <w:rPr>
        <w:rFonts w:ascii="Symbol" w:hAnsi="Symbol" w:hint="default"/>
      </w:rPr>
    </w:lvl>
    <w:lvl w:ilvl="1" w:tplc="0C090003" w:tentative="1">
      <w:start w:val="1"/>
      <w:numFmt w:val="bullet"/>
      <w:lvlText w:val="o"/>
      <w:lvlJc w:val="left"/>
      <w:pPr>
        <w:ind w:left="2190" w:hanging="360"/>
      </w:pPr>
      <w:rPr>
        <w:rFonts w:ascii="Courier New" w:hAnsi="Courier New" w:cs="Courier New" w:hint="default"/>
      </w:rPr>
    </w:lvl>
    <w:lvl w:ilvl="2" w:tplc="0C090005" w:tentative="1">
      <w:start w:val="1"/>
      <w:numFmt w:val="bullet"/>
      <w:lvlText w:val=""/>
      <w:lvlJc w:val="left"/>
      <w:pPr>
        <w:ind w:left="2910" w:hanging="360"/>
      </w:pPr>
      <w:rPr>
        <w:rFonts w:ascii="Wingdings" w:hAnsi="Wingdings" w:hint="default"/>
      </w:rPr>
    </w:lvl>
    <w:lvl w:ilvl="3" w:tplc="0C090001" w:tentative="1">
      <w:start w:val="1"/>
      <w:numFmt w:val="bullet"/>
      <w:lvlText w:val=""/>
      <w:lvlJc w:val="left"/>
      <w:pPr>
        <w:ind w:left="3630" w:hanging="360"/>
      </w:pPr>
      <w:rPr>
        <w:rFonts w:ascii="Symbol" w:hAnsi="Symbol" w:hint="default"/>
      </w:rPr>
    </w:lvl>
    <w:lvl w:ilvl="4" w:tplc="0C090003" w:tentative="1">
      <w:start w:val="1"/>
      <w:numFmt w:val="bullet"/>
      <w:lvlText w:val="o"/>
      <w:lvlJc w:val="left"/>
      <w:pPr>
        <w:ind w:left="4350" w:hanging="360"/>
      </w:pPr>
      <w:rPr>
        <w:rFonts w:ascii="Courier New" w:hAnsi="Courier New" w:cs="Courier New" w:hint="default"/>
      </w:rPr>
    </w:lvl>
    <w:lvl w:ilvl="5" w:tplc="0C090005" w:tentative="1">
      <w:start w:val="1"/>
      <w:numFmt w:val="bullet"/>
      <w:lvlText w:val=""/>
      <w:lvlJc w:val="left"/>
      <w:pPr>
        <w:ind w:left="5070" w:hanging="360"/>
      </w:pPr>
      <w:rPr>
        <w:rFonts w:ascii="Wingdings" w:hAnsi="Wingdings" w:hint="default"/>
      </w:rPr>
    </w:lvl>
    <w:lvl w:ilvl="6" w:tplc="0C090001" w:tentative="1">
      <w:start w:val="1"/>
      <w:numFmt w:val="bullet"/>
      <w:lvlText w:val=""/>
      <w:lvlJc w:val="left"/>
      <w:pPr>
        <w:ind w:left="5790" w:hanging="360"/>
      </w:pPr>
      <w:rPr>
        <w:rFonts w:ascii="Symbol" w:hAnsi="Symbol" w:hint="default"/>
      </w:rPr>
    </w:lvl>
    <w:lvl w:ilvl="7" w:tplc="0C090003" w:tentative="1">
      <w:start w:val="1"/>
      <w:numFmt w:val="bullet"/>
      <w:lvlText w:val="o"/>
      <w:lvlJc w:val="left"/>
      <w:pPr>
        <w:ind w:left="6510" w:hanging="360"/>
      </w:pPr>
      <w:rPr>
        <w:rFonts w:ascii="Courier New" w:hAnsi="Courier New" w:cs="Courier New" w:hint="default"/>
      </w:rPr>
    </w:lvl>
    <w:lvl w:ilvl="8" w:tplc="0C090005" w:tentative="1">
      <w:start w:val="1"/>
      <w:numFmt w:val="bullet"/>
      <w:lvlText w:val=""/>
      <w:lvlJc w:val="left"/>
      <w:pPr>
        <w:ind w:left="7230" w:hanging="360"/>
      </w:pPr>
      <w:rPr>
        <w:rFonts w:ascii="Wingdings" w:hAnsi="Wingdings" w:hint="default"/>
      </w:rPr>
    </w:lvl>
  </w:abstractNum>
  <w:abstractNum w:abstractNumId="91">
    <w:nsid w:val="6A114BB1"/>
    <w:multiLevelType w:val="hybridMultilevel"/>
    <w:tmpl w:val="1E564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nsid w:val="6A312406"/>
    <w:multiLevelType w:val="hybridMultilevel"/>
    <w:tmpl w:val="706E8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nsid w:val="6A68762F"/>
    <w:multiLevelType w:val="hybridMultilevel"/>
    <w:tmpl w:val="230E4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nsid w:val="6AA342C8"/>
    <w:multiLevelType w:val="hybridMultilevel"/>
    <w:tmpl w:val="ABA0C3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nsid w:val="6E241F01"/>
    <w:multiLevelType w:val="hybridMultilevel"/>
    <w:tmpl w:val="36723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nsid w:val="6F056828"/>
    <w:multiLevelType w:val="hybridMultilevel"/>
    <w:tmpl w:val="C3424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7">
    <w:nsid w:val="72211EFB"/>
    <w:multiLevelType w:val="multilevel"/>
    <w:tmpl w:val="0C09001F"/>
    <w:styleLink w:val="Style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724463AC"/>
    <w:multiLevelType w:val="hybridMultilevel"/>
    <w:tmpl w:val="11A06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nsid w:val="7334711F"/>
    <w:multiLevelType w:val="hybridMultilevel"/>
    <w:tmpl w:val="1CCE9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nsid w:val="74035C56"/>
    <w:multiLevelType w:val="hybridMultilevel"/>
    <w:tmpl w:val="649296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nsid w:val="741C28CF"/>
    <w:multiLevelType w:val="hybridMultilevel"/>
    <w:tmpl w:val="A1328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nsid w:val="741C30DE"/>
    <w:multiLevelType w:val="hybridMultilevel"/>
    <w:tmpl w:val="E1F4F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nsid w:val="742A3677"/>
    <w:multiLevelType w:val="hybridMultilevel"/>
    <w:tmpl w:val="635A0C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4">
    <w:nsid w:val="791A1B8F"/>
    <w:multiLevelType w:val="hybridMultilevel"/>
    <w:tmpl w:val="D144C048"/>
    <w:lvl w:ilvl="0" w:tplc="ECAAF96E">
      <w:start w:val="1"/>
      <w:numFmt w:val="bullet"/>
      <w:pStyle w:val="TNS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5">
    <w:nsid w:val="7B0E27DD"/>
    <w:multiLevelType w:val="hybridMultilevel"/>
    <w:tmpl w:val="10667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8"/>
  </w:num>
  <w:num w:numId="2">
    <w:abstractNumId w:val="66"/>
  </w:num>
  <w:num w:numId="3">
    <w:abstractNumId w:val="84"/>
  </w:num>
  <w:num w:numId="4">
    <w:abstractNumId w:val="83"/>
  </w:num>
  <w:num w:numId="5">
    <w:abstractNumId w:val="24"/>
  </w:num>
  <w:num w:numId="6">
    <w:abstractNumId w:val="87"/>
  </w:num>
  <w:num w:numId="7">
    <w:abstractNumId w:val="60"/>
  </w:num>
  <w:num w:numId="8">
    <w:abstractNumId w:val="86"/>
  </w:num>
  <w:num w:numId="9">
    <w:abstractNumId w:val="81"/>
  </w:num>
  <w:num w:numId="10">
    <w:abstractNumId w:val="7"/>
  </w:num>
  <w:num w:numId="11">
    <w:abstractNumId w:val="40"/>
  </w:num>
  <w:num w:numId="12">
    <w:abstractNumId w:val="11"/>
  </w:num>
  <w:num w:numId="13">
    <w:abstractNumId w:val="99"/>
  </w:num>
  <w:num w:numId="14">
    <w:abstractNumId w:val="69"/>
  </w:num>
  <w:num w:numId="15">
    <w:abstractNumId w:val="21"/>
  </w:num>
  <w:num w:numId="16">
    <w:abstractNumId w:val="41"/>
  </w:num>
  <w:num w:numId="17">
    <w:abstractNumId w:val="6"/>
  </w:num>
  <w:num w:numId="18">
    <w:abstractNumId w:val="73"/>
  </w:num>
  <w:num w:numId="19">
    <w:abstractNumId w:val="105"/>
  </w:num>
  <w:num w:numId="20">
    <w:abstractNumId w:val="75"/>
  </w:num>
  <w:num w:numId="21">
    <w:abstractNumId w:val="50"/>
  </w:num>
  <w:num w:numId="22">
    <w:abstractNumId w:val="45"/>
  </w:num>
  <w:num w:numId="23">
    <w:abstractNumId w:val="39"/>
  </w:num>
  <w:num w:numId="24">
    <w:abstractNumId w:val="61"/>
  </w:num>
  <w:num w:numId="25">
    <w:abstractNumId w:val="16"/>
  </w:num>
  <w:num w:numId="26">
    <w:abstractNumId w:val="36"/>
  </w:num>
  <w:num w:numId="27">
    <w:abstractNumId w:val="44"/>
  </w:num>
  <w:num w:numId="28">
    <w:abstractNumId w:val="56"/>
  </w:num>
  <w:num w:numId="29">
    <w:abstractNumId w:val="37"/>
  </w:num>
  <w:num w:numId="30">
    <w:abstractNumId w:val="0"/>
  </w:num>
  <w:num w:numId="31">
    <w:abstractNumId w:val="78"/>
  </w:num>
  <w:num w:numId="32">
    <w:abstractNumId w:val="85"/>
  </w:num>
  <w:num w:numId="33">
    <w:abstractNumId w:val="91"/>
  </w:num>
  <w:num w:numId="34">
    <w:abstractNumId w:val="30"/>
  </w:num>
  <w:num w:numId="35">
    <w:abstractNumId w:val="98"/>
  </w:num>
  <w:num w:numId="36">
    <w:abstractNumId w:val="77"/>
  </w:num>
  <w:num w:numId="37">
    <w:abstractNumId w:val="71"/>
  </w:num>
  <w:num w:numId="38">
    <w:abstractNumId w:val="28"/>
  </w:num>
  <w:num w:numId="39">
    <w:abstractNumId w:val="76"/>
  </w:num>
  <w:num w:numId="40">
    <w:abstractNumId w:val="42"/>
  </w:num>
  <w:num w:numId="41">
    <w:abstractNumId w:val="47"/>
  </w:num>
  <w:num w:numId="42">
    <w:abstractNumId w:val="14"/>
  </w:num>
  <w:num w:numId="43">
    <w:abstractNumId w:val="49"/>
  </w:num>
  <w:num w:numId="44">
    <w:abstractNumId w:val="31"/>
  </w:num>
  <w:num w:numId="45">
    <w:abstractNumId w:val="5"/>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1"/>
  </w:num>
  <w:num w:numId="48">
    <w:abstractNumId w:val="95"/>
  </w:num>
  <w:num w:numId="49">
    <w:abstractNumId w:val="3"/>
  </w:num>
  <w:num w:numId="50">
    <w:abstractNumId w:val="90"/>
  </w:num>
  <w:num w:numId="51">
    <w:abstractNumId w:val="64"/>
  </w:num>
  <w:num w:numId="52">
    <w:abstractNumId w:val="55"/>
  </w:num>
  <w:num w:numId="53">
    <w:abstractNumId w:val="80"/>
  </w:num>
  <w:num w:numId="54">
    <w:abstractNumId w:val="8"/>
  </w:num>
  <w:num w:numId="55">
    <w:abstractNumId w:val="25"/>
  </w:num>
  <w:num w:numId="56">
    <w:abstractNumId w:val="23"/>
  </w:num>
  <w:num w:numId="57">
    <w:abstractNumId w:val="32"/>
  </w:num>
  <w:num w:numId="58">
    <w:abstractNumId w:val="82"/>
  </w:num>
  <w:num w:numId="59">
    <w:abstractNumId w:val="26"/>
  </w:num>
  <w:num w:numId="60">
    <w:abstractNumId w:val="97"/>
  </w:num>
  <w:num w:numId="61">
    <w:abstractNumId w:val="15"/>
  </w:num>
  <w:num w:numId="62">
    <w:abstractNumId w:val="34"/>
  </w:num>
  <w:num w:numId="63">
    <w:abstractNumId w:val="46"/>
  </w:num>
  <w:num w:numId="64">
    <w:abstractNumId w:val="53"/>
  </w:num>
  <w:num w:numId="65">
    <w:abstractNumId w:val="38"/>
  </w:num>
  <w:num w:numId="66">
    <w:abstractNumId w:val="58"/>
  </w:num>
  <w:num w:numId="67">
    <w:abstractNumId w:val="4"/>
  </w:num>
  <w:num w:numId="68">
    <w:abstractNumId w:val="59"/>
  </w:num>
  <w:num w:numId="69">
    <w:abstractNumId w:val="12"/>
  </w:num>
  <w:num w:numId="70">
    <w:abstractNumId w:val="18"/>
  </w:num>
  <w:num w:numId="71">
    <w:abstractNumId w:val="74"/>
  </w:num>
  <w:num w:numId="72">
    <w:abstractNumId w:val="93"/>
  </w:num>
  <w:num w:numId="73">
    <w:abstractNumId w:val="13"/>
  </w:num>
  <w:num w:numId="74">
    <w:abstractNumId w:val="103"/>
  </w:num>
  <w:num w:numId="75">
    <w:abstractNumId w:val="100"/>
  </w:num>
  <w:num w:numId="76">
    <w:abstractNumId w:val="20"/>
  </w:num>
  <w:num w:numId="77">
    <w:abstractNumId w:val="10"/>
  </w:num>
  <w:num w:numId="78">
    <w:abstractNumId w:val="52"/>
  </w:num>
  <w:num w:numId="79">
    <w:abstractNumId w:val="79"/>
  </w:num>
  <w:num w:numId="80">
    <w:abstractNumId w:val="33"/>
  </w:num>
  <w:num w:numId="81">
    <w:abstractNumId w:val="17"/>
  </w:num>
  <w:num w:numId="82">
    <w:abstractNumId w:val="89"/>
  </w:num>
  <w:num w:numId="83">
    <w:abstractNumId w:val="65"/>
  </w:num>
  <w:num w:numId="84">
    <w:abstractNumId w:val="96"/>
  </w:num>
  <w:num w:numId="85">
    <w:abstractNumId w:val="54"/>
  </w:num>
  <w:num w:numId="86">
    <w:abstractNumId w:val="72"/>
  </w:num>
  <w:num w:numId="87">
    <w:abstractNumId w:val="68"/>
  </w:num>
  <w:num w:numId="88">
    <w:abstractNumId w:val="94"/>
  </w:num>
  <w:num w:numId="89">
    <w:abstractNumId w:val="35"/>
  </w:num>
  <w:num w:numId="90">
    <w:abstractNumId w:val="29"/>
  </w:num>
  <w:num w:numId="91">
    <w:abstractNumId w:val="19"/>
  </w:num>
  <w:num w:numId="92">
    <w:abstractNumId w:val="48"/>
  </w:num>
  <w:num w:numId="93">
    <w:abstractNumId w:val="67"/>
  </w:num>
  <w:num w:numId="94">
    <w:abstractNumId w:val="104"/>
  </w:num>
  <w:num w:numId="95">
    <w:abstractNumId w:val="92"/>
  </w:num>
  <w:num w:numId="96">
    <w:abstractNumId w:val="2"/>
  </w:num>
  <w:num w:numId="97">
    <w:abstractNumId w:val="27"/>
  </w:num>
  <w:num w:numId="98">
    <w:abstractNumId w:val="63"/>
  </w:num>
  <w:num w:numId="99">
    <w:abstractNumId w:val="9"/>
  </w:num>
  <w:num w:numId="100">
    <w:abstractNumId w:val="1"/>
  </w:num>
  <w:num w:numId="101">
    <w:abstractNumId w:val="51"/>
  </w:num>
  <w:num w:numId="102">
    <w:abstractNumId w:val="57"/>
  </w:num>
  <w:num w:numId="103">
    <w:abstractNumId w:val="62"/>
  </w:num>
  <w:num w:numId="104">
    <w:abstractNumId w:val="70"/>
  </w:num>
  <w:num w:numId="105">
    <w:abstractNumId w:val="22"/>
  </w:num>
  <w:num w:numId="106">
    <w:abstractNumId w:val="102"/>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6"/>
  <w:proofState w:spelling="clean" w:grammar="clean"/>
  <w:defaultTabStop w:val="720"/>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rsids>
    <w:rsidRoot w:val="00AD7420"/>
    <w:rsid w:val="00003131"/>
    <w:rsid w:val="00005291"/>
    <w:rsid w:val="00005DB9"/>
    <w:rsid w:val="00006555"/>
    <w:rsid w:val="00033AD9"/>
    <w:rsid w:val="0003416F"/>
    <w:rsid w:val="000362B9"/>
    <w:rsid w:val="00036549"/>
    <w:rsid w:val="000436E1"/>
    <w:rsid w:val="00043886"/>
    <w:rsid w:val="000458CA"/>
    <w:rsid w:val="0005152D"/>
    <w:rsid w:val="00053162"/>
    <w:rsid w:val="00055544"/>
    <w:rsid w:val="0005671F"/>
    <w:rsid w:val="00057E23"/>
    <w:rsid w:val="00063F56"/>
    <w:rsid w:val="000658C5"/>
    <w:rsid w:val="00071034"/>
    <w:rsid w:val="00072B5A"/>
    <w:rsid w:val="00076CF6"/>
    <w:rsid w:val="0007741F"/>
    <w:rsid w:val="00077A1A"/>
    <w:rsid w:val="00080646"/>
    <w:rsid w:val="000874E2"/>
    <w:rsid w:val="00087E24"/>
    <w:rsid w:val="00092245"/>
    <w:rsid w:val="00093BA4"/>
    <w:rsid w:val="00093BC0"/>
    <w:rsid w:val="00095050"/>
    <w:rsid w:val="0009781A"/>
    <w:rsid w:val="00097CDC"/>
    <w:rsid w:val="000A2214"/>
    <w:rsid w:val="000B041A"/>
    <w:rsid w:val="000C4841"/>
    <w:rsid w:val="000C78E4"/>
    <w:rsid w:val="000D1339"/>
    <w:rsid w:val="000D318F"/>
    <w:rsid w:val="000D48DA"/>
    <w:rsid w:val="000E19F7"/>
    <w:rsid w:val="000E63DC"/>
    <w:rsid w:val="000F35F1"/>
    <w:rsid w:val="000F50FE"/>
    <w:rsid w:val="000F6CBD"/>
    <w:rsid w:val="00103702"/>
    <w:rsid w:val="00104A99"/>
    <w:rsid w:val="00107907"/>
    <w:rsid w:val="00121CBC"/>
    <w:rsid w:val="0012358C"/>
    <w:rsid w:val="0013681C"/>
    <w:rsid w:val="00141BD0"/>
    <w:rsid w:val="00143EBA"/>
    <w:rsid w:val="001446C0"/>
    <w:rsid w:val="0014507A"/>
    <w:rsid w:val="0015086E"/>
    <w:rsid w:val="00154E4E"/>
    <w:rsid w:val="0015558F"/>
    <w:rsid w:val="001655FA"/>
    <w:rsid w:val="001737CB"/>
    <w:rsid w:val="0017660F"/>
    <w:rsid w:val="00180FDE"/>
    <w:rsid w:val="00184E0B"/>
    <w:rsid w:val="00185A94"/>
    <w:rsid w:val="00185B79"/>
    <w:rsid w:val="001908C5"/>
    <w:rsid w:val="0019238C"/>
    <w:rsid w:val="00193C8F"/>
    <w:rsid w:val="00194274"/>
    <w:rsid w:val="00196871"/>
    <w:rsid w:val="001B217B"/>
    <w:rsid w:val="001B36D0"/>
    <w:rsid w:val="001B5F99"/>
    <w:rsid w:val="001B714D"/>
    <w:rsid w:val="001B759C"/>
    <w:rsid w:val="001B79CA"/>
    <w:rsid w:val="001C2B36"/>
    <w:rsid w:val="001C527E"/>
    <w:rsid w:val="001C528D"/>
    <w:rsid w:val="001C54BE"/>
    <w:rsid w:val="001D26D4"/>
    <w:rsid w:val="001D509C"/>
    <w:rsid w:val="001E521D"/>
    <w:rsid w:val="001E78BB"/>
    <w:rsid w:val="001F22E0"/>
    <w:rsid w:val="00201E9C"/>
    <w:rsid w:val="00203536"/>
    <w:rsid w:val="00215B98"/>
    <w:rsid w:val="00216878"/>
    <w:rsid w:val="00221F35"/>
    <w:rsid w:val="00224043"/>
    <w:rsid w:val="00227935"/>
    <w:rsid w:val="00227F90"/>
    <w:rsid w:val="00233E37"/>
    <w:rsid w:val="00251611"/>
    <w:rsid w:val="002556D4"/>
    <w:rsid w:val="002577F1"/>
    <w:rsid w:val="00265448"/>
    <w:rsid w:val="00265E32"/>
    <w:rsid w:val="00265E9D"/>
    <w:rsid w:val="00275289"/>
    <w:rsid w:val="0028121A"/>
    <w:rsid w:val="0028329E"/>
    <w:rsid w:val="00285458"/>
    <w:rsid w:val="002938E4"/>
    <w:rsid w:val="00296897"/>
    <w:rsid w:val="002A3509"/>
    <w:rsid w:val="002A681A"/>
    <w:rsid w:val="002A6C03"/>
    <w:rsid w:val="002B4215"/>
    <w:rsid w:val="002B509A"/>
    <w:rsid w:val="002C75A0"/>
    <w:rsid w:val="002D0DF5"/>
    <w:rsid w:val="002D3856"/>
    <w:rsid w:val="002E21C3"/>
    <w:rsid w:val="002E2AC0"/>
    <w:rsid w:val="002E3B1B"/>
    <w:rsid w:val="002E4BBE"/>
    <w:rsid w:val="002F1FA0"/>
    <w:rsid w:val="002F2427"/>
    <w:rsid w:val="002F740B"/>
    <w:rsid w:val="00300BCC"/>
    <w:rsid w:val="00304010"/>
    <w:rsid w:val="003045E6"/>
    <w:rsid w:val="00305E30"/>
    <w:rsid w:val="00307348"/>
    <w:rsid w:val="00323B4C"/>
    <w:rsid w:val="00324B87"/>
    <w:rsid w:val="003262E9"/>
    <w:rsid w:val="00326B5C"/>
    <w:rsid w:val="003277F9"/>
    <w:rsid w:val="00334D4B"/>
    <w:rsid w:val="00335E2A"/>
    <w:rsid w:val="00345DA7"/>
    <w:rsid w:val="003464D1"/>
    <w:rsid w:val="00347DA6"/>
    <w:rsid w:val="00355347"/>
    <w:rsid w:val="00357B7C"/>
    <w:rsid w:val="003629B2"/>
    <w:rsid w:val="003647E3"/>
    <w:rsid w:val="00365AE0"/>
    <w:rsid w:val="00372374"/>
    <w:rsid w:val="0037488C"/>
    <w:rsid w:val="00375611"/>
    <w:rsid w:val="00376792"/>
    <w:rsid w:val="00382E20"/>
    <w:rsid w:val="00383D41"/>
    <w:rsid w:val="003921B0"/>
    <w:rsid w:val="00392DB9"/>
    <w:rsid w:val="00397EFA"/>
    <w:rsid w:val="003A0E2A"/>
    <w:rsid w:val="003A264D"/>
    <w:rsid w:val="003A3367"/>
    <w:rsid w:val="003A4101"/>
    <w:rsid w:val="003B124D"/>
    <w:rsid w:val="003B2863"/>
    <w:rsid w:val="003B2FC2"/>
    <w:rsid w:val="003B7943"/>
    <w:rsid w:val="003C2939"/>
    <w:rsid w:val="003C3BD3"/>
    <w:rsid w:val="003E025A"/>
    <w:rsid w:val="003E033A"/>
    <w:rsid w:val="003E6449"/>
    <w:rsid w:val="003E64FE"/>
    <w:rsid w:val="003F0AA6"/>
    <w:rsid w:val="0040336D"/>
    <w:rsid w:val="0040519D"/>
    <w:rsid w:val="004057F9"/>
    <w:rsid w:val="00411259"/>
    <w:rsid w:val="004134A0"/>
    <w:rsid w:val="004141C9"/>
    <w:rsid w:val="004303BC"/>
    <w:rsid w:val="004375ED"/>
    <w:rsid w:val="00437CF4"/>
    <w:rsid w:val="0044357D"/>
    <w:rsid w:val="00444FF8"/>
    <w:rsid w:val="00452B4F"/>
    <w:rsid w:val="00455F59"/>
    <w:rsid w:val="00461888"/>
    <w:rsid w:val="00463F06"/>
    <w:rsid w:val="00466466"/>
    <w:rsid w:val="0047232F"/>
    <w:rsid w:val="00472E28"/>
    <w:rsid w:val="0047390B"/>
    <w:rsid w:val="00473DE8"/>
    <w:rsid w:val="00476C8A"/>
    <w:rsid w:val="00481DAB"/>
    <w:rsid w:val="00484A1A"/>
    <w:rsid w:val="00490F3F"/>
    <w:rsid w:val="004A366F"/>
    <w:rsid w:val="004A4FB6"/>
    <w:rsid w:val="004A6591"/>
    <w:rsid w:val="004B25CF"/>
    <w:rsid w:val="004B421B"/>
    <w:rsid w:val="004B4A32"/>
    <w:rsid w:val="004B5A73"/>
    <w:rsid w:val="004C054F"/>
    <w:rsid w:val="004C0BD2"/>
    <w:rsid w:val="004D0876"/>
    <w:rsid w:val="004D75CF"/>
    <w:rsid w:val="004E77BC"/>
    <w:rsid w:val="00502970"/>
    <w:rsid w:val="005039D5"/>
    <w:rsid w:val="00504828"/>
    <w:rsid w:val="00507581"/>
    <w:rsid w:val="00510979"/>
    <w:rsid w:val="00511961"/>
    <w:rsid w:val="00515878"/>
    <w:rsid w:val="00521C97"/>
    <w:rsid w:val="00524A3A"/>
    <w:rsid w:val="00525D21"/>
    <w:rsid w:val="005312C9"/>
    <w:rsid w:val="00536C7F"/>
    <w:rsid w:val="00536E1B"/>
    <w:rsid w:val="0054122B"/>
    <w:rsid w:val="00543440"/>
    <w:rsid w:val="005446FB"/>
    <w:rsid w:val="00545F22"/>
    <w:rsid w:val="00546A88"/>
    <w:rsid w:val="00551981"/>
    <w:rsid w:val="005521DF"/>
    <w:rsid w:val="00552313"/>
    <w:rsid w:val="00554A2F"/>
    <w:rsid w:val="005550C1"/>
    <w:rsid w:val="0056105F"/>
    <w:rsid w:val="0056181C"/>
    <w:rsid w:val="00563909"/>
    <w:rsid w:val="005645B6"/>
    <w:rsid w:val="00570071"/>
    <w:rsid w:val="0057042D"/>
    <w:rsid w:val="00573544"/>
    <w:rsid w:val="00583864"/>
    <w:rsid w:val="00594B45"/>
    <w:rsid w:val="005967F9"/>
    <w:rsid w:val="00597A4A"/>
    <w:rsid w:val="005A2E2B"/>
    <w:rsid w:val="005A4966"/>
    <w:rsid w:val="005A6B95"/>
    <w:rsid w:val="005A703E"/>
    <w:rsid w:val="005B1A5C"/>
    <w:rsid w:val="005B4BC7"/>
    <w:rsid w:val="005C0DF8"/>
    <w:rsid w:val="005C2D09"/>
    <w:rsid w:val="005C33DE"/>
    <w:rsid w:val="005C4050"/>
    <w:rsid w:val="005D00FA"/>
    <w:rsid w:val="005D7BA4"/>
    <w:rsid w:val="005E4664"/>
    <w:rsid w:val="005E4B27"/>
    <w:rsid w:val="006068CA"/>
    <w:rsid w:val="00615386"/>
    <w:rsid w:val="00626F74"/>
    <w:rsid w:val="0063074B"/>
    <w:rsid w:val="0063219B"/>
    <w:rsid w:val="00640967"/>
    <w:rsid w:val="006532D4"/>
    <w:rsid w:val="00654DF3"/>
    <w:rsid w:val="00656F2D"/>
    <w:rsid w:val="00663CF5"/>
    <w:rsid w:val="00664643"/>
    <w:rsid w:val="00665D03"/>
    <w:rsid w:val="00666BF3"/>
    <w:rsid w:val="00676A8A"/>
    <w:rsid w:val="00676C48"/>
    <w:rsid w:val="006821FF"/>
    <w:rsid w:val="00682C7E"/>
    <w:rsid w:val="00683164"/>
    <w:rsid w:val="00683842"/>
    <w:rsid w:val="00687D3D"/>
    <w:rsid w:val="006A0D3A"/>
    <w:rsid w:val="006A206C"/>
    <w:rsid w:val="006A227C"/>
    <w:rsid w:val="006A2321"/>
    <w:rsid w:val="006B4E83"/>
    <w:rsid w:val="006C0A51"/>
    <w:rsid w:val="006C3DF6"/>
    <w:rsid w:val="006D5EB9"/>
    <w:rsid w:val="006D7371"/>
    <w:rsid w:val="006E0B8A"/>
    <w:rsid w:val="006E4391"/>
    <w:rsid w:val="006F0DD2"/>
    <w:rsid w:val="006F38DE"/>
    <w:rsid w:val="006F614E"/>
    <w:rsid w:val="006F794C"/>
    <w:rsid w:val="00700E3E"/>
    <w:rsid w:val="00706281"/>
    <w:rsid w:val="0071276B"/>
    <w:rsid w:val="0072022E"/>
    <w:rsid w:val="00720345"/>
    <w:rsid w:val="0072387D"/>
    <w:rsid w:val="00723948"/>
    <w:rsid w:val="007247B7"/>
    <w:rsid w:val="00735F6F"/>
    <w:rsid w:val="00737B15"/>
    <w:rsid w:val="007451EA"/>
    <w:rsid w:val="007474CA"/>
    <w:rsid w:val="00750A1C"/>
    <w:rsid w:val="00756B53"/>
    <w:rsid w:val="007575E9"/>
    <w:rsid w:val="0076413E"/>
    <w:rsid w:val="00764555"/>
    <w:rsid w:val="00766035"/>
    <w:rsid w:val="00771A6C"/>
    <w:rsid w:val="007724D8"/>
    <w:rsid w:val="007774B7"/>
    <w:rsid w:val="00781D06"/>
    <w:rsid w:val="00782AF9"/>
    <w:rsid w:val="00785A7B"/>
    <w:rsid w:val="0079151A"/>
    <w:rsid w:val="007A37ED"/>
    <w:rsid w:val="007A4194"/>
    <w:rsid w:val="007C1565"/>
    <w:rsid w:val="007C4D68"/>
    <w:rsid w:val="007F1468"/>
    <w:rsid w:val="007F36ED"/>
    <w:rsid w:val="007F3948"/>
    <w:rsid w:val="00801C3B"/>
    <w:rsid w:val="00802A95"/>
    <w:rsid w:val="00805B0B"/>
    <w:rsid w:val="0080741D"/>
    <w:rsid w:val="00807A25"/>
    <w:rsid w:val="00811D23"/>
    <w:rsid w:val="008200EA"/>
    <w:rsid w:val="008209ED"/>
    <w:rsid w:val="00821C2A"/>
    <w:rsid w:val="0082364C"/>
    <w:rsid w:val="008267D7"/>
    <w:rsid w:val="008279F7"/>
    <w:rsid w:val="00832422"/>
    <w:rsid w:val="00833824"/>
    <w:rsid w:val="008351A4"/>
    <w:rsid w:val="00836B95"/>
    <w:rsid w:val="00852D63"/>
    <w:rsid w:val="0086391A"/>
    <w:rsid w:val="00870533"/>
    <w:rsid w:val="00873FE5"/>
    <w:rsid w:val="008852FF"/>
    <w:rsid w:val="008940C1"/>
    <w:rsid w:val="008957B7"/>
    <w:rsid w:val="008960B9"/>
    <w:rsid w:val="008A2E3C"/>
    <w:rsid w:val="008A51F8"/>
    <w:rsid w:val="008B5A6E"/>
    <w:rsid w:val="008C018B"/>
    <w:rsid w:val="008D031C"/>
    <w:rsid w:val="008D2150"/>
    <w:rsid w:val="008D25E9"/>
    <w:rsid w:val="008D2ACD"/>
    <w:rsid w:val="008D2E39"/>
    <w:rsid w:val="008D5AE5"/>
    <w:rsid w:val="008D5D37"/>
    <w:rsid w:val="008E18B4"/>
    <w:rsid w:val="008E1EBD"/>
    <w:rsid w:val="008E440E"/>
    <w:rsid w:val="008E7448"/>
    <w:rsid w:val="008F0359"/>
    <w:rsid w:val="008F0438"/>
    <w:rsid w:val="008F0C16"/>
    <w:rsid w:val="008F12B6"/>
    <w:rsid w:val="00903CFB"/>
    <w:rsid w:val="009041FD"/>
    <w:rsid w:val="009049AA"/>
    <w:rsid w:val="00927C97"/>
    <w:rsid w:val="00927D86"/>
    <w:rsid w:val="009345F9"/>
    <w:rsid w:val="009347B8"/>
    <w:rsid w:val="00934B1C"/>
    <w:rsid w:val="0097132C"/>
    <w:rsid w:val="009728DC"/>
    <w:rsid w:val="009806F0"/>
    <w:rsid w:val="009845FB"/>
    <w:rsid w:val="00987786"/>
    <w:rsid w:val="009905BF"/>
    <w:rsid w:val="00994763"/>
    <w:rsid w:val="009954CC"/>
    <w:rsid w:val="009A0058"/>
    <w:rsid w:val="009B1FCD"/>
    <w:rsid w:val="009B2C8D"/>
    <w:rsid w:val="009B323C"/>
    <w:rsid w:val="009B67E8"/>
    <w:rsid w:val="009B7B3E"/>
    <w:rsid w:val="009C2746"/>
    <w:rsid w:val="009C2A6D"/>
    <w:rsid w:val="009C308A"/>
    <w:rsid w:val="009C4367"/>
    <w:rsid w:val="009C661F"/>
    <w:rsid w:val="009D7877"/>
    <w:rsid w:val="009E011B"/>
    <w:rsid w:val="009E13A7"/>
    <w:rsid w:val="009E45D4"/>
    <w:rsid w:val="009E6B29"/>
    <w:rsid w:val="009E7FE8"/>
    <w:rsid w:val="009F1430"/>
    <w:rsid w:val="009F16CD"/>
    <w:rsid w:val="009F2103"/>
    <w:rsid w:val="009F28DA"/>
    <w:rsid w:val="009F2AA6"/>
    <w:rsid w:val="009F3A52"/>
    <w:rsid w:val="009F4060"/>
    <w:rsid w:val="009F428E"/>
    <w:rsid w:val="009F7B89"/>
    <w:rsid w:val="00A029D6"/>
    <w:rsid w:val="00A102AE"/>
    <w:rsid w:val="00A1031D"/>
    <w:rsid w:val="00A272D1"/>
    <w:rsid w:val="00A30ACB"/>
    <w:rsid w:val="00A331B4"/>
    <w:rsid w:val="00A33A76"/>
    <w:rsid w:val="00A33BF8"/>
    <w:rsid w:val="00A36278"/>
    <w:rsid w:val="00A411BC"/>
    <w:rsid w:val="00A50F40"/>
    <w:rsid w:val="00A517C2"/>
    <w:rsid w:val="00A54A0D"/>
    <w:rsid w:val="00A54BCA"/>
    <w:rsid w:val="00A60871"/>
    <w:rsid w:val="00A621D6"/>
    <w:rsid w:val="00A700B0"/>
    <w:rsid w:val="00A75318"/>
    <w:rsid w:val="00A810C9"/>
    <w:rsid w:val="00A82A48"/>
    <w:rsid w:val="00A841F7"/>
    <w:rsid w:val="00A87912"/>
    <w:rsid w:val="00A90BA2"/>
    <w:rsid w:val="00A914E0"/>
    <w:rsid w:val="00A920B1"/>
    <w:rsid w:val="00A95C9A"/>
    <w:rsid w:val="00A9659F"/>
    <w:rsid w:val="00AA3085"/>
    <w:rsid w:val="00AA481F"/>
    <w:rsid w:val="00AB1C7C"/>
    <w:rsid w:val="00AB3487"/>
    <w:rsid w:val="00AB3C89"/>
    <w:rsid w:val="00AC2182"/>
    <w:rsid w:val="00AC35CE"/>
    <w:rsid w:val="00AC4AE8"/>
    <w:rsid w:val="00AD0AFB"/>
    <w:rsid w:val="00AD5914"/>
    <w:rsid w:val="00AD7420"/>
    <w:rsid w:val="00AE4E48"/>
    <w:rsid w:val="00AE624E"/>
    <w:rsid w:val="00B00736"/>
    <w:rsid w:val="00B0472C"/>
    <w:rsid w:val="00B35627"/>
    <w:rsid w:val="00B35E07"/>
    <w:rsid w:val="00B413C1"/>
    <w:rsid w:val="00B421D1"/>
    <w:rsid w:val="00B517DE"/>
    <w:rsid w:val="00B51DB5"/>
    <w:rsid w:val="00B65DE7"/>
    <w:rsid w:val="00B758CC"/>
    <w:rsid w:val="00B8037B"/>
    <w:rsid w:val="00B81A7B"/>
    <w:rsid w:val="00B84E0F"/>
    <w:rsid w:val="00B84F09"/>
    <w:rsid w:val="00B8614D"/>
    <w:rsid w:val="00B861EC"/>
    <w:rsid w:val="00B91EB9"/>
    <w:rsid w:val="00B9286C"/>
    <w:rsid w:val="00B941AC"/>
    <w:rsid w:val="00BA2DE1"/>
    <w:rsid w:val="00BB0A11"/>
    <w:rsid w:val="00BB197B"/>
    <w:rsid w:val="00BB653D"/>
    <w:rsid w:val="00BC0B3F"/>
    <w:rsid w:val="00BC3460"/>
    <w:rsid w:val="00BD4F7C"/>
    <w:rsid w:val="00BD51CD"/>
    <w:rsid w:val="00BD5C51"/>
    <w:rsid w:val="00BE01D4"/>
    <w:rsid w:val="00BE0E8B"/>
    <w:rsid w:val="00BF56C5"/>
    <w:rsid w:val="00C0110D"/>
    <w:rsid w:val="00C01F46"/>
    <w:rsid w:val="00C045F0"/>
    <w:rsid w:val="00C10A5B"/>
    <w:rsid w:val="00C12DBB"/>
    <w:rsid w:val="00C2171F"/>
    <w:rsid w:val="00C2522B"/>
    <w:rsid w:val="00C32726"/>
    <w:rsid w:val="00C34707"/>
    <w:rsid w:val="00C36CD1"/>
    <w:rsid w:val="00C3715B"/>
    <w:rsid w:val="00C40441"/>
    <w:rsid w:val="00C420C4"/>
    <w:rsid w:val="00C42F34"/>
    <w:rsid w:val="00C42F9B"/>
    <w:rsid w:val="00C47C06"/>
    <w:rsid w:val="00C508C3"/>
    <w:rsid w:val="00C54803"/>
    <w:rsid w:val="00C56851"/>
    <w:rsid w:val="00C57212"/>
    <w:rsid w:val="00C65E91"/>
    <w:rsid w:val="00C67272"/>
    <w:rsid w:val="00C6796C"/>
    <w:rsid w:val="00C813BC"/>
    <w:rsid w:val="00C878F2"/>
    <w:rsid w:val="00C9213A"/>
    <w:rsid w:val="00C9320E"/>
    <w:rsid w:val="00C960F8"/>
    <w:rsid w:val="00CA1833"/>
    <w:rsid w:val="00CA5588"/>
    <w:rsid w:val="00CA7429"/>
    <w:rsid w:val="00CA770D"/>
    <w:rsid w:val="00CB0ECD"/>
    <w:rsid w:val="00CB15F7"/>
    <w:rsid w:val="00CC02CC"/>
    <w:rsid w:val="00CC07D8"/>
    <w:rsid w:val="00CD1AB4"/>
    <w:rsid w:val="00CD3D8C"/>
    <w:rsid w:val="00CD6BC3"/>
    <w:rsid w:val="00CE4FE1"/>
    <w:rsid w:val="00CF036C"/>
    <w:rsid w:val="00CF4108"/>
    <w:rsid w:val="00CF4510"/>
    <w:rsid w:val="00D02EC6"/>
    <w:rsid w:val="00D0436B"/>
    <w:rsid w:val="00D077D9"/>
    <w:rsid w:val="00D10C42"/>
    <w:rsid w:val="00D11622"/>
    <w:rsid w:val="00D11F89"/>
    <w:rsid w:val="00D23283"/>
    <w:rsid w:val="00D25BC0"/>
    <w:rsid w:val="00D272E6"/>
    <w:rsid w:val="00D32DD5"/>
    <w:rsid w:val="00D34A25"/>
    <w:rsid w:val="00D35EA7"/>
    <w:rsid w:val="00D40E77"/>
    <w:rsid w:val="00D44EA6"/>
    <w:rsid w:val="00D57D71"/>
    <w:rsid w:val="00D605A6"/>
    <w:rsid w:val="00D63B91"/>
    <w:rsid w:val="00D65CE1"/>
    <w:rsid w:val="00D750A6"/>
    <w:rsid w:val="00D76500"/>
    <w:rsid w:val="00D85EF6"/>
    <w:rsid w:val="00D95E29"/>
    <w:rsid w:val="00DA55D6"/>
    <w:rsid w:val="00DA620C"/>
    <w:rsid w:val="00DB0455"/>
    <w:rsid w:val="00DB1C74"/>
    <w:rsid w:val="00DC5230"/>
    <w:rsid w:val="00DD1709"/>
    <w:rsid w:val="00DE070C"/>
    <w:rsid w:val="00DE146D"/>
    <w:rsid w:val="00DF0BBE"/>
    <w:rsid w:val="00E00FCC"/>
    <w:rsid w:val="00E01165"/>
    <w:rsid w:val="00E03D2D"/>
    <w:rsid w:val="00E12EF9"/>
    <w:rsid w:val="00E12FD5"/>
    <w:rsid w:val="00E16854"/>
    <w:rsid w:val="00E21F61"/>
    <w:rsid w:val="00E229A6"/>
    <w:rsid w:val="00E33DF8"/>
    <w:rsid w:val="00E350D9"/>
    <w:rsid w:val="00E529A7"/>
    <w:rsid w:val="00E64001"/>
    <w:rsid w:val="00E714C9"/>
    <w:rsid w:val="00E738FF"/>
    <w:rsid w:val="00E742D0"/>
    <w:rsid w:val="00E75FCE"/>
    <w:rsid w:val="00E81977"/>
    <w:rsid w:val="00E83DA2"/>
    <w:rsid w:val="00E83F98"/>
    <w:rsid w:val="00E94152"/>
    <w:rsid w:val="00EA06D1"/>
    <w:rsid w:val="00EA0E4E"/>
    <w:rsid w:val="00EA11DA"/>
    <w:rsid w:val="00EA209C"/>
    <w:rsid w:val="00EA65C8"/>
    <w:rsid w:val="00EA7A4E"/>
    <w:rsid w:val="00EB11DC"/>
    <w:rsid w:val="00EB2577"/>
    <w:rsid w:val="00EB756B"/>
    <w:rsid w:val="00ED0EFF"/>
    <w:rsid w:val="00ED113E"/>
    <w:rsid w:val="00ED56C1"/>
    <w:rsid w:val="00EE0C25"/>
    <w:rsid w:val="00EE39CE"/>
    <w:rsid w:val="00EE5201"/>
    <w:rsid w:val="00EE6C6E"/>
    <w:rsid w:val="00EE78FB"/>
    <w:rsid w:val="00EF321A"/>
    <w:rsid w:val="00EF6D47"/>
    <w:rsid w:val="00F00E76"/>
    <w:rsid w:val="00F03CE6"/>
    <w:rsid w:val="00F0485F"/>
    <w:rsid w:val="00F05A40"/>
    <w:rsid w:val="00F10012"/>
    <w:rsid w:val="00F11A7C"/>
    <w:rsid w:val="00F1263A"/>
    <w:rsid w:val="00F127BF"/>
    <w:rsid w:val="00F30E57"/>
    <w:rsid w:val="00F34007"/>
    <w:rsid w:val="00F34BDA"/>
    <w:rsid w:val="00F35C4A"/>
    <w:rsid w:val="00F438A7"/>
    <w:rsid w:val="00F44529"/>
    <w:rsid w:val="00F45D92"/>
    <w:rsid w:val="00F53BF4"/>
    <w:rsid w:val="00F5569D"/>
    <w:rsid w:val="00F566D2"/>
    <w:rsid w:val="00F60A49"/>
    <w:rsid w:val="00F62AB9"/>
    <w:rsid w:val="00F743C6"/>
    <w:rsid w:val="00F840B4"/>
    <w:rsid w:val="00F86621"/>
    <w:rsid w:val="00F868A7"/>
    <w:rsid w:val="00F91F57"/>
    <w:rsid w:val="00F951AE"/>
    <w:rsid w:val="00F97775"/>
    <w:rsid w:val="00FA1044"/>
    <w:rsid w:val="00FA75E4"/>
    <w:rsid w:val="00FA7EBB"/>
    <w:rsid w:val="00FB426E"/>
    <w:rsid w:val="00FB5E22"/>
    <w:rsid w:val="00FB7DA7"/>
    <w:rsid w:val="00FC13EA"/>
    <w:rsid w:val="00FC4A23"/>
    <w:rsid w:val="00FC757F"/>
    <w:rsid w:val="00FD60CE"/>
    <w:rsid w:val="00FE1F1A"/>
    <w:rsid w:val="00FE2BF7"/>
    <w:rsid w:val="00FE3D5B"/>
    <w:rsid w:val="00FE57A2"/>
    <w:rsid w:val="00FF35C5"/>
    <w:rsid w:val="00FF4CEC"/>
    <w:rsid w:val="00FF6D9F"/>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rules v:ext="edit">
        <o:r id="V:Rule6" type="connector" idref="#_x0000_s1187"/>
        <o:r id="V:Rule7" type="connector" idref="#_x0000_s1188"/>
        <o:r id="V:Rule8" type="connector" idref="#_x0000_s1228"/>
        <o:r id="V:Rule9" type="connector" idref="#_x0000_s1189"/>
        <o:r id="V:Rule10" type="connector" idref="#_x0000_s118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B53"/>
  </w:style>
  <w:style w:type="paragraph" w:styleId="Heading1">
    <w:name w:val="heading 1"/>
    <w:basedOn w:val="Normal"/>
    <w:next w:val="Normal"/>
    <w:link w:val="Heading1Char"/>
    <w:uiPriority w:val="9"/>
    <w:qFormat/>
    <w:rsid w:val="00D272E6"/>
    <w:pPr>
      <w:keepNext/>
      <w:keepLines/>
      <w:pBdr>
        <w:bottom w:val="single" w:sz="8" w:space="1" w:color="4F81BD" w:themeColor="accent1"/>
      </w:pBdr>
      <w:spacing w:before="480" w:after="0" w:line="240" w:lineRule="auto"/>
      <w:outlineLvl w:val="0"/>
    </w:pPr>
    <w:rPr>
      <w:rFonts w:asciiTheme="majorHAnsi" w:eastAsiaTheme="majorEastAsia" w:hAnsiTheme="majorHAnsi" w:cstheme="majorBidi"/>
      <w:b/>
      <w:bCs/>
      <w:color w:val="17365D" w:themeColor="text2" w:themeShade="BF"/>
      <w:sz w:val="52"/>
      <w:szCs w:val="28"/>
    </w:rPr>
  </w:style>
  <w:style w:type="paragraph" w:styleId="Heading2">
    <w:name w:val="heading 2"/>
    <w:basedOn w:val="Normal"/>
    <w:next w:val="Normal"/>
    <w:link w:val="Heading2Char"/>
    <w:uiPriority w:val="9"/>
    <w:unhideWhenUsed/>
    <w:qFormat/>
    <w:rsid w:val="00626F74"/>
    <w:pPr>
      <w:keepNext/>
      <w:keepLines/>
      <w:spacing w:before="200" w:after="0"/>
      <w:outlineLvl w:val="1"/>
    </w:pPr>
    <w:rPr>
      <w:rFonts w:ascii="Gill Sans MT" w:eastAsiaTheme="majorEastAsia" w:hAnsi="Gill Sans MT" w:cstheme="majorBidi"/>
      <w:b/>
      <w:bCs/>
      <w:color w:val="4F81BD" w:themeColor="accent1"/>
      <w:sz w:val="26"/>
      <w:szCs w:val="26"/>
    </w:rPr>
  </w:style>
  <w:style w:type="paragraph" w:styleId="Heading3">
    <w:name w:val="heading 3"/>
    <w:basedOn w:val="Normal"/>
    <w:next w:val="Normal"/>
    <w:link w:val="Heading3Char"/>
    <w:uiPriority w:val="9"/>
    <w:unhideWhenUsed/>
    <w:qFormat/>
    <w:rsid w:val="00626F74"/>
    <w:pPr>
      <w:keepNext/>
      <w:keepLines/>
      <w:spacing w:before="200" w:after="0"/>
      <w:outlineLvl w:val="2"/>
    </w:pPr>
    <w:rPr>
      <w:rFonts w:ascii="Gill Sans MT" w:eastAsiaTheme="majorEastAsia" w:hAnsi="Gill Sans MT" w:cstheme="majorBidi"/>
      <w:b/>
      <w:bCs/>
      <w:color w:val="4F81BD" w:themeColor="accent1"/>
    </w:rPr>
  </w:style>
  <w:style w:type="paragraph" w:styleId="Heading4">
    <w:name w:val="heading 4"/>
    <w:basedOn w:val="Normal"/>
    <w:next w:val="Normal"/>
    <w:link w:val="Heading4Char"/>
    <w:uiPriority w:val="9"/>
    <w:unhideWhenUsed/>
    <w:qFormat/>
    <w:rsid w:val="00626F74"/>
    <w:pPr>
      <w:keepNext/>
      <w:keepLines/>
      <w:spacing w:before="200" w:after="0"/>
      <w:outlineLvl w:val="3"/>
    </w:pPr>
    <w:rPr>
      <w:rFonts w:ascii="Gill Sans MT" w:eastAsiaTheme="majorEastAsia" w:hAnsi="Gill Sans MT" w:cstheme="majorBidi"/>
      <w:b/>
      <w:bCs/>
      <w:i/>
      <w:iCs/>
      <w:color w:val="4F81BD" w:themeColor="accent1"/>
    </w:rPr>
  </w:style>
  <w:style w:type="paragraph" w:styleId="Heading5">
    <w:name w:val="heading 5"/>
    <w:basedOn w:val="Normal"/>
    <w:next w:val="Normal"/>
    <w:link w:val="Heading5Char"/>
    <w:autoRedefine/>
    <w:uiPriority w:val="9"/>
    <w:unhideWhenUsed/>
    <w:qFormat/>
    <w:rsid w:val="00A029D6"/>
    <w:pPr>
      <w:keepNext/>
      <w:keepLines/>
      <w:spacing w:before="200" w:after="0"/>
      <w:outlineLvl w:val="4"/>
    </w:pPr>
    <w:rPr>
      <w:rFonts w:ascii="Gill Sans MT" w:eastAsiaTheme="majorEastAsia" w:hAnsi="Gill Sans MT"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420"/>
    <w:pPr>
      <w:ind w:left="720"/>
      <w:contextualSpacing/>
    </w:pPr>
  </w:style>
  <w:style w:type="paragraph" w:customStyle="1" w:styleId="Default">
    <w:name w:val="Default"/>
    <w:rsid w:val="00AD7420"/>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D76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7650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272E6"/>
    <w:rPr>
      <w:rFonts w:asciiTheme="majorHAnsi" w:eastAsiaTheme="majorEastAsia" w:hAnsiTheme="majorHAnsi" w:cstheme="majorBidi"/>
      <w:b/>
      <w:bCs/>
      <w:color w:val="17365D" w:themeColor="text2" w:themeShade="BF"/>
      <w:sz w:val="52"/>
      <w:szCs w:val="28"/>
    </w:rPr>
  </w:style>
  <w:style w:type="character" w:customStyle="1" w:styleId="InstructionText">
    <w:name w:val="Instruction Text"/>
    <w:basedOn w:val="DefaultParagraphFont"/>
    <w:qFormat/>
    <w:rsid w:val="00626F74"/>
    <w:rPr>
      <w:rFonts w:ascii="Gill Sans MT" w:hAnsi="Gill Sans MT" w:cs="Times New Roman"/>
      <w:i/>
      <w:color w:val="0070C0"/>
      <w:sz w:val="24"/>
    </w:rPr>
  </w:style>
  <w:style w:type="paragraph" w:styleId="BalloonText">
    <w:name w:val="Balloon Text"/>
    <w:basedOn w:val="Normal"/>
    <w:link w:val="BalloonTextChar"/>
    <w:uiPriority w:val="99"/>
    <w:semiHidden/>
    <w:unhideWhenUsed/>
    <w:rsid w:val="00FE2B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BF7"/>
    <w:rPr>
      <w:rFonts w:ascii="Tahoma" w:hAnsi="Tahoma" w:cs="Tahoma"/>
      <w:sz w:val="16"/>
      <w:szCs w:val="16"/>
    </w:rPr>
  </w:style>
  <w:style w:type="character" w:customStyle="1" w:styleId="Heading2Char">
    <w:name w:val="Heading 2 Char"/>
    <w:basedOn w:val="DefaultParagraphFont"/>
    <w:link w:val="Heading2"/>
    <w:uiPriority w:val="9"/>
    <w:rsid w:val="00626F74"/>
    <w:rPr>
      <w:rFonts w:ascii="Gill Sans MT" w:eastAsiaTheme="majorEastAsia" w:hAnsi="Gill Sans MT" w:cstheme="majorBidi"/>
      <w:b/>
      <w:bCs/>
      <w:color w:val="4F81BD" w:themeColor="accent1"/>
      <w:sz w:val="26"/>
      <w:szCs w:val="26"/>
    </w:rPr>
  </w:style>
  <w:style w:type="character" w:customStyle="1" w:styleId="Heading4Char">
    <w:name w:val="Heading 4 Char"/>
    <w:basedOn w:val="DefaultParagraphFont"/>
    <w:link w:val="Heading4"/>
    <w:uiPriority w:val="9"/>
    <w:rsid w:val="00626F74"/>
    <w:rPr>
      <w:rFonts w:ascii="Gill Sans MT" w:eastAsiaTheme="majorEastAsia" w:hAnsi="Gill Sans MT" w:cstheme="majorBidi"/>
      <w:b/>
      <w:bCs/>
      <w:i/>
      <w:iCs/>
      <w:color w:val="4F81BD" w:themeColor="accent1"/>
    </w:rPr>
  </w:style>
  <w:style w:type="character" w:styleId="Strong">
    <w:name w:val="Strong"/>
    <w:basedOn w:val="DefaultParagraphFont"/>
    <w:uiPriority w:val="22"/>
    <w:qFormat/>
    <w:rsid w:val="00AB3487"/>
    <w:rPr>
      <w:rFonts w:cs="Times New Roman"/>
      <w:b/>
      <w:bCs/>
    </w:rPr>
  </w:style>
  <w:style w:type="paragraph" w:customStyle="1" w:styleId="Body">
    <w:name w:val="Body"/>
    <w:aliases w:val="b"/>
    <w:rsid w:val="00AB3487"/>
    <w:pPr>
      <w:spacing w:before="60" w:after="120" w:line="280" w:lineRule="atLeast"/>
    </w:pPr>
    <w:rPr>
      <w:rFonts w:ascii="Arial" w:eastAsia="Times New Roman" w:hAnsi="Arial" w:cs="Times New Roman"/>
      <w:sz w:val="20"/>
      <w:szCs w:val="20"/>
    </w:rPr>
  </w:style>
  <w:style w:type="paragraph" w:customStyle="1" w:styleId="Bullet">
    <w:name w:val="Bullet"/>
    <w:aliases w:val="b1"/>
    <w:basedOn w:val="Body"/>
    <w:rsid w:val="00AB3487"/>
    <w:pPr>
      <w:numPr>
        <w:numId w:val="5"/>
      </w:numPr>
      <w:spacing w:before="0" w:after="100"/>
    </w:pPr>
  </w:style>
  <w:style w:type="character" w:customStyle="1" w:styleId="instructiontext0">
    <w:name w:val="instructiontext"/>
    <w:basedOn w:val="DefaultParagraphFont"/>
    <w:rsid w:val="00AB3487"/>
  </w:style>
  <w:style w:type="character" w:customStyle="1" w:styleId="Heading3Char">
    <w:name w:val="Heading 3 Char"/>
    <w:basedOn w:val="DefaultParagraphFont"/>
    <w:link w:val="Heading3"/>
    <w:uiPriority w:val="9"/>
    <w:rsid w:val="00626F74"/>
    <w:rPr>
      <w:rFonts w:ascii="Gill Sans MT" w:eastAsiaTheme="majorEastAsia" w:hAnsi="Gill Sans MT" w:cstheme="majorBidi"/>
      <w:b/>
      <w:bCs/>
      <w:color w:val="4F81BD" w:themeColor="accent1"/>
    </w:rPr>
  </w:style>
  <w:style w:type="paragraph" w:styleId="Caption">
    <w:name w:val="caption"/>
    <w:basedOn w:val="Normal"/>
    <w:next w:val="Normal"/>
    <w:uiPriority w:val="35"/>
    <w:unhideWhenUsed/>
    <w:qFormat/>
    <w:rsid w:val="00D0436B"/>
    <w:pPr>
      <w:spacing w:line="240" w:lineRule="auto"/>
    </w:pPr>
    <w:rPr>
      <w:rFonts w:ascii="Arial" w:hAnsi="Arial"/>
      <w:b/>
      <w:bCs/>
      <w:color w:val="4F81BD" w:themeColor="accent1"/>
      <w:sz w:val="18"/>
      <w:szCs w:val="18"/>
    </w:rPr>
  </w:style>
  <w:style w:type="paragraph" w:styleId="Subtitle">
    <w:name w:val="Subtitle"/>
    <w:basedOn w:val="Normal"/>
    <w:next w:val="Normal"/>
    <w:link w:val="SubtitleChar"/>
    <w:uiPriority w:val="11"/>
    <w:qFormat/>
    <w:rsid w:val="009345F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9345F9"/>
    <w:rPr>
      <w:rFonts w:asciiTheme="majorHAnsi" w:eastAsiaTheme="majorEastAsia" w:hAnsiTheme="majorHAnsi" w:cstheme="majorBidi"/>
      <w:i/>
      <w:iCs/>
      <w:color w:val="4F81BD" w:themeColor="accent1"/>
      <w:spacing w:val="15"/>
      <w:sz w:val="24"/>
      <w:szCs w:val="24"/>
      <w:lang w:bidi="en-US"/>
    </w:rPr>
  </w:style>
  <w:style w:type="paragraph" w:styleId="FootnoteText">
    <w:name w:val="footnote text"/>
    <w:basedOn w:val="Normal"/>
    <w:link w:val="FootnoteTextChar"/>
    <w:uiPriority w:val="99"/>
    <w:rsid w:val="009345F9"/>
    <w:rPr>
      <w:rFonts w:eastAsiaTheme="minorEastAsia"/>
      <w:sz w:val="20"/>
      <w:szCs w:val="20"/>
      <w:lang w:bidi="en-US"/>
    </w:rPr>
  </w:style>
  <w:style w:type="character" w:customStyle="1" w:styleId="FootnoteTextChar">
    <w:name w:val="Footnote Text Char"/>
    <w:basedOn w:val="DefaultParagraphFont"/>
    <w:link w:val="FootnoteText"/>
    <w:uiPriority w:val="99"/>
    <w:rsid w:val="009345F9"/>
    <w:rPr>
      <w:rFonts w:eastAsiaTheme="minorEastAsia"/>
      <w:sz w:val="20"/>
      <w:szCs w:val="20"/>
      <w:lang w:bidi="en-US"/>
    </w:rPr>
  </w:style>
  <w:style w:type="character" w:styleId="FootnoteReference">
    <w:name w:val="footnote reference"/>
    <w:basedOn w:val="DefaultParagraphFont"/>
    <w:uiPriority w:val="99"/>
    <w:rsid w:val="009345F9"/>
    <w:rPr>
      <w:vertAlign w:val="superscript"/>
    </w:rPr>
  </w:style>
  <w:style w:type="table" w:customStyle="1" w:styleId="LightList-Accent11">
    <w:name w:val="Light List - Accent 11"/>
    <w:basedOn w:val="TableNormal"/>
    <w:uiPriority w:val="61"/>
    <w:rsid w:val="004375E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Grid">
    <w:name w:val="Table Grid"/>
    <w:basedOn w:val="TableNormal"/>
    <w:uiPriority w:val="59"/>
    <w:rsid w:val="001B79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MediumShading1-Accent11">
    <w:name w:val="Medium Shading 1 - Accent 11"/>
    <w:basedOn w:val="TableNormal"/>
    <w:uiPriority w:val="63"/>
    <w:rsid w:val="005B1A5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4">
    <w:name w:val="A4"/>
    <w:uiPriority w:val="99"/>
    <w:rsid w:val="00CE4FE1"/>
    <w:rPr>
      <w:rFonts w:cs="Helvetica 45 Light"/>
      <w:color w:val="000000"/>
      <w:sz w:val="18"/>
      <w:szCs w:val="18"/>
    </w:rPr>
  </w:style>
  <w:style w:type="paragraph" w:styleId="CommentText">
    <w:name w:val="annotation text"/>
    <w:basedOn w:val="Normal"/>
    <w:link w:val="CommentTextChar"/>
    <w:uiPriority w:val="99"/>
    <w:semiHidden/>
    <w:rsid w:val="009B1FCD"/>
    <w:pPr>
      <w:spacing w:after="0" w:line="240" w:lineRule="auto"/>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9B1FCD"/>
    <w:rPr>
      <w:rFonts w:ascii="Times New Roman" w:eastAsia="Times New Roman" w:hAnsi="Times New Roman" w:cs="Times New Roman"/>
      <w:color w:val="000000"/>
      <w:sz w:val="20"/>
      <w:szCs w:val="20"/>
    </w:rPr>
  </w:style>
  <w:style w:type="paragraph" w:customStyle="1" w:styleId="TABLETITLE">
    <w:name w:val="TABLE_TITLE"/>
    <w:basedOn w:val="Normal"/>
    <w:next w:val="Title"/>
    <w:uiPriority w:val="99"/>
    <w:rsid w:val="009B1FCD"/>
    <w:pPr>
      <w:keepNext/>
      <w:keepLines/>
      <w:numPr>
        <w:ilvl w:val="1"/>
        <w:numId w:val="29"/>
      </w:numPr>
      <w:shd w:val="clear" w:color="auto" w:fill="D7EAEA"/>
      <w:tabs>
        <w:tab w:val="clear" w:pos="0"/>
        <w:tab w:val="left" w:pos="1701"/>
      </w:tabs>
      <w:suppressAutoHyphens/>
      <w:spacing w:before="360" w:after="120" w:line="240" w:lineRule="auto"/>
      <w:ind w:left="1701" w:hanging="1701"/>
    </w:pPr>
    <w:rPr>
      <w:rFonts w:ascii="Times New Roman" w:eastAsia="Times New Roman" w:hAnsi="Times New Roman" w:cs="Times New Roman"/>
      <w:b/>
      <w:caps/>
      <w:color w:val="000000"/>
      <w:sz w:val="24"/>
      <w:szCs w:val="24"/>
      <w:lang w:val="en-US"/>
    </w:rPr>
  </w:style>
  <w:style w:type="paragraph" w:customStyle="1" w:styleId="CHAPTERHEADING1">
    <w:name w:val="CHAPTER_HEADING1"/>
    <w:basedOn w:val="Heading1"/>
    <w:uiPriority w:val="99"/>
    <w:rsid w:val="009B1FCD"/>
    <w:pPr>
      <w:pageBreakBefore/>
      <w:widowControl w:val="0"/>
      <w:numPr>
        <w:numId w:val="29"/>
      </w:numPr>
      <w:shd w:val="clear" w:color="auto" w:fill="E6E6E6"/>
      <w:tabs>
        <w:tab w:val="left" w:pos="1800"/>
      </w:tabs>
      <w:suppressAutoHyphens/>
      <w:spacing w:before="240" w:after="480" w:line="360" w:lineRule="atLeast"/>
    </w:pPr>
    <w:rPr>
      <w:rFonts w:ascii="Arial Narrow" w:eastAsia="Times New Roman" w:hAnsi="Arial Narrow" w:cs="Arial"/>
      <w:b w:val="0"/>
      <w:color w:val="000000"/>
      <w:spacing w:val="24"/>
      <w:kern w:val="32"/>
      <w:sz w:val="32"/>
      <w:szCs w:val="32"/>
    </w:rPr>
  </w:style>
  <w:style w:type="paragraph" w:customStyle="1" w:styleId="Standard">
    <w:name w:val="Standard"/>
    <w:rsid w:val="009B1FCD"/>
    <w:pPr>
      <w:suppressAutoHyphens/>
      <w:autoSpaceDN w:val="0"/>
      <w:spacing w:after="0" w:line="240" w:lineRule="auto"/>
      <w:ind w:right="-1054"/>
      <w:textAlignment w:val="baseline"/>
    </w:pPr>
    <w:rPr>
      <w:rFonts w:ascii="GillSans Light" w:eastAsia="Times New Roman" w:hAnsi="GillSans Light" w:cs="Times New Roman"/>
      <w:kern w:val="3"/>
      <w:sz w:val="24"/>
      <w:szCs w:val="24"/>
    </w:rPr>
  </w:style>
  <w:style w:type="paragraph" w:styleId="Header">
    <w:name w:val="header"/>
    <w:basedOn w:val="Normal"/>
    <w:link w:val="HeaderChar"/>
    <w:uiPriority w:val="99"/>
    <w:rsid w:val="009B1FCD"/>
    <w:pPr>
      <w:tabs>
        <w:tab w:val="center" w:pos="4153"/>
        <w:tab w:val="right" w:pos="8306"/>
      </w:tabs>
      <w:spacing w:after="0" w:line="240" w:lineRule="auto"/>
      <w:ind w:right="-1054"/>
    </w:pPr>
    <w:rPr>
      <w:rFonts w:ascii="GillSans Light" w:eastAsia="Times New Roman" w:hAnsi="GillSans Light" w:cs="Times New Roman"/>
      <w:sz w:val="24"/>
      <w:szCs w:val="24"/>
    </w:rPr>
  </w:style>
  <w:style w:type="character" w:customStyle="1" w:styleId="HeaderChar">
    <w:name w:val="Header Char"/>
    <w:basedOn w:val="DefaultParagraphFont"/>
    <w:link w:val="Header"/>
    <w:uiPriority w:val="99"/>
    <w:rsid w:val="009B1FCD"/>
    <w:rPr>
      <w:rFonts w:ascii="GillSans Light" w:eastAsia="Times New Roman" w:hAnsi="GillSans Light" w:cs="Times New Roman"/>
      <w:sz w:val="24"/>
      <w:szCs w:val="24"/>
    </w:rPr>
  </w:style>
  <w:style w:type="paragraph" w:styleId="Footer">
    <w:name w:val="footer"/>
    <w:basedOn w:val="Normal"/>
    <w:link w:val="FooterChar"/>
    <w:uiPriority w:val="99"/>
    <w:unhideWhenUsed/>
    <w:rsid w:val="00B861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14D"/>
  </w:style>
  <w:style w:type="paragraph" w:customStyle="1" w:styleId="Ahheading2">
    <w:name w:val="Ah heading 2"/>
    <w:basedOn w:val="Normal"/>
    <w:autoRedefine/>
    <w:rsid w:val="008940C1"/>
    <w:pPr>
      <w:spacing w:after="240" w:line="240" w:lineRule="auto"/>
    </w:pPr>
    <w:rPr>
      <w:rFonts w:ascii="Arial" w:eastAsia="Times New Roman" w:hAnsi="Arial" w:cs="Arial"/>
      <w:b/>
      <w:sz w:val="32"/>
      <w:szCs w:val="32"/>
    </w:rPr>
  </w:style>
  <w:style w:type="character" w:customStyle="1" w:styleId="KeyMessageTextChar">
    <w:name w:val="KeyMessageText Char"/>
    <w:basedOn w:val="DefaultParagraphFont"/>
    <w:link w:val="KeyMessageText"/>
    <w:locked/>
    <w:rsid w:val="008940C1"/>
    <w:rPr>
      <w:rFonts w:ascii="Gill Sans MT" w:hAnsi="Gill Sans MT"/>
      <w:sz w:val="32"/>
      <w:szCs w:val="32"/>
    </w:rPr>
  </w:style>
  <w:style w:type="paragraph" w:customStyle="1" w:styleId="KeyMessageText">
    <w:name w:val="KeyMessageText"/>
    <w:basedOn w:val="Normal"/>
    <w:link w:val="KeyMessageTextChar"/>
    <w:qFormat/>
    <w:rsid w:val="008940C1"/>
    <w:pPr>
      <w:numPr>
        <w:numId w:val="46"/>
      </w:numPr>
      <w:spacing w:after="240" w:line="240" w:lineRule="auto"/>
      <w:ind w:left="357" w:hanging="357"/>
    </w:pPr>
    <w:rPr>
      <w:rFonts w:ascii="Gill Sans MT" w:hAnsi="Gill Sans MT"/>
      <w:sz w:val="32"/>
      <w:szCs w:val="32"/>
    </w:rPr>
  </w:style>
  <w:style w:type="paragraph" w:styleId="NoSpacing">
    <w:name w:val="No Spacing"/>
    <w:uiPriority w:val="1"/>
    <w:qFormat/>
    <w:rsid w:val="00233E37"/>
    <w:pPr>
      <w:spacing w:after="0" w:line="240" w:lineRule="auto"/>
    </w:pPr>
  </w:style>
  <w:style w:type="character" w:styleId="CommentReference">
    <w:name w:val="annotation reference"/>
    <w:basedOn w:val="DefaultParagraphFont"/>
    <w:uiPriority w:val="99"/>
    <w:semiHidden/>
    <w:unhideWhenUsed/>
    <w:rsid w:val="00B758CC"/>
    <w:rPr>
      <w:sz w:val="16"/>
      <w:szCs w:val="16"/>
    </w:rPr>
  </w:style>
  <w:style w:type="paragraph" w:styleId="CommentSubject">
    <w:name w:val="annotation subject"/>
    <w:basedOn w:val="CommentText"/>
    <w:next w:val="CommentText"/>
    <w:link w:val="CommentSubjectChar"/>
    <w:uiPriority w:val="99"/>
    <w:semiHidden/>
    <w:unhideWhenUsed/>
    <w:rsid w:val="00B758CC"/>
    <w:pPr>
      <w:spacing w:after="20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B758CC"/>
    <w:rPr>
      <w:b/>
      <w:bCs/>
    </w:rPr>
  </w:style>
  <w:style w:type="character" w:styleId="Hyperlink">
    <w:name w:val="Hyperlink"/>
    <w:basedOn w:val="DefaultParagraphFont"/>
    <w:uiPriority w:val="99"/>
    <w:unhideWhenUsed/>
    <w:rsid w:val="00B758CC"/>
    <w:rPr>
      <w:color w:val="0000FF"/>
      <w:u w:val="single"/>
    </w:rPr>
  </w:style>
  <w:style w:type="paragraph" w:styleId="NormalWeb">
    <w:name w:val="Normal (Web)"/>
    <w:basedOn w:val="Normal"/>
    <w:uiPriority w:val="99"/>
    <w:semiHidden/>
    <w:unhideWhenUsed/>
    <w:rsid w:val="00B758C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0">
    <w:name w:val="Para 0"/>
    <w:basedOn w:val="Normal"/>
    <w:rsid w:val="00B758CC"/>
    <w:pPr>
      <w:spacing w:after="220" w:line="300" w:lineRule="auto"/>
    </w:pPr>
    <w:rPr>
      <w:rFonts w:ascii="Times New Roman" w:eastAsia="Times New Roman" w:hAnsi="Times New Roman" w:cs="Times New Roman"/>
      <w:color w:val="000000"/>
      <w:szCs w:val="20"/>
      <w:lang w:val="en-GB"/>
    </w:rPr>
  </w:style>
  <w:style w:type="numbering" w:customStyle="1" w:styleId="Style1">
    <w:name w:val="Style1"/>
    <w:uiPriority w:val="99"/>
    <w:rsid w:val="005550C1"/>
    <w:pPr>
      <w:numPr>
        <w:numId w:val="53"/>
      </w:numPr>
    </w:pPr>
  </w:style>
  <w:style w:type="numbering" w:customStyle="1" w:styleId="Style2">
    <w:name w:val="Style2"/>
    <w:uiPriority w:val="99"/>
    <w:rsid w:val="005550C1"/>
    <w:pPr>
      <w:numPr>
        <w:numId w:val="54"/>
      </w:numPr>
    </w:pPr>
  </w:style>
  <w:style w:type="numbering" w:customStyle="1" w:styleId="Style3">
    <w:name w:val="Style3"/>
    <w:uiPriority w:val="99"/>
    <w:rsid w:val="005550C1"/>
    <w:pPr>
      <w:numPr>
        <w:numId w:val="55"/>
      </w:numPr>
    </w:pPr>
  </w:style>
  <w:style w:type="numbering" w:customStyle="1" w:styleId="Style4">
    <w:name w:val="Style4"/>
    <w:uiPriority w:val="99"/>
    <w:rsid w:val="005550C1"/>
    <w:pPr>
      <w:numPr>
        <w:numId w:val="56"/>
      </w:numPr>
    </w:pPr>
  </w:style>
  <w:style w:type="numbering" w:customStyle="1" w:styleId="Style5">
    <w:name w:val="Style5"/>
    <w:uiPriority w:val="99"/>
    <w:rsid w:val="005550C1"/>
    <w:pPr>
      <w:numPr>
        <w:numId w:val="57"/>
      </w:numPr>
    </w:pPr>
  </w:style>
  <w:style w:type="numbering" w:customStyle="1" w:styleId="Style6">
    <w:name w:val="Style6"/>
    <w:uiPriority w:val="99"/>
    <w:rsid w:val="005550C1"/>
    <w:pPr>
      <w:numPr>
        <w:numId w:val="58"/>
      </w:numPr>
    </w:pPr>
  </w:style>
  <w:style w:type="numbering" w:customStyle="1" w:styleId="Style7">
    <w:name w:val="Style7"/>
    <w:uiPriority w:val="99"/>
    <w:rsid w:val="005550C1"/>
    <w:pPr>
      <w:numPr>
        <w:numId w:val="59"/>
      </w:numPr>
    </w:pPr>
  </w:style>
  <w:style w:type="numbering" w:customStyle="1" w:styleId="Style8">
    <w:name w:val="Style8"/>
    <w:uiPriority w:val="99"/>
    <w:rsid w:val="005550C1"/>
    <w:pPr>
      <w:numPr>
        <w:numId w:val="60"/>
      </w:numPr>
    </w:pPr>
  </w:style>
  <w:style w:type="numbering" w:customStyle="1" w:styleId="Style9">
    <w:name w:val="Style9"/>
    <w:uiPriority w:val="99"/>
    <w:rsid w:val="005550C1"/>
    <w:pPr>
      <w:numPr>
        <w:numId w:val="61"/>
      </w:numPr>
    </w:pPr>
  </w:style>
  <w:style w:type="numbering" w:customStyle="1" w:styleId="Style10">
    <w:name w:val="Style10"/>
    <w:uiPriority w:val="99"/>
    <w:rsid w:val="005550C1"/>
    <w:pPr>
      <w:numPr>
        <w:numId w:val="62"/>
      </w:numPr>
    </w:pPr>
  </w:style>
  <w:style w:type="table" w:styleId="LightShading-Accent5">
    <w:name w:val="Light Shading Accent 5"/>
    <w:basedOn w:val="TableNormal"/>
    <w:uiPriority w:val="60"/>
    <w:rsid w:val="005550C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odyText2">
    <w:name w:val="Body Text 2"/>
    <w:basedOn w:val="Normal"/>
    <w:link w:val="BodyText2Char"/>
    <w:semiHidden/>
    <w:rsid w:val="005550C1"/>
    <w:pPr>
      <w:spacing w:after="0" w:line="360" w:lineRule="auto"/>
      <w:jc w:val="both"/>
    </w:pPr>
    <w:rPr>
      <w:rFonts w:ascii="Arial" w:eastAsia="Times New Roman" w:hAnsi="Arial" w:cs="Times New Roman"/>
      <w:sz w:val="20"/>
      <w:szCs w:val="24"/>
    </w:rPr>
  </w:style>
  <w:style w:type="character" w:customStyle="1" w:styleId="BodyText2Char">
    <w:name w:val="Body Text 2 Char"/>
    <w:basedOn w:val="DefaultParagraphFont"/>
    <w:link w:val="BodyText2"/>
    <w:semiHidden/>
    <w:rsid w:val="005550C1"/>
    <w:rPr>
      <w:rFonts w:ascii="Arial" w:eastAsia="Times New Roman" w:hAnsi="Arial" w:cs="Times New Roman"/>
      <w:sz w:val="20"/>
      <w:szCs w:val="24"/>
    </w:rPr>
  </w:style>
  <w:style w:type="table" w:customStyle="1" w:styleId="LightShading-Accent11">
    <w:name w:val="Light Shading - Accent 11"/>
    <w:basedOn w:val="TableNormal"/>
    <w:uiPriority w:val="60"/>
    <w:rsid w:val="00676A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NSBody">
    <w:name w:val="TNS Body"/>
    <w:basedOn w:val="BodyTextIndent3"/>
    <w:qFormat/>
    <w:rsid w:val="00676A8A"/>
    <w:pPr>
      <w:suppressAutoHyphens/>
      <w:autoSpaceDE w:val="0"/>
      <w:autoSpaceDN w:val="0"/>
      <w:adjustRightInd w:val="0"/>
      <w:spacing w:before="60" w:line="240" w:lineRule="auto"/>
      <w:ind w:left="357"/>
      <w:jc w:val="both"/>
    </w:pPr>
    <w:rPr>
      <w:rFonts w:ascii="Arial" w:eastAsia="Times New Roman" w:hAnsi="Arial" w:cs="Calibri"/>
      <w:bCs/>
      <w:sz w:val="22"/>
      <w:szCs w:val="24"/>
      <w:lang w:val="en-GB" w:eastAsia="en-AU"/>
    </w:rPr>
  </w:style>
  <w:style w:type="paragraph" w:customStyle="1" w:styleId="TNSBullet">
    <w:name w:val="TNS Bullet"/>
    <w:basedOn w:val="Normal"/>
    <w:qFormat/>
    <w:rsid w:val="00676A8A"/>
    <w:pPr>
      <w:numPr>
        <w:numId w:val="94"/>
      </w:numPr>
      <w:suppressAutoHyphens/>
      <w:autoSpaceDE w:val="0"/>
      <w:autoSpaceDN w:val="0"/>
      <w:adjustRightInd w:val="0"/>
      <w:spacing w:before="60" w:after="0" w:line="240" w:lineRule="auto"/>
    </w:pPr>
    <w:rPr>
      <w:rFonts w:ascii="Arial" w:eastAsia="Calibri" w:hAnsi="Arial" w:cs="Times New Roman"/>
      <w:bCs/>
      <w:szCs w:val="20"/>
      <w:lang w:val="en-GB"/>
    </w:rPr>
  </w:style>
  <w:style w:type="table" w:styleId="MediumGrid1-Accent1">
    <w:name w:val="Medium Grid 1 Accent 1"/>
    <w:basedOn w:val="TableNormal"/>
    <w:uiPriority w:val="67"/>
    <w:rsid w:val="00676A8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Indent3">
    <w:name w:val="Body Text Indent 3"/>
    <w:basedOn w:val="Normal"/>
    <w:link w:val="BodyTextIndent3Char"/>
    <w:uiPriority w:val="99"/>
    <w:semiHidden/>
    <w:unhideWhenUsed/>
    <w:rsid w:val="00676A8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76A8A"/>
    <w:rPr>
      <w:sz w:val="16"/>
      <w:szCs w:val="16"/>
    </w:rPr>
  </w:style>
  <w:style w:type="paragraph" w:styleId="TOC1">
    <w:name w:val="toc 1"/>
    <w:basedOn w:val="Normal"/>
    <w:next w:val="Normal"/>
    <w:autoRedefine/>
    <w:uiPriority w:val="39"/>
    <w:unhideWhenUsed/>
    <w:rsid w:val="002938E4"/>
    <w:pPr>
      <w:spacing w:after="100"/>
    </w:pPr>
  </w:style>
  <w:style w:type="paragraph" w:styleId="TOC2">
    <w:name w:val="toc 2"/>
    <w:basedOn w:val="Normal"/>
    <w:next w:val="Normal"/>
    <w:autoRedefine/>
    <w:uiPriority w:val="39"/>
    <w:unhideWhenUsed/>
    <w:rsid w:val="002938E4"/>
    <w:pPr>
      <w:spacing w:after="100"/>
      <w:ind w:left="220"/>
    </w:pPr>
  </w:style>
  <w:style w:type="paragraph" w:styleId="TOCHeading">
    <w:name w:val="TOC Heading"/>
    <w:basedOn w:val="Heading1"/>
    <w:next w:val="Normal"/>
    <w:uiPriority w:val="39"/>
    <w:semiHidden/>
    <w:unhideWhenUsed/>
    <w:qFormat/>
    <w:rsid w:val="00D272E6"/>
    <w:pPr>
      <w:outlineLvl w:val="9"/>
    </w:pPr>
    <w:rPr>
      <w:lang w:val="en-US"/>
    </w:rPr>
  </w:style>
  <w:style w:type="paragraph" w:styleId="TOC3">
    <w:name w:val="toc 3"/>
    <w:basedOn w:val="Normal"/>
    <w:next w:val="Normal"/>
    <w:autoRedefine/>
    <w:uiPriority w:val="39"/>
    <w:unhideWhenUsed/>
    <w:rsid w:val="00D272E6"/>
    <w:pPr>
      <w:spacing w:after="100"/>
      <w:ind w:left="440"/>
    </w:pPr>
  </w:style>
  <w:style w:type="table" w:styleId="LightShading-Accent4">
    <w:name w:val="Light Shading Accent 4"/>
    <w:basedOn w:val="TableNormal"/>
    <w:uiPriority w:val="60"/>
    <w:rsid w:val="00DB045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5Char">
    <w:name w:val="Heading 5 Char"/>
    <w:basedOn w:val="DefaultParagraphFont"/>
    <w:link w:val="Heading5"/>
    <w:uiPriority w:val="9"/>
    <w:rsid w:val="00A029D6"/>
    <w:rPr>
      <w:rFonts w:ascii="Gill Sans MT" w:eastAsiaTheme="majorEastAsia" w:hAnsi="Gill Sans MT" w:cstheme="majorBidi"/>
      <w:b/>
      <w:color w:val="243F60" w:themeColor="accent1" w:themeShade="7F"/>
    </w:rPr>
  </w:style>
  <w:style w:type="character" w:styleId="BookTitle">
    <w:name w:val="Book Title"/>
    <w:basedOn w:val="DefaultParagraphFont"/>
    <w:uiPriority w:val="33"/>
    <w:qFormat/>
    <w:rsid w:val="001C527E"/>
    <w:rPr>
      <w:b/>
      <w:bCs/>
      <w:smallCaps/>
      <w:spacing w:val="5"/>
    </w:rPr>
  </w:style>
  <w:style w:type="table" w:styleId="MediumList2-Accent4">
    <w:name w:val="Medium List 2 Accent 4"/>
    <w:basedOn w:val="TableNormal"/>
    <w:uiPriority w:val="66"/>
    <w:rsid w:val="008A2E3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rsid w:val="008A2E3C"/>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webSettings.xml><?xml version="1.0" encoding="utf-8"?>
<w:webSettings xmlns:r="http://schemas.openxmlformats.org/officeDocument/2006/relationships" xmlns:w="http://schemas.openxmlformats.org/wordprocessingml/2006/main">
  <w:divs>
    <w:div w:id="21562732">
      <w:bodyDiv w:val="1"/>
      <w:marLeft w:val="0"/>
      <w:marRight w:val="0"/>
      <w:marTop w:val="0"/>
      <w:marBottom w:val="0"/>
      <w:divBdr>
        <w:top w:val="none" w:sz="0" w:space="0" w:color="auto"/>
        <w:left w:val="none" w:sz="0" w:space="0" w:color="auto"/>
        <w:bottom w:val="none" w:sz="0" w:space="0" w:color="auto"/>
        <w:right w:val="none" w:sz="0" w:space="0" w:color="auto"/>
      </w:divBdr>
      <w:divsChild>
        <w:div w:id="1005788479">
          <w:marLeft w:val="274"/>
          <w:marRight w:val="0"/>
          <w:marTop w:val="0"/>
          <w:marBottom w:val="120"/>
          <w:divBdr>
            <w:top w:val="none" w:sz="0" w:space="0" w:color="auto"/>
            <w:left w:val="none" w:sz="0" w:space="0" w:color="auto"/>
            <w:bottom w:val="none" w:sz="0" w:space="0" w:color="auto"/>
            <w:right w:val="none" w:sz="0" w:space="0" w:color="auto"/>
          </w:divBdr>
        </w:div>
        <w:div w:id="80181968">
          <w:marLeft w:val="274"/>
          <w:marRight w:val="0"/>
          <w:marTop w:val="0"/>
          <w:marBottom w:val="120"/>
          <w:divBdr>
            <w:top w:val="none" w:sz="0" w:space="0" w:color="auto"/>
            <w:left w:val="none" w:sz="0" w:space="0" w:color="auto"/>
            <w:bottom w:val="none" w:sz="0" w:space="0" w:color="auto"/>
            <w:right w:val="none" w:sz="0" w:space="0" w:color="auto"/>
          </w:divBdr>
        </w:div>
        <w:div w:id="515655957">
          <w:marLeft w:val="274"/>
          <w:marRight w:val="0"/>
          <w:marTop w:val="0"/>
          <w:marBottom w:val="120"/>
          <w:divBdr>
            <w:top w:val="none" w:sz="0" w:space="0" w:color="auto"/>
            <w:left w:val="none" w:sz="0" w:space="0" w:color="auto"/>
            <w:bottom w:val="none" w:sz="0" w:space="0" w:color="auto"/>
            <w:right w:val="none" w:sz="0" w:space="0" w:color="auto"/>
          </w:divBdr>
        </w:div>
        <w:div w:id="995690282">
          <w:marLeft w:val="274"/>
          <w:marRight w:val="0"/>
          <w:marTop w:val="0"/>
          <w:marBottom w:val="120"/>
          <w:divBdr>
            <w:top w:val="none" w:sz="0" w:space="0" w:color="auto"/>
            <w:left w:val="none" w:sz="0" w:space="0" w:color="auto"/>
            <w:bottom w:val="none" w:sz="0" w:space="0" w:color="auto"/>
            <w:right w:val="none" w:sz="0" w:space="0" w:color="auto"/>
          </w:divBdr>
        </w:div>
        <w:div w:id="1418750957">
          <w:marLeft w:val="274"/>
          <w:marRight w:val="0"/>
          <w:marTop w:val="0"/>
          <w:marBottom w:val="120"/>
          <w:divBdr>
            <w:top w:val="none" w:sz="0" w:space="0" w:color="auto"/>
            <w:left w:val="none" w:sz="0" w:space="0" w:color="auto"/>
            <w:bottom w:val="none" w:sz="0" w:space="0" w:color="auto"/>
            <w:right w:val="none" w:sz="0" w:space="0" w:color="auto"/>
          </w:divBdr>
        </w:div>
        <w:div w:id="318114959">
          <w:marLeft w:val="274"/>
          <w:marRight w:val="0"/>
          <w:marTop w:val="0"/>
          <w:marBottom w:val="120"/>
          <w:divBdr>
            <w:top w:val="none" w:sz="0" w:space="0" w:color="auto"/>
            <w:left w:val="none" w:sz="0" w:space="0" w:color="auto"/>
            <w:bottom w:val="none" w:sz="0" w:space="0" w:color="auto"/>
            <w:right w:val="none" w:sz="0" w:space="0" w:color="auto"/>
          </w:divBdr>
        </w:div>
        <w:div w:id="1488011021">
          <w:marLeft w:val="274"/>
          <w:marRight w:val="0"/>
          <w:marTop w:val="0"/>
          <w:marBottom w:val="120"/>
          <w:divBdr>
            <w:top w:val="none" w:sz="0" w:space="0" w:color="auto"/>
            <w:left w:val="none" w:sz="0" w:space="0" w:color="auto"/>
            <w:bottom w:val="none" w:sz="0" w:space="0" w:color="auto"/>
            <w:right w:val="none" w:sz="0" w:space="0" w:color="auto"/>
          </w:divBdr>
        </w:div>
        <w:div w:id="1668702902">
          <w:marLeft w:val="274"/>
          <w:marRight w:val="0"/>
          <w:marTop w:val="0"/>
          <w:marBottom w:val="120"/>
          <w:divBdr>
            <w:top w:val="none" w:sz="0" w:space="0" w:color="auto"/>
            <w:left w:val="none" w:sz="0" w:space="0" w:color="auto"/>
            <w:bottom w:val="none" w:sz="0" w:space="0" w:color="auto"/>
            <w:right w:val="none" w:sz="0" w:space="0" w:color="auto"/>
          </w:divBdr>
        </w:div>
      </w:divsChild>
    </w:div>
    <w:div w:id="214973679">
      <w:bodyDiv w:val="1"/>
      <w:marLeft w:val="0"/>
      <w:marRight w:val="0"/>
      <w:marTop w:val="0"/>
      <w:marBottom w:val="0"/>
      <w:divBdr>
        <w:top w:val="none" w:sz="0" w:space="0" w:color="auto"/>
        <w:left w:val="none" w:sz="0" w:space="0" w:color="auto"/>
        <w:bottom w:val="none" w:sz="0" w:space="0" w:color="auto"/>
        <w:right w:val="none" w:sz="0" w:space="0" w:color="auto"/>
      </w:divBdr>
    </w:div>
    <w:div w:id="417678471">
      <w:bodyDiv w:val="1"/>
      <w:marLeft w:val="0"/>
      <w:marRight w:val="0"/>
      <w:marTop w:val="0"/>
      <w:marBottom w:val="0"/>
      <w:divBdr>
        <w:top w:val="none" w:sz="0" w:space="0" w:color="auto"/>
        <w:left w:val="none" w:sz="0" w:space="0" w:color="auto"/>
        <w:bottom w:val="none" w:sz="0" w:space="0" w:color="auto"/>
        <w:right w:val="none" w:sz="0" w:space="0" w:color="auto"/>
      </w:divBdr>
    </w:div>
    <w:div w:id="441531678">
      <w:bodyDiv w:val="1"/>
      <w:marLeft w:val="0"/>
      <w:marRight w:val="0"/>
      <w:marTop w:val="0"/>
      <w:marBottom w:val="0"/>
      <w:divBdr>
        <w:top w:val="none" w:sz="0" w:space="0" w:color="auto"/>
        <w:left w:val="none" w:sz="0" w:space="0" w:color="auto"/>
        <w:bottom w:val="none" w:sz="0" w:space="0" w:color="auto"/>
        <w:right w:val="none" w:sz="0" w:space="0" w:color="auto"/>
      </w:divBdr>
    </w:div>
    <w:div w:id="560673574">
      <w:bodyDiv w:val="1"/>
      <w:marLeft w:val="0"/>
      <w:marRight w:val="0"/>
      <w:marTop w:val="0"/>
      <w:marBottom w:val="0"/>
      <w:divBdr>
        <w:top w:val="none" w:sz="0" w:space="0" w:color="auto"/>
        <w:left w:val="none" w:sz="0" w:space="0" w:color="auto"/>
        <w:bottom w:val="none" w:sz="0" w:space="0" w:color="auto"/>
        <w:right w:val="none" w:sz="0" w:space="0" w:color="auto"/>
      </w:divBdr>
      <w:divsChild>
        <w:div w:id="1445148820">
          <w:marLeft w:val="274"/>
          <w:marRight w:val="0"/>
          <w:marTop w:val="0"/>
          <w:marBottom w:val="120"/>
          <w:divBdr>
            <w:top w:val="none" w:sz="0" w:space="0" w:color="auto"/>
            <w:left w:val="none" w:sz="0" w:space="0" w:color="auto"/>
            <w:bottom w:val="none" w:sz="0" w:space="0" w:color="auto"/>
            <w:right w:val="none" w:sz="0" w:space="0" w:color="auto"/>
          </w:divBdr>
        </w:div>
      </w:divsChild>
    </w:div>
    <w:div w:id="958148393">
      <w:bodyDiv w:val="1"/>
      <w:marLeft w:val="0"/>
      <w:marRight w:val="0"/>
      <w:marTop w:val="0"/>
      <w:marBottom w:val="0"/>
      <w:divBdr>
        <w:top w:val="none" w:sz="0" w:space="0" w:color="auto"/>
        <w:left w:val="none" w:sz="0" w:space="0" w:color="auto"/>
        <w:bottom w:val="none" w:sz="0" w:space="0" w:color="auto"/>
        <w:right w:val="none" w:sz="0" w:space="0" w:color="auto"/>
      </w:divBdr>
    </w:div>
    <w:div w:id="1054081944">
      <w:bodyDiv w:val="1"/>
      <w:marLeft w:val="0"/>
      <w:marRight w:val="0"/>
      <w:marTop w:val="0"/>
      <w:marBottom w:val="0"/>
      <w:divBdr>
        <w:top w:val="none" w:sz="0" w:space="0" w:color="auto"/>
        <w:left w:val="none" w:sz="0" w:space="0" w:color="auto"/>
        <w:bottom w:val="none" w:sz="0" w:space="0" w:color="auto"/>
        <w:right w:val="none" w:sz="0" w:space="0" w:color="auto"/>
      </w:divBdr>
      <w:divsChild>
        <w:div w:id="823815974">
          <w:marLeft w:val="0"/>
          <w:marRight w:val="0"/>
          <w:marTop w:val="0"/>
          <w:marBottom w:val="0"/>
          <w:divBdr>
            <w:top w:val="none" w:sz="0" w:space="0" w:color="auto"/>
            <w:left w:val="none" w:sz="0" w:space="0" w:color="auto"/>
            <w:bottom w:val="none" w:sz="0" w:space="0" w:color="auto"/>
            <w:right w:val="none" w:sz="0" w:space="0" w:color="auto"/>
          </w:divBdr>
          <w:divsChild>
            <w:div w:id="27998553">
              <w:marLeft w:val="0"/>
              <w:marRight w:val="0"/>
              <w:marTop w:val="0"/>
              <w:marBottom w:val="0"/>
              <w:divBdr>
                <w:top w:val="none" w:sz="0" w:space="0" w:color="auto"/>
                <w:left w:val="none" w:sz="0" w:space="0" w:color="auto"/>
                <w:bottom w:val="none" w:sz="0" w:space="0" w:color="auto"/>
                <w:right w:val="none" w:sz="0" w:space="0" w:color="auto"/>
              </w:divBdr>
              <w:divsChild>
                <w:div w:id="2065519702">
                  <w:marLeft w:val="0"/>
                  <w:marRight w:val="0"/>
                  <w:marTop w:val="0"/>
                  <w:marBottom w:val="0"/>
                  <w:divBdr>
                    <w:top w:val="none" w:sz="0" w:space="0" w:color="auto"/>
                    <w:left w:val="none" w:sz="0" w:space="0" w:color="auto"/>
                    <w:bottom w:val="none" w:sz="0" w:space="0" w:color="auto"/>
                    <w:right w:val="none" w:sz="0" w:space="0" w:color="auto"/>
                  </w:divBdr>
                  <w:divsChild>
                    <w:div w:id="2765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501948">
      <w:bodyDiv w:val="1"/>
      <w:marLeft w:val="0"/>
      <w:marRight w:val="0"/>
      <w:marTop w:val="0"/>
      <w:marBottom w:val="0"/>
      <w:divBdr>
        <w:top w:val="none" w:sz="0" w:space="0" w:color="auto"/>
        <w:left w:val="none" w:sz="0" w:space="0" w:color="auto"/>
        <w:bottom w:val="none" w:sz="0" w:space="0" w:color="auto"/>
        <w:right w:val="none" w:sz="0" w:space="0" w:color="auto"/>
      </w:divBdr>
      <w:divsChild>
        <w:div w:id="1032614712">
          <w:marLeft w:val="274"/>
          <w:marRight w:val="0"/>
          <w:marTop w:val="0"/>
          <w:marBottom w:val="120"/>
          <w:divBdr>
            <w:top w:val="none" w:sz="0" w:space="0" w:color="auto"/>
            <w:left w:val="none" w:sz="0" w:space="0" w:color="auto"/>
            <w:bottom w:val="none" w:sz="0" w:space="0" w:color="auto"/>
            <w:right w:val="none" w:sz="0" w:space="0" w:color="auto"/>
          </w:divBdr>
        </w:div>
      </w:divsChild>
    </w:div>
    <w:div w:id="1376546520">
      <w:bodyDiv w:val="1"/>
      <w:marLeft w:val="0"/>
      <w:marRight w:val="0"/>
      <w:marTop w:val="0"/>
      <w:marBottom w:val="0"/>
      <w:divBdr>
        <w:top w:val="none" w:sz="0" w:space="0" w:color="auto"/>
        <w:left w:val="none" w:sz="0" w:space="0" w:color="auto"/>
        <w:bottom w:val="none" w:sz="0" w:space="0" w:color="auto"/>
        <w:right w:val="none" w:sz="0" w:space="0" w:color="auto"/>
      </w:divBdr>
    </w:div>
    <w:div w:id="1487280588">
      <w:bodyDiv w:val="1"/>
      <w:marLeft w:val="0"/>
      <w:marRight w:val="0"/>
      <w:marTop w:val="0"/>
      <w:marBottom w:val="0"/>
      <w:divBdr>
        <w:top w:val="none" w:sz="0" w:space="0" w:color="auto"/>
        <w:left w:val="none" w:sz="0" w:space="0" w:color="auto"/>
        <w:bottom w:val="none" w:sz="0" w:space="0" w:color="auto"/>
        <w:right w:val="none" w:sz="0" w:space="0" w:color="auto"/>
      </w:divBdr>
    </w:div>
    <w:div w:id="1580210094">
      <w:bodyDiv w:val="1"/>
      <w:marLeft w:val="0"/>
      <w:marRight w:val="0"/>
      <w:marTop w:val="0"/>
      <w:marBottom w:val="0"/>
      <w:divBdr>
        <w:top w:val="none" w:sz="0" w:space="0" w:color="auto"/>
        <w:left w:val="none" w:sz="0" w:space="0" w:color="auto"/>
        <w:bottom w:val="none" w:sz="0" w:space="0" w:color="auto"/>
        <w:right w:val="none" w:sz="0" w:space="0" w:color="auto"/>
      </w:divBdr>
    </w:div>
    <w:div w:id="1717468745">
      <w:bodyDiv w:val="1"/>
      <w:marLeft w:val="0"/>
      <w:marRight w:val="0"/>
      <w:marTop w:val="0"/>
      <w:marBottom w:val="0"/>
      <w:divBdr>
        <w:top w:val="none" w:sz="0" w:space="0" w:color="auto"/>
        <w:left w:val="none" w:sz="0" w:space="0" w:color="auto"/>
        <w:bottom w:val="none" w:sz="0" w:space="0" w:color="auto"/>
        <w:right w:val="none" w:sz="0" w:space="0" w:color="auto"/>
      </w:divBdr>
    </w:div>
    <w:div w:id="19392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chart" Target="charts/chart5.xml"/><Relationship Id="rId21" Type="http://schemas.openxmlformats.org/officeDocument/2006/relationships/image" Target="media/image8.jpeg"/><Relationship Id="rId34" Type="http://schemas.openxmlformats.org/officeDocument/2006/relationships/image" Target="media/image19.jpeg"/><Relationship Id="rId42" Type="http://schemas.openxmlformats.org/officeDocument/2006/relationships/chart" Target="charts/chart8.xml"/><Relationship Id="rId47" Type="http://schemas.openxmlformats.org/officeDocument/2006/relationships/image" Target="media/image22.tiff"/><Relationship Id="rId50" Type="http://schemas.openxmlformats.org/officeDocument/2006/relationships/chart" Target="charts/chart13.xml"/><Relationship Id="rId55" Type="http://schemas.openxmlformats.org/officeDocument/2006/relationships/chart" Target="charts/chart18.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emf"/><Relationship Id="rId41" Type="http://schemas.openxmlformats.org/officeDocument/2006/relationships/chart" Target="charts/chart7.xml"/><Relationship Id="rId54" Type="http://schemas.openxmlformats.org/officeDocument/2006/relationships/chart" Target="charts/chart17.xml"/><Relationship Id="rId62"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chart" Target="charts/chart2.xml"/><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chart" Target="charts/chart10.xml"/><Relationship Id="rId53" Type="http://schemas.openxmlformats.org/officeDocument/2006/relationships/chart" Target="charts/chart16.xml"/><Relationship Id="rId58" Type="http://schemas.openxmlformats.org/officeDocument/2006/relationships/chart" Target="charts/chart2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hyperlink" Target="http://www.rsac.tas.gov.au" TargetMode="External"/><Relationship Id="rId49" Type="http://schemas.openxmlformats.org/officeDocument/2006/relationships/chart" Target="charts/chart12.xml"/><Relationship Id="rId57" Type="http://schemas.openxmlformats.org/officeDocument/2006/relationships/chart" Target="charts/chart20.xml"/><Relationship Id="rId61" Type="http://schemas.openxmlformats.org/officeDocument/2006/relationships/hyperlink" Target="http://www.dier.tas.gov.au" TargetMode="External"/><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chart" Target="charts/chart1.xml"/><Relationship Id="rId44" Type="http://schemas.openxmlformats.org/officeDocument/2006/relationships/image" Target="media/image20.png"/><Relationship Id="rId52" Type="http://schemas.openxmlformats.org/officeDocument/2006/relationships/chart" Target="charts/chart15.xml"/><Relationship Id="rId60"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hyperlink" Target="http://www.transport.tas.gov.au/safety/tasmanian_road_safety_strategy" TargetMode="External"/><Relationship Id="rId43" Type="http://schemas.openxmlformats.org/officeDocument/2006/relationships/chart" Target="charts/chart9.xml"/><Relationship Id="rId48" Type="http://schemas.openxmlformats.org/officeDocument/2006/relationships/chart" Target="charts/chart11.xml"/><Relationship Id="rId56" Type="http://schemas.openxmlformats.org/officeDocument/2006/relationships/chart" Target="charts/chart19.xm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chart" Target="charts/chart1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chart" Target="charts/chart4.xml"/><Relationship Id="rId46" Type="http://schemas.openxmlformats.org/officeDocument/2006/relationships/image" Target="media/image21.tiff"/><Relationship Id="rId59" Type="http://schemas.openxmlformats.org/officeDocument/2006/relationships/image" Target="media/image23.tiff"/></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t-crystal\My%20Documents\Regional%20Integrated%20Transport%20Plans\Northern%20Integrated%20Transport%20Plan\Analysis\Projections%20for%20North%202012-2032.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t-crystal\Local%20Settings\Temp\65230_detailed_tables_2009-10.xls" TargetMode="Externa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Worksheet9.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Office_Excel_Worksheet11.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AU"/>
  <c:style val="4"/>
  <c:chart>
    <c:title>
      <c:tx>
        <c:rich>
          <a:bodyPr/>
          <a:lstStyle/>
          <a:p>
            <a:pPr>
              <a:defRPr/>
            </a:pPr>
            <a:r>
              <a:rPr lang="en-US"/>
              <a:t>Port of Launceston Throughput (Bell Bay and Longreach)</a:t>
            </a:r>
          </a:p>
        </c:rich>
      </c:tx>
      <c:layout>
        <c:manualLayout>
          <c:xMode val="edge"/>
          <c:yMode val="edge"/>
          <c:x val="0.11571230982019361"/>
          <c:y val="4.4654690821359824E-2"/>
        </c:manualLayout>
      </c:layout>
    </c:title>
    <c:plotArea>
      <c:layout/>
      <c:barChart>
        <c:barDir val="col"/>
        <c:grouping val="stacked"/>
        <c:ser>
          <c:idx val="0"/>
          <c:order val="0"/>
          <c:tx>
            <c:strRef>
              <c:f>'S:\IPP\Demand&amp;Evaluation\Freight Demanders Survey\2008-09\Freight Survey 2009 summary\Ports\[Tasports summaries-update2012.xlsx]Launceston'!$B$3</c:f>
              <c:strCache>
                <c:ptCount val="1"/>
                <c:pt idx="0">
                  <c:v>Import</c:v>
                </c:pt>
              </c:strCache>
            </c:strRef>
          </c:tx>
          <c:cat>
            <c:strRef>
              <c:f>'S:\IPP\Demand&amp;Evaluation\Freight Demanders Survey\2008-09\Freight Survey 2009 summary\Ports\[Tasports summaries-update2012.xlsx]Launceston'!$A$9:$A$20</c:f>
              <c:strCache>
                <c:ptCount val="12"/>
                <c:pt idx="0">
                  <c:v>2000/01</c:v>
                </c:pt>
                <c:pt idx="1">
                  <c:v>2001/02</c:v>
                </c:pt>
                <c:pt idx="2">
                  <c:v>2002/03</c:v>
                </c:pt>
                <c:pt idx="3">
                  <c:v>2003/04</c:v>
                </c:pt>
                <c:pt idx="4">
                  <c:v>2004/05</c:v>
                </c:pt>
                <c:pt idx="5">
                  <c:v>2005/06</c:v>
                </c:pt>
                <c:pt idx="6">
                  <c:v>2006/07</c:v>
                </c:pt>
                <c:pt idx="7">
                  <c:v>2007/08</c:v>
                </c:pt>
                <c:pt idx="8">
                  <c:v>2008/09</c:v>
                </c:pt>
                <c:pt idx="9">
                  <c:v>2009/10</c:v>
                </c:pt>
                <c:pt idx="10">
                  <c:v>2010/11</c:v>
                </c:pt>
                <c:pt idx="11">
                  <c:v>2011/12</c:v>
                </c:pt>
              </c:strCache>
            </c:strRef>
          </c:cat>
          <c:val>
            <c:numRef>
              <c:f>'S:\IPP\Demand&amp;Evaluation\Freight Demanders Survey\2008-09\Freight Survey 2009 summary\Ports\[Tasports summaries-update2012.xlsx]Launceston'!$B$9:$B$20</c:f>
              <c:numCache>
                <c:formatCode>General</c:formatCode>
                <c:ptCount val="12"/>
                <c:pt idx="0">
                  <c:v>1321214</c:v>
                </c:pt>
                <c:pt idx="1">
                  <c:v>1438675</c:v>
                </c:pt>
                <c:pt idx="2">
                  <c:v>1518771</c:v>
                </c:pt>
                <c:pt idx="3">
                  <c:v>1506918</c:v>
                </c:pt>
                <c:pt idx="4">
                  <c:v>2122627</c:v>
                </c:pt>
                <c:pt idx="5">
                  <c:v>1512356</c:v>
                </c:pt>
                <c:pt idx="6">
                  <c:v>1417049</c:v>
                </c:pt>
                <c:pt idx="7">
                  <c:v>1646474</c:v>
                </c:pt>
                <c:pt idx="8">
                  <c:v>1598558</c:v>
                </c:pt>
                <c:pt idx="9">
                  <c:v>1262014</c:v>
                </c:pt>
                <c:pt idx="10">
                  <c:v>1519945</c:v>
                </c:pt>
                <c:pt idx="11">
                  <c:v>1160359</c:v>
                </c:pt>
              </c:numCache>
            </c:numRef>
          </c:val>
        </c:ser>
        <c:ser>
          <c:idx val="1"/>
          <c:order val="1"/>
          <c:tx>
            <c:strRef>
              <c:f>'S:\IPP\Demand&amp;Evaluation\Freight Demanders Survey\2008-09\Freight Survey 2009 summary\Ports\[Tasports summaries-update2012.xlsx]Launceston'!$D$3</c:f>
              <c:strCache>
                <c:ptCount val="1"/>
                <c:pt idx="0">
                  <c:v>Export</c:v>
                </c:pt>
              </c:strCache>
            </c:strRef>
          </c:tx>
          <c:cat>
            <c:strRef>
              <c:f>'S:\IPP\Demand&amp;Evaluation\Freight Demanders Survey\2008-09\Freight Survey 2009 summary\Ports\[Tasports summaries-update2012.xlsx]Launceston'!$A$9:$A$20</c:f>
              <c:strCache>
                <c:ptCount val="12"/>
                <c:pt idx="0">
                  <c:v>2000/01</c:v>
                </c:pt>
                <c:pt idx="1">
                  <c:v>2001/02</c:v>
                </c:pt>
                <c:pt idx="2">
                  <c:v>2002/03</c:v>
                </c:pt>
                <c:pt idx="3">
                  <c:v>2003/04</c:v>
                </c:pt>
                <c:pt idx="4">
                  <c:v>2004/05</c:v>
                </c:pt>
                <c:pt idx="5">
                  <c:v>2005/06</c:v>
                </c:pt>
                <c:pt idx="6">
                  <c:v>2006/07</c:v>
                </c:pt>
                <c:pt idx="7">
                  <c:v>2007/08</c:v>
                </c:pt>
                <c:pt idx="8">
                  <c:v>2008/09</c:v>
                </c:pt>
                <c:pt idx="9">
                  <c:v>2009/10</c:v>
                </c:pt>
                <c:pt idx="10">
                  <c:v>2010/11</c:v>
                </c:pt>
                <c:pt idx="11">
                  <c:v>2011/12</c:v>
                </c:pt>
              </c:strCache>
            </c:strRef>
          </c:cat>
          <c:val>
            <c:numRef>
              <c:f>'S:\IPP\Demand&amp;Evaluation\Freight Demanders Survey\2008-09\Freight Survey 2009 summary\Ports\[Tasports summaries-update2012.xlsx]Launceston'!$D$9:$D$20</c:f>
              <c:numCache>
                <c:formatCode>General</c:formatCode>
                <c:ptCount val="12"/>
                <c:pt idx="0">
                  <c:v>3488712</c:v>
                </c:pt>
                <c:pt idx="1">
                  <c:v>3303322</c:v>
                </c:pt>
                <c:pt idx="2">
                  <c:v>3778699</c:v>
                </c:pt>
                <c:pt idx="3">
                  <c:v>3779929</c:v>
                </c:pt>
                <c:pt idx="4">
                  <c:v>3924893</c:v>
                </c:pt>
                <c:pt idx="5">
                  <c:v>3424957</c:v>
                </c:pt>
                <c:pt idx="6">
                  <c:v>3829923</c:v>
                </c:pt>
                <c:pt idx="7">
                  <c:v>3866118</c:v>
                </c:pt>
                <c:pt idx="8">
                  <c:v>3105760</c:v>
                </c:pt>
                <c:pt idx="9">
                  <c:v>2523076</c:v>
                </c:pt>
                <c:pt idx="10">
                  <c:v>2514306</c:v>
                </c:pt>
                <c:pt idx="11">
                  <c:v>1172498</c:v>
                </c:pt>
              </c:numCache>
            </c:numRef>
          </c:val>
        </c:ser>
        <c:overlap val="100"/>
        <c:axId val="187771136"/>
        <c:axId val="187785216"/>
      </c:barChart>
      <c:lineChart>
        <c:grouping val="standard"/>
        <c:ser>
          <c:idx val="2"/>
          <c:order val="2"/>
          <c:tx>
            <c:strRef>
              <c:f>'S:\IPP\Demand&amp;Evaluation\Freight Demanders Survey\2008-09\Freight Survey 2009 summary\Ports\[Tasports summaries-update2012.xlsx]Launceston'!$L$3</c:f>
              <c:strCache>
                <c:ptCount val="1"/>
                <c:pt idx="0">
                  <c:v>TEUs Total</c:v>
                </c:pt>
              </c:strCache>
            </c:strRef>
          </c:tx>
          <c:cat>
            <c:strRef>
              <c:f>'S:\IPP\Demand&amp;Evaluation\Freight Demanders Survey\2008-09\Freight Survey 2009 summary\Ports\[Tasports summaries-update2012.xlsx]Launceston'!$A$6:$A$20</c:f>
              <c:strCache>
                <c:ptCount val="15"/>
                <c:pt idx="0">
                  <c:v>1997/98</c:v>
                </c:pt>
                <c:pt idx="1">
                  <c:v>1998/99</c:v>
                </c:pt>
                <c:pt idx="2">
                  <c:v>1999/00</c:v>
                </c:pt>
                <c:pt idx="3">
                  <c:v>2000/01</c:v>
                </c:pt>
                <c:pt idx="4">
                  <c:v>2001/02</c:v>
                </c:pt>
                <c:pt idx="5">
                  <c:v>2002/03</c:v>
                </c:pt>
                <c:pt idx="6">
                  <c:v>2003/04</c:v>
                </c:pt>
                <c:pt idx="7">
                  <c:v>2004/05</c:v>
                </c:pt>
                <c:pt idx="8">
                  <c:v>2005/06</c:v>
                </c:pt>
                <c:pt idx="9">
                  <c:v>2006/07</c:v>
                </c:pt>
                <c:pt idx="10">
                  <c:v>2007/08</c:v>
                </c:pt>
                <c:pt idx="11">
                  <c:v>2008/09</c:v>
                </c:pt>
                <c:pt idx="12">
                  <c:v>2009/10</c:v>
                </c:pt>
                <c:pt idx="13">
                  <c:v>2010/11</c:v>
                </c:pt>
                <c:pt idx="14">
                  <c:v>2011/12</c:v>
                </c:pt>
              </c:strCache>
            </c:strRef>
          </c:cat>
          <c:val>
            <c:numRef>
              <c:f>'S:\IPP\Demand&amp;Evaluation\Freight Demanders Survey\2008-09\Freight Survey 2009 summary\Ports\[Tasports summaries-update2012.xlsx]Launceston'!$L$9:$L$20</c:f>
              <c:numCache>
                <c:formatCode>General</c:formatCode>
                <c:ptCount val="12"/>
                <c:pt idx="0">
                  <c:v>34572</c:v>
                </c:pt>
                <c:pt idx="1">
                  <c:v>48804</c:v>
                </c:pt>
                <c:pt idx="2">
                  <c:v>70504</c:v>
                </c:pt>
                <c:pt idx="3">
                  <c:v>88202</c:v>
                </c:pt>
                <c:pt idx="4">
                  <c:v>95023</c:v>
                </c:pt>
                <c:pt idx="5">
                  <c:v>88990</c:v>
                </c:pt>
                <c:pt idx="6">
                  <c:v>89300</c:v>
                </c:pt>
                <c:pt idx="7">
                  <c:v>89458</c:v>
                </c:pt>
                <c:pt idx="8">
                  <c:v>91926</c:v>
                </c:pt>
                <c:pt idx="9">
                  <c:v>46363</c:v>
                </c:pt>
                <c:pt idx="10">
                  <c:v>47690</c:v>
                </c:pt>
                <c:pt idx="11">
                  <c:v>5885</c:v>
                </c:pt>
              </c:numCache>
            </c:numRef>
          </c:val>
        </c:ser>
        <c:marker val="1"/>
        <c:axId val="187794560"/>
        <c:axId val="187787904"/>
      </c:lineChart>
      <c:catAx>
        <c:axId val="187771136"/>
        <c:scaling>
          <c:orientation val="minMax"/>
        </c:scaling>
        <c:axPos val="b"/>
        <c:tickLblPos val="nextTo"/>
        <c:txPr>
          <a:bodyPr rot="-3420000"/>
          <a:lstStyle/>
          <a:p>
            <a:pPr>
              <a:defRPr/>
            </a:pPr>
            <a:endParaRPr lang="en-US"/>
          </a:p>
        </c:txPr>
        <c:crossAx val="187785216"/>
        <c:crossesAt val="0"/>
        <c:auto val="1"/>
        <c:lblAlgn val="ctr"/>
        <c:lblOffset val="100"/>
      </c:catAx>
      <c:valAx>
        <c:axId val="187785216"/>
        <c:scaling>
          <c:orientation val="minMax"/>
        </c:scaling>
        <c:axPos val="l"/>
        <c:majorGridlines/>
        <c:title>
          <c:tx>
            <c:rich>
              <a:bodyPr rot="-5400000" vert="horz"/>
              <a:lstStyle/>
              <a:p>
                <a:pPr>
                  <a:defRPr/>
                </a:pPr>
                <a:r>
                  <a:rPr lang="en-AU"/>
                  <a:t>Import / Export  ('000 Tonnes)</a:t>
                </a:r>
              </a:p>
            </c:rich>
          </c:tx>
          <c:layout>
            <c:manualLayout>
              <c:xMode val="edge"/>
              <c:yMode val="edge"/>
              <c:x val="2.9815385247449137E-2"/>
              <c:y val="0.20029496040187159"/>
            </c:manualLayout>
          </c:layout>
        </c:title>
        <c:numFmt formatCode="#,##0" sourceLinked="0"/>
        <c:tickLblPos val="nextTo"/>
        <c:crossAx val="187771136"/>
        <c:crosses val="autoZero"/>
        <c:crossBetween val="between"/>
        <c:dispUnits>
          <c:builtInUnit val="thousands"/>
        </c:dispUnits>
      </c:valAx>
      <c:valAx>
        <c:axId val="187787904"/>
        <c:scaling>
          <c:orientation val="minMax"/>
          <c:max val="700000"/>
        </c:scaling>
        <c:axPos val="r"/>
        <c:title>
          <c:tx>
            <c:rich>
              <a:bodyPr rot="-5400000" vert="horz"/>
              <a:lstStyle/>
              <a:p>
                <a:pPr>
                  <a:defRPr/>
                </a:pPr>
                <a:r>
                  <a:rPr lang="en-AU"/>
                  <a:t>         Total TEUs ('000)</a:t>
                </a:r>
              </a:p>
            </c:rich>
          </c:tx>
          <c:layout>
            <c:manualLayout>
              <c:xMode val="edge"/>
              <c:yMode val="edge"/>
              <c:x val="0.92802342972793417"/>
              <c:y val="0.27783733001355521"/>
            </c:manualLayout>
          </c:layout>
        </c:title>
        <c:numFmt formatCode="General" sourceLinked="1"/>
        <c:tickLblPos val="nextTo"/>
        <c:crossAx val="187794560"/>
        <c:crosses val="max"/>
        <c:crossBetween val="between"/>
        <c:dispUnits>
          <c:builtInUnit val="thousands"/>
        </c:dispUnits>
      </c:valAx>
      <c:catAx>
        <c:axId val="187794560"/>
        <c:scaling>
          <c:orientation val="minMax"/>
        </c:scaling>
        <c:delete val="1"/>
        <c:axPos val="b"/>
        <c:tickLblPos val="none"/>
        <c:crossAx val="187787904"/>
        <c:crosses val="autoZero"/>
        <c:auto val="1"/>
        <c:lblAlgn val="ctr"/>
        <c:lblOffset val="100"/>
      </c:catAx>
    </c:plotArea>
    <c:legend>
      <c:legendPos val="b"/>
      <c:layout>
        <c:manualLayout>
          <c:xMode val="edge"/>
          <c:yMode val="edge"/>
          <c:x val="0.21769160104986879"/>
          <c:y val="0.85609762321376925"/>
          <c:w val="0.56461679790025865"/>
          <c:h val="7.5345472440944888E-2"/>
        </c:manualLayout>
      </c:layout>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AU"/>
  <c:style val="34"/>
  <c:chart>
    <c:title>
      <c:tx>
        <c:rich>
          <a:bodyPr/>
          <a:lstStyle/>
          <a:p>
            <a:pPr>
              <a:defRPr/>
            </a:pPr>
            <a:r>
              <a:rPr lang="en-AU" i="1"/>
              <a:t>Figure 43.</a:t>
            </a:r>
            <a:r>
              <a:rPr lang="en-AU"/>
              <a:t> Population Projection</a:t>
            </a:r>
          </a:p>
          <a:p>
            <a:pPr>
              <a:defRPr/>
            </a:pPr>
            <a:r>
              <a:rPr lang="en-AU"/>
              <a:t>Northern Region 2007 - 2032</a:t>
            </a:r>
          </a:p>
        </c:rich>
      </c:tx>
      <c:layout/>
    </c:title>
    <c:plotArea>
      <c:layout/>
      <c:lineChart>
        <c:grouping val="standard"/>
        <c:ser>
          <c:idx val="2"/>
          <c:order val="0"/>
          <c:tx>
            <c:strRef>
              <c:f>Sheet1!$A$31</c:f>
              <c:strCache>
                <c:ptCount val="1"/>
                <c:pt idx="0">
                  <c:v>High</c:v>
                </c:pt>
              </c:strCache>
            </c:strRef>
          </c:tx>
          <c:marker>
            <c:symbol val="none"/>
          </c:marker>
          <c:val>
            <c:numRef>
              <c:f>Sheet1!$B$40:$G$40</c:f>
              <c:numCache>
                <c:formatCode>#,##0</c:formatCode>
                <c:ptCount val="6"/>
                <c:pt idx="0">
                  <c:v>139466</c:v>
                </c:pt>
                <c:pt idx="1">
                  <c:v>147859</c:v>
                </c:pt>
                <c:pt idx="2">
                  <c:v>156527</c:v>
                </c:pt>
                <c:pt idx="3">
                  <c:v>165360</c:v>
                </c:pt>
                <c:pt idx="4">
                  <c:v>174073</c:v>
                </c:pt>
                <c:pt idx="5">
                  <c:v>182365</c:v>
                </c:pt>
              </c:numCache>
            </c:numRef>
          </c:val>
        </c:ser>
        <c:ser>
          <c:idx val="0"/>
          <c:order val="1"/>
          <c:tx>
            <c:strRef>
              <c:f>Sheet1!$A$21</c:f>
              <c:strCache>
                <c:ptCount val="1"/>
                <c:pt idx="0">
                  <c:v>Medium</c:v>
                </c:pt>
              </c:strCache>
            </c:strRef>
          </c:tx>
          <c:marker>
            <c:symbol val="none"/>
          </c:marker>
          <c:cat>
            <c:numRef>
              <c:f>Sheet1!$B$11:$G$11</c:f>
              <c:numCache>
                <c:formatCode>General</c:formatCode>
                <c:ptCount val="6"/>
                <c:pt idx="0">
                  <c:v>2007</c:v>
                </c:pt>
                <c:pt idx="1">
                  <c:v>2012</c:v>
                </c:pt>
                <c:pt idx="2">
                  <c:v>2017</c:v>
                </c:pt>
                <c:pt idx="3">
                  <c:v>2022</c:v>
                </c:pt>
                <c:pt idx="4">
                  <c:v>2027</c:v>
                </c:pt>
                <c:pt idx="5">
                  <c:v>2032</c:v>
                </c:pt>
              </c:numCache>
            </c:numRef>
          </c:cat>
          <c:val>
            <c:numRef>
              <c:f>Sheet1!$B$30:$G$30</c:f>
              <c:numCache>
                <c:formatCode>#\ ##0</c:formatCode>
                <c:ptCount val="6"/>
                <c:pt idx="0" formatCode="#,##0">
                  <c:v>139466</c:v>
                </c:pt>
                <c:pt idx="1">
                  <c:v>144253</c:v>
                </c:pt>
                <c:pt idx="2" formatCode="General">
                  <c:v>148652</c:v>
                </c:pt>
                <c:pt idx="3" formatCode="General">
                  <c:v>152898</c:v>
                </c:pt>
                <c:pt idx="4" formatCode="General">
                  <c:v>156693</c:v>
                </c:pt>
                <c:pt idx="5" formatCode="General">
                  <c:v>159724</c:v>
                </c:pt>
              </c:numCache>
            </c:numRef>
          </c:val>
        </c:ser>
        <c:ser>
          <c:idx val="1"/>
          <c:order val="2"/>
          <c:tx>
            <c:strRef>
              <c:f>Sheet1!$A$11</c:f>
              <c:strCache>
                <c:ptCount val="1"/>
                <c:pt idx="0">
                  <c:v>Low</c:v>
                </c:pt>
              </c:strCache>
            </c:strRef>
          </c:tx>
          <c:marker>
            <c:symbol val="none"/>
          </c:marker>
          <c:val>
            <c:numRef>
              <c:f>Sheet1!$B$20:$G$20</c:f>
              <c:numCache>
                <c:formatCode>#,##0</c:formatCode>
                <c:ptCount val="6"/>
                <c:pt idx="0">
                  <c:v>139466</c:v>
                </c:pt>
                <c:pt idx="1">
                  <c:v>141198</c:v>
                </c:pt>
                <c:pt idx="2">
                  <c:v>142069</c:v>
                </c:pt>
                <c:pt idx="3">
                  <c:v>142601</c:v>
                </c:pt>
                <c:pt idx="4">
                  <c:v>142487</c:v>
                </c:pt>
                <c:pt idx="5">
                  <c:v>141357</c:v>
                </c:pt>
              </c:numCache>
            </c:numRef>
          </c:val>
        </c:ser>
        <c:marker val="1"/>
        <c:axId val="188902784"/>
        <c:axId val="188908672"/>
      </c:lineChart>
      <c:catAx>
        <c:axId val="188902784"/>
        <c:scaling>
          <c:orientation val="minMax"/>
        </c:scaling>
        <c:axPos val="b"/>
        <c:numFmt formatCode="General" sourceLinked="1"/>
        <c:tickLblPos val="nextTo"/>
        <c:crossAx val="188908672"/>
        <c:crosses val="autoZero"/>
        <c:auto val="1"/>
        <c:lblAlgn val="ctr"/>
        <c:lblOffset val="100"/>
      </c:catAx>
      <c:valAx>
        <c:axId val="188908672"/>
        <c:scaling>
          <c:orientation val="minMax"/>
          <c:max val="200000"/>
          <c:min val="120000"/>
        </c:scaling>
        <c:axPos val="l"/>
        <c:majorGridlines/>
        <c:numFmt formatCode="#,##0" sourceLinked="1"/>
        <c:tickLblPos val="nextTo"/>
        <c:crossAx val="188902784"/>
        <c:crosses val="autoZero"/>
        <c:crossBetween val="between"/>
        <c:majorUnit val="20000"/>
      </c:valAx>
    </c:plotArea>
    <c:legend>
      <c:legendPos val="r"/>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AU"/>
  <c:style val="22"/>
  <c:chart>
    <c:title>
      <c:tx>
        <c:rich>
          <a:bodyPr/>
          <a:lstStyle/>
          <a:p>
            <a:pPr>
              <a:defRPr/>
            </a:pPr>
            <a:r>
              <a:rPr lang="en-US" sz="1600"/>
              <a:t>      </a:t>
            </a:r>
          </a:p>
        </c:rich>
      </c:tx>
      <c:layout/>
    </c:title>
    <c:plotArea>
      <c:layout/>
      <c:doughnutChart>
        <c:varyColors val="1"/>
        <c:ser>
          <c:idx val="0"/>
          <c:order val="0"/>
          <c:dPt>
            <c:idx val="0"/>
            <c:explosion val="7"/>
          </c:dPt>
          <c:dLbls>
            <c:dLbl>
              <c:idx val="2"/>
              <c:layout>
                <c:manualLayout>
                  <c:x val="1.1111111111111125E-2"/>
                  <c:y val="9.2592592592594686E-3"/>
                </c:manualLayout>
              </c:layout>
              <c:tx>
                <c:rich>
                  <a:bodyPr/>
                  <a:lstStyle/>
                  <a:p>
                    <a:r>
                      <a:rPr lang="en-US"/>
                      <a:t>33%*</a:t>
                    </a:r>
                  </a:p>
                </c:rich>
              </c:tx>
              <c:showPercent val="1"/>
            </c:dLbl>
            <c:dLbl>
              <c:idx val="3"/>
              <c:layout>
                <c:manualLayout>
                  <c:x val="-2.7777777777778585E-3"/>
                  <c:y val="-9.2592592592594686E-3"/>
                </c:manualLayout>
              </c:layout>
              <c:tx>
                <c:rich>
                  <a:bodyPr/>
                  <a:lstStyle/>
                  <a:p>
                    <a:r>
                      <a:rPr lang="en-US"/>
                      <a:t>9%</a:t>
                    </a:r>
                    <a:r>
                      <a:rPr lang="en-US" baseline="30000"/>
                      <a:t>#</a:t>
                    </a:r>
                  </a:p>
                </c:rich>
              </c:tx>
              <c:showPercent val="1"/>
            </c:dLbl>
            <c:txPr>
              <a:bodyPr/>
              <a:lstStyle/>
              <a:p>
                <a:pPr>
                  <a:defRPr sz="1200" b="1" baseline="0">
                    <a:solidFill>
                      <a:schemeClr val="bg1"/>
                    </a:solidFill>
                  </a:defRPr>
                </a:pPr>
                <a:endParaRPr lang="en-US"/>
              </a:p>
            </c:txPr>
            <c:showPercent val="1"/>
            <c:showLeaderLines val="1"/>
          </c:dLbls>
          <c:cat>
            <c:strRef>
              <c:f>('17A'!$C$26:$C$28,'17A'!$C$36)</c:f>
              <c:strCache>
                <c:ptCount val="4"/>
                <c:pt idx="0">
                  <c:v>Wages and salaries</c:v>
                </c:pt>
                <c:pt idx="1">
                  <c:v>Own unincorporated business income</c:v>
                </c:pt>
                <c:pt idx="2">
                  <c:v>Government pensions and allowances</c:v>
                </c:pt>
                <c:pt idx="3">
                  <c:v>Other income</c:v>
                </c:pt>
              </c:strCache>
            </c:strRef>
          </c:cat>
          <c:val>
            <c:numRef>
              <c:f>('17A'!$M$26,'17A'!$M$27,'17A'!$M$35,'17A'!$M$41)</c:f>
              <c:numCache>
                <c:formatCode>""#,##0.0""</c:formatCode>
                <c:ptCount val="4"/>
                <c:pt idx="0">
                  <c:v>107.8</c:v>
                </c:pt>
                <c:pt idx="1">
                  <c:v>10.8</c:v>
                </c:pt>
                <c:pt idx="2">
                  <c:v>67.3</c:v>
                </c:pt>
                <c:pt idx="3">
                  <c:v>17.600000000000001</c:v>
                </c:pt>
              </c:numCache>
            </c:numRef>
          </c:val>
        </c:ser>
        <c:dLbls>
          <c:showPercent val="1"/>
        </c:dLbls>
        <c:firstSliceAng val="0"/>
        <c:holeSize val="50"/>
      </c:doughnutChart>
    </c:plotArea>
    <c:legend>
      <c:legendPos val="r"/>
      <c:layout>
        <c:manualLayout>
          <c:xMode val="edge"/>
          <c:yMode val="edge"/>
          <c:x val="0.65257307763120165"/>
          <c:y val="0.34605963728218181"/>
          <c:w val="0.30174992400011974"/>
          <c:h val="0.40321907130029838"/>
        </c:manualLayout>
      </c:layout>
      <c:spPr>
        <a:solidFill>
          <a:sysClr val="window" lastClr="FFFFFF">
            <a:lumMod val="85000"/>
            <a:alpha val="20000"/>
          </a:sysClr>
        </a:solidFill>
      </c:spPr>
      <c:txPr>
        <a:bodyPr/>
        <a:lstStyle/>
        <a:p>
          <a:pPr rtl="0">
            <a:defRPr/>
          </a:pPr>
          <a:endParaRPr lang="en-US"/>
        </a:p>
      </c:txPr>
    </c:legend>
    <c:plotVisOnly val="1"/>
  </c:chart>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AU"/>
  <c:chart>
    <c:title>
      <c:layout>
        <c:manualLayout>
          <c:xMode val="edge"/>
          <c:yMode val="edge"/>
          <c:x val="0.43143766337987077"/>
          <c:y val="0"/>
        </c:manualLayout>
      </c:layout>
    </c:title>
    <c:plotArea>
      <c:layout>
        <c:manualLayout>
          <c:layoutTarget val="inner"/>
          <c:xMode val="edge"/>
          <c:yMode val="edge"/>
          <c:x val="0.2698888937225411"/>
          <c:y val="0.10244149107676151"/>
          <c:w val="0.54900363110514361"/>
          <c:h val="0.4931575877920174"/>
        </c:manualLayout>
      </c:layout>
      <c:barChart>
        <c:barDir val="col"/>
        <c:grouping val="clustered"/>
        <c:ser>
          <c:idx val="0"/>
          <c:order val="0"/>
          <c:tx>
            <c:strRef>
              <c:f>Sheet1!$B$1</c:f>
              <c:strCache>
                <c:ptCount val="1"/>
                <c:pt idx="0">
                  <c:v>Dorset</c:v>
                </c:pt>
              </c:strCache>
            </c:strRef>
          </c:tx>
          <c:dPt>
            <c:idx val="0"/>
            <c:spPr>
              <a:solidFill>
                <a:srgbClr val="1F497D"/>
              </a:solidFill>
            </c:spPr>
          </c:dPt>
          <c:dPt>
            <c:idx val="1"/>
            <c:spPr>
              <a:solidFill>
                <a:srgbClr val="4BACC6">
                  <a:lumMod val="75000"/>
                </a:srgbClr>
              </a:solidFill>
            </c:spPr>
          </c:dPt>
          <c:dPt>
            <c:idx val="2"/>
            <c:spPr>
              <a:solidFill>
                <a:srgbClr val="C0504D">
                  <a:lumMod val="75000"/>
                </a:srgbClr>
              </a:solidFill>
            </c:spPr>
          </c:dPt>
          <c:dPt>
            <c:idx val="3"/>
            <c:spPr>
              <a:solidFill>
                <a:srgbClr val="F79646">
                  <a:lumMod val="75000"/>
                </a:srgbClr>
              </a:solidFill>
            </c:spPr>
          </c:dPt>
          <c:dPt>
            <c:idx val="4"/>
            <c:spPr>
              <a:solidFill>
                <a:srgbClr val="8064A2">
                  <a:lumMod val="60000"/>
                  <a:lumOff val="40000"/>
                </a:srgbClr>
              </a:solidFill>
            </c:spPr>
          </c:dPt>
          <c:cat>
            <c:strRef>
              <c:f>Sheet1!$C$2:$C$6</c:f>
              <c:strCache>
                <c:ptCount val="5"/>
                <c:pt idx="0">
                  <c:v>Agriculture, forestry and fishing</c:v>
                </c:pt>
                <c:pt idx="1">
                  <c:v>Retail trade</c:v>
                </c:pt>
                <c:pt idx="2">
                  <c:v>Manufacturing</c:v>
                </c:pt>
                <c:pt idx="3">
                  <c:v>Accommodation and food services</c:v>
                </c:pt>
                <c:pt idx="4">
                  <c:v>Health care and social assistance</c:v>
                </c:pt>
              </c:strCache>
            </c:strRef>
          </c:cat>
          <c:val>
            <c:numRef>
              <c:f>Sheet1!$B$2:$B$6</c:f>
              <c:numCache>
                <c:formatCode>0.00%</c:formatCode>
                <c:ptCount val="5"/>
                <c:pt idx="0">
                  <c:v>0.24110000000000001</c:v>
                </c:pt>
                <c:pt idx="1">
                  <c:v>9.5200000000000007E-2</c:v>
                </c:pt>
                <c:pt idx="2">
                  <c:v>8.7000000000000022E-2</c:v>
                </c:pt>
                <c:pt idx="3">
                  <c:v>7.4700000000000433E-2</c:v>
                </c:pt>
                <c:pt idx="4">
                  <c:v>7.3200000000000001E-2</c:v>
                </c:pt>
              </c:numCache>
            </c:numRef>
          </c:val>
        </c:ser>
        <c:axId val="187554048"/>
        <c:axId val="187555840"/>
      </c:barChart>
      <c:catAx>
        <c:axId val="187554048"/>
        <c:scaling>
          <c:orientation val="minMax"/>
        </c:scaling>
        <c:axPos val="b"/>
        <c:numFmt formatCode="#,##0" sourceLinked="1"/>
        <c:tickLblPos val="nextTo"/>
        <c:txPr>
          <a:bodyPr rot="-2880000"/>
          <a:lstStyle/>
          <a:p>
            <a:pPr>
              <a:defRPr/>
            </a:pPr>
            <a:endParaRPr lang="en-US"/>
          </a:p>
        </c:txPr>
        <c:crossAx val="187555840"/>
        <c:crosses val="autoZero"/>
        <c:auto val="1"/>
        <c:lblAlgn val="ctr"/>
        <c:lblOffset val="100"/>
      </c:catAx>
      <c:valAx>
        <c:axId val="187555840"/>
        <c:scaling>
          <c:orientation val="minMax"/>
        </c:scaling>
        <c:delete val="1"/>
        <c:axPos val="l"/>
        <c:majorGridlines/>
        <c:numFmt formatCode="0.00%" sourceLinked="1"/>
        <c:tickLblPos val="none"/>
        <c:crossAx val="187554048"/>
        <c:crosses val="autoZero"/>
        <c:crossBetween val="between"/>
      </c:valAx>
    </c:plotArea>
    <c:plotVisOnly val="1"/>
  </c:chart>
  <c:spPr>
    <a:noFill/>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AU"/>
  <c:chart>
    <c:autoTitleDeleted val="1"/>
    <c:plotArea>
      <c:layout>
        <c:manualLayout>
          <c:layoutTarget val="inner"/>
          <c:xMode val="edge"/>
          <c:yMode val="edge"/>
          <c:x val="0.26459557544676154"/>
          <c:y val="0.16812808847643193"/>
          <c:w val="0.47120450454814777"/>
          <c:h val="0.42946230478096542"/>
        </c:manualLayout>
      </c:layout>
      <c:barChart>
        <c:barDir val="col"/>
        <c:grouping val="clustered"/>
        <c:ser>
          <c:idx val="0"/>
          <c:order val="0"/>
          <c:tx>
            <c:strRef>
              <c:f>Sheet1!$C$25</c:f>
              <c:strCache>
                <c:ptCount val="1"/>
                <c:pt idx="0">
                  <c:v>BOD</c:v>
                </c:pt>
              </c:strCache>
            </c:strRef>
          </c:tx>
          <c:dPt>
            <c:idx val="0"/>
            <c:spPr>
              <a:solidFill>
                <a:schemeClr val="tx2"/>
              </a:solidFill>
            </c:spPr>
          </c:dPt>
          <c:dPt>
            <c:idx val="1"/>
            <c:spPr>
              <a:solidFill>
                <a:schemeClr val="accent5">
                  <a:lumMod val="75000"/>
                </a:schemeClr>
              </a:solidFill>
            </c:spPr>
          </c:dPt>
          <c:dPt>
            <c:idx val="2"/>
            <c:spPr>
              <a:solidFill>
                <a:schemeClr val="accent4">
                  <a:lumMod val="60000"/>
                  <a:lumOff val="40000"/>
                </a:schemeClr>
              </a:solidFill>
            </c:spPr>
          </c:dPt>
          <c:dPt>
            <c:idx val="3"/>
            <c:spPr>
              <a:solidFill>
                <a:schemeClr val="accent6">
                  <a:lumMod val="75000"/>
                </a:schemeClr>
              </a:solidFill>
            </c:spPr>
          </c:dPt>
          <c:dPt>
            <c:idx val="4"/>
            <c:spPr>
              <a:solidFill>
                <a:schemeClr val="accent3">
                  <a:lumMod val="60000"/>
                  <a:lumOff val="40000"/>
                </a:schemeClr>
              </a:solidFill>
            </c:spPr>
          </c:dPt>
          <c:cat>
            <c:strRef>
              <c:f>Sheet1!$D$26:$D$30</c:f>
              <c:strCache>
                <c:ptCount val="5"/>
                <c:pt idx="0">
                  <c:v>Agriculture, forestry and fishing</c:v>
                </c:pt>
                <c:pt idx="1">
                  <c:v>Retail trade</c:v>
                </c:pt>
                <c:pt idx="2">
                  <c:v>Health care and social assistance</c:v>
                </c:pt>
                <c:pt idx="3">
                  <c:v>Accommodation and food services</c:v>
                </c:pt>
                <c:pt idx="4">
                  <c:v>Education and training</c:v>
                </c:pt>
              </c:strCache>
            </c:strRef>
          </c:cat>
          <c:val>
            <c:numRef>
              <c:f>Sheet1!$C$26:$C$30</c:f>
              <c:numCache>
                <c:formatCode>0.00%</c:formatCode>
                <c:ptCount val="5"/>
                <c:pt idx="0">
                  <c:v>0.11747285291214216</c:v>
                </c:pt>
                <c:pt idx="1">
                  <c:v>0.11500493583415597</c:v>
                </c:pt>
                <c:pt idx="2">
                  <c:v>0.11352418558736427</c:v>
                </c:pt>
                <c:pt idx="3">
                  <c:v>0.11006910167818362</c:v>
                </c:pt>
                <c:pt idx="4">
                  <c:v>8.9338598223100002E-2</c:v>
                </c:pt>
              </c:numCache>
            </c:numRef>
          </c:val>
        </c:ser>
        <c:axId val="189339136"/>
        <c:axId val="189340672"/>
      </c:barChart>
      <c:catAx>
        <c:axId val="189339136"/>
        <c:scaling>
          <c:orientation val="minMax"/>
        </c:scaling>
        <c:axPos val="b"/>
        <c:numFmt formatCode="0.00%" sourceLinked="1"/>
        <c:tickLblPos val="nextTo"/>
        <c:txPr>
          <a:bodyPr rot="-2880000"/>
          <a:lstStyle/>
          <a:p>
            <a:pPr>
              <a:defRPr/>
            </a:pPr>
            <a:endParaRPr lang="en-US"/>
          </a:p>
        </c:txPr>
        <c:crossAx val="189340672"/>
        <c:crosses val="autoZero"/>
        <c:auto val="1"/>
        <c:lblAlgn val="ctr"/>
        <c:lblOffset val="100"/>
      </c:catAx>
      <c:valAx>
        <c:axId val="189340672"/>
        <c:scaling>
          <c:orientation val="minMax"/>
          <c:max val="0.30000000000000032"/>
        </c:scaling>
        <c:axPos val="l"/>
        <c:majorGridlines/>
        <c:numFmt formatCode="0%" sourceLinked="0"/>
        <c:tickLblPos val="nextTo"/>
        <c:crossAx val="189339136"/>
        <c:crosses val="autoZero"/>
        <c:crossBetween val="between"/>
        <c:majorUnit val="0.05"/>
      </c:valAx>
      <c:spPr>
        <a:noFill/>
      </c:spPr>
    </c:plotArea>
    <c:plotVisOnly val="1"/>
  </c:chart>
  <c:spPr>
    <a:noFill/>
    <a:ln>
      <a:noFill/>
    </a:ln>
  </c:spPr>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AU"/>
  <c:chart>
    <c:title>
      <c:layout>
        <c:manualLayout>
          <c:xMode val="edge"/>
          <c:yMode val="edge"/>
          <c:x val="0.37324958788467377"/>
          <c:y val="0.10075404636920415"/>
        </c:manualLayout>
      </c:layout>
    </c:title>
    <c:plotArea>
      <c:layout>
        <c:manualLayout>
          <c:layoutTarget val="inner"/>
          <c:xMode val="edge"/>
          <c:yMode val="edge"/>
          <c:x val="0.32397827276938218"/>
          <c:y val="0.18131288276465443"/>
          <c:w val="0.36470532092579339"/>
          <c:h val="0.38040080927384401"/>
        </c:manualLayout>
      </c:layout>
      <c:barChart>
        <c:barDir val="col"/>
        <c:grouping val="clustered"/>
        <c:ser>
          <c:idx val="0"/>
          <c:order val="0"/>
          <c:tx>
            <c:strRef>
              <c:f>Sheet1!$B$1</c:f>
              <c:strCache>
                <c:ptCount val="1"/>
                <c:pt idx="0">
                  <c:v>Flinders</c:v>
                </c:pt>
              </c:strCache>
            </c:strRef>
          </c:tx>
          <c:dPt>
            <c:idx val="0"/>
            <c:spPr>
              <a:solidFill>
                <a:srgbClr val="1F497D"/>
              </a:solidFill>
            </c:spPr>
          </c:dPt>
          <c:dPt>
            <c:idx val="1"/>
            <c:spPr>
              <a:solidFill>
                <a:schemeClr val="accent2">
                  <a:lumMod val="60000"/>
                  <a:lumOff val="40000"/>
                </a:schemeClr>
              </a:solidFill>
            </c:spPr>
          </c:dPt>
          <c:dPt>
            <c:idx val="2"/>
            <c:spPr>
              <a:solidFill>
                <a:schemeClr val="accent3">
                  <a:lumMod val="75000"/>
                </a:schemeClr>
              </a:solidFill>
            </c:spPr>
          </c:dPt>
          <c:dPt>
            <c:idx val="3"/>
            <c:spPr>
              <a:solidFill>
                <a:srgbClr val="8064A2">
                  <a:lumMod val="60000"/>
                  <a:lumOff val="40000"/>
                </a:srgbClr>
              </a:solidFill>
            </c:spPr>
          </c:dPt>
          <c:dPt>
            <c:idx val="4"/>
            <c:spPr>
              <a:solidFill>
                <a:srgbClr val="4BACC6">
                  <a:lumMod val="75000"/>
                </a:srgbClr>
              </a:solidFill>
            </c:spPr>
          </c:dPt>
          <c:cat>
            <c:strRef>
              <c:f>Sheet1!$C$2:$C$6</c:f>
              <c:strCache>
                <c:ptCount val="5"/>
                <c:pt idx="0">
                  <c:v>Agriculture, forestry and fishing</c:v>
                </c:pt>
                <c:pt idx="1">
                  <c:v>Public administration and safety </c:v>
                </c:pt>
                <c:pt idx="2">
                  <c:v>Construction</c:v>
                </c:pt>
                <c:pt idx="3">
                  <c:v>Health care and social assistance</c:v>
                </c:pt>
                <c:pt idx="4">
                  <c:v>Retail trade</c:v>
                </c:pt>
              </c:strCache>
            </c:strRef>
          </c:cat>
          <c:val>
            <c:numRef>
              <c:f>Sheet1!$B$2:$B$6</c:f>
              <c:numCache>
                <c:formatCode>0.00%</c:formatCode>
                <c:ptCount val="5"/>
                <c:pt idx="0">
                  <c:v>0.25</c:v>
                </c:pt>
                <c:pt idx="1">
                  <c:v>0.10500000000000002</c:v>
                </c:pt>
                <c:pt idx="2">
                  <c:v>9.2500000000000027E-2</c:v>
                </c:pt>
                <c:pt idx="3">
                  <c:v>8.2500000000000004E-2</c:v>
                </c:pt>
                <c:pt idx="4">
                  <c:v>6.25E-2</c:v>
                </c:pt>
              </c:numCache>
            </c:numRef>
          </c:val>
        </c:ser>
        <c:axId val="186294272"/>
        <c:axId val="186295808"/>
      </c:barChart>
      <c:catAx>
        <c:axId val="186294272"/>
        <c:scaling>
          <c:orientation val="minMax"/>
        </c:scaling>
        <c:axPos val="b"/>
        <c:numFmt formatCode="#,##0" sourceLinked="1"/>
        <c:tickLblPos val="nextTo"/>
        <c:txPr>
          <a:bodyPr rot="-2880000"/>
          <a:lstStyle/>
          <a:p>
            <a:pPr>
              <a:defRPr/>
            </a:pPr>
            <a:endParaRPr lang="en-US"/>
          </a:p>
        </c:txPr>
        <c:crossAx val="186295808"/>
        <c:crosses val="autoZero"/>
        <c:auto val="1"/>
        <c:lblAlgn val="ctr"/>
        <c:lblOffset val="100"/>
      </c:catAx>
      <c:valAx>
        <c:axId val="186295808"/>
        <c:scaling>
          <c:orientation val="minMax"/>
          <c:max val="0.30000000000000032"/>
        </c:scaling>
        <c:delete val="1"/>
        <c:axPos val="l"/>
        <c:majorGridlines/>
        <c:numFmt formatCode="0.00%" sourceLinked="1"/>
        <c:tickLblPos val="none"/>
        <c:crossAx val="186294272"/>
        <c:crosses val="autoZero"/>
        <c:crossBetween val="between"/>
        <c:majorUnit val="0.05"/>
      </c:valAx>
    </c:plotArea>
    <c:plotVisOnly val="1"/>
  </c:chart>
  <c:spPr>
    <a:noFill/>
    <a:ln>
      <a:noFill/>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AU"/>
  <c:chart>
    <c:plotArea>
      <c:layout>
        <c:manualLayout>
          <c:layoutTarget val="inner"/>
          <c:xMode val="edge"/>
          <c:yMode val="edge"/>
          <c:x val="0.10827769499454475"/>
          <c:y val="0.22123806642876176"/>
          <c:w val="0.53760226242066755"/>
          <c:h val="0.67786103446360246"/>
        </c:manualLayout>
      </c:layout>
      <c:pieChart>
        <c:varyColors val="1"/>
        <c:ser>
          <c:idx val="0"/>
          <c:order val="0"/>
          <c:explosion val="7"/>
          <c:dLbls>
            <c:dLblPos val="outEnd"/>
            <c:showVal val="1"/>
            <c:showLeaderLines val="1"/>
          </c:dLbls>
          <c:cat>
            <c:strRef>
              <c:f>(Sheet1!$A$3,Sheet1!$A$5,Sheet1!$A$7,Sheet1!$A$8,Sheet1!$A$9,Sheet1!$A$10,Sheet1!$A$11,Sheet1!$A$17,Sheet1!$A$18,Sheet1!$A$19)</c:f>
              <c:strCache>
                <c:ptCount val="10"/>
                <c:pt idx="0">
                  <c:v>Agriculture, forestry and fishing</c:v>
                </c:pt>
                <c:pt idx="1">
                  <c:v>Manufacturing</c:v>
                </c:pt>
                <c:pt idx="2">
                  <c:v>Construction</c:v>
                </c:pt>
                <c:pt idx="3">
                  <c:v>Wholesale trade</c:v>
                </c:pt>
                <c:pt idx="4">
                  <c:v>Retail trade</c:v>
                </c:pt>
                <c:pt idx="5">
                  <c:v>Accommodation and food services</c:v>
                </c:pt>
                <c:pt idx="6">
                  <c:v>Transport, postal and warehousing</c:v>
                </c:pt>
                <c:pt idx="7">
                  <c:v>Public administration and safety </c:v>
                </c:pt>
                <c:pt idx="8">
                  <c:v>Education and training</c:v>
                </c:pt>
                <c:pt idx="9">
                  <c:v>Health care and social assistance</c:v>
                </c:pt>
              </c:strCache>
            </c:strRef>
          </c:cat>
          <c:val>
            <c:numRef>
              <c:f>(Sheet1!$M$3,Sheet1!$M$5,Sheet1!$M$7,Sheet1!$M$8,Sheet1!$M$9,Sheet1!$M$10,Sheet1!$M$11,Sheet1!$M$17,Sheet1!$M$18,Sheet1!$M$19)</c:f>
              <c:numCache>
                <c:formatCode>0.0%</c:formatCode>
                <c:ptCount val="10"/>
                <c:pt idx="0">
                  <c:v>5.5872559026790072E-2</c:v>
                </c:pt>
                <c:pt idx="1">
                  <c:v>0.10125332574756112</c:v>
                </c:pt>
                <c:pt idx="2">
                  <c:v>7.4864878432422483E-2</c:v>
                </c:pt>
                <c:pt idx="3">
                  <c:v>3.8168705342949388E-2</c:v>
                </c:pt>
                <c:pt idx="4">
                  <c:v>0.11577784842957782</c:v>
                </c:pt>
                <c:pt idx="5">
                  <c:v>7.5450544669600578E-2</c:v>
                </c:pt>
                <c:pt idx="6">
                  <c:v>4.6501899231940563E-2</c:v>
                </c:pt>
                <c:pt idx="7">
                  <c:v>6.4724485868710532E-2</c:v>
                </c:pt>
                <c:pt idx="8">
                  <c:v>9.1146399825973501E-2</c:v>
                </c:pt>
                <c:pt idx="9">
                  <c:v>0.11922491256839762</c:v>
                </c:pt>
              </c:numCache>
            </c:numRef>
          </c:val>
        </c:ser>
        <c:firstSliceAng val="0"/>
      </c:pieChart>
    </c:plotArea>
    <c:legend>
      <c:legendPos val="r"/>
      <c:layout>
        <c:manualLayout>
          <c:xMode val="edge"/>
          <c:yMode val="edge"/>
          <c:x val="0.68924560260093026"/>
          <c:y val="0.17911039522980449"/>
          <c:w val="0.29631743878502192"/>
          <c:h val="0.82088960477019912"/>
        </c:manualLayout>
      </c:layout>
      <c:txPr>
        <a:bodyPr/>
        <a:lstStyle/>
        <a:p>
          <a:pPr rtl="0">
            <a:defRPr/>
          </a:pPr>
          <a:endParaRPr lang="en-US"/>
        </a:p>
      </c:txPr>
    </c:legend>
    <c:plotVisOnly val="1"/>
  </c:chart>
  <c:externalData r:id="rId1"/>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AU"/>
  <c:chart>
    <c:title>
      <c:layout>
        <c:manualLayout>
          <c:xMode val="edge"/>
          <c:yMode val="edge"/>
          <c:x val="0.33169030458033016"/>
          <c:y val="6.3723258989531184E-2"/>
        </c:manualLayout>
      </c:layout>
    </c:title>
    <c:plotArea>
      <c:layout>
        <c:manualLayout>
          <c:layoutTarget val="inner"/>
          <c:xMode val="edge"/>
          <c:yMode val="edge"/>
          <c:x val="0.24926413377588533"/>
          <c:y val="0.16374619649557978"/>
          <c:w val="0.61588350630781763"/>
          <c:h val="0.49557664531806311"/>
        </c:manualLayout>
      </c:layout>
      <c:barChart>
        <c:barDir val="col"/>
        <c:grouping val="clustered"/>
        <c:varyColors val="1"/>
        <c:ser>
          <c:idx val="0"/>
          <c:order val="0"/>
          <c:tx>
            <c:strRef>
              <c:f>Sheet1!$B$1</c:f>
              <c:strCache>
                <c:ptCount val="1"/>
                <c:pt idx="0">
                  <c:v>West Tamar</c:v>
                </c:pt>
              </c:strCache>
            </c:strRef>
          </c:tx>
          <c:dPt>
            <c:idx val="0"/>
            <c:spPr>
              <a:solidFill>
                <a:schemeClr val="accent4">
                  <a:lumMod val="60000"/>
                  <a:lumOff val="40000"/>
                </a:schemeClr>
              </a:solidFill>
            </c:spPr>
          </c:dPt>
          <c:dPt>
            <c:idx val="2"/>
            <c:spPr>
              <a:solidFill>
                <a:schemeClr val="accent3">
                  <a:lumMod val="60000"/>
                  <a:lumOff val="40000"/>
                </a:schemeClr>
              </a:solidFill>
            </c:spPr>
          </c:dPt>
          <c:cat>
            <c:strRef>
              <c:f>Sheet1!$C$2:$C$6</c:f>
              <c:strCache>
                <c:ptCount val="5"/>
                <c:pt idx="0">
                  <c:v>Health care and social assistance</c:v>
                </c:pt>
                <c:pt idx="1">
                  <c:v>Retail trade</c:v>
                </c:pt>
                <c:pt idx="2">
                  <c:v>Education and training</c:v>
                </c:pt>
                <c:pt idx="3">
                  <c:v>Manufacturing</c:v>
                </c:pt>
                <c:pt idx="4">
                  <c:v>Construction</c:v>
                </c:pt>
              </c:strCache>
            </c:strRef>
          </c:cat>
          <c:val>
            <c:numRef>
              <c:f>Sheet1!$B$2:$B$6</c:f>
              <c:numCache>
                <c:formatCode>0.00%</c:formatCode>
                <c:ptCount val="5"/>
                <c:pt idx="0">
                  <c:v>0.12360000000000022</c:v>
                </c:pt>
                <c:pt idx="1">
                  <c:v>0.10710000000000022</c:v>
                </c:pt>
                <c:pt idx="2">
                  <c:v>0.10410000000000012</c:v>
                </c:pt>
                <c:pt idx="3">
                  <c:v>0.1013</c:v>
                </c:pt>
                <c:pt idx="4">
                  <c:v>8.77E-2</c:v>
                </c:pt>
              </c:numCache>
            </c:numRef>
          </c:val>
        </c:ser>
        <c:axId val="189606912"/>
        <c:axId val="189809408"/>
      </c:barChart>
      <c:catAx>
        <c:axId val="189606912"/>
        <c:scaling>
          <c:orientation val="minMax"/>
        </c:scaling>
        <c:axPos val="b"/>
        <c:numFmt formatCode="#,##0" sourceLinked="1"/>
        <c:tickLblPos val="nextTo"/>
        <c:crossAx val="189809408"/>
        <c:crosses val="autoZero"/>
        <c:auto val="1"/>
        <c:lblAlgn val="ctr"/>
        <c:lblOffset val="100"/>
      </c:catAx>
      <c:valAx>
        <c:axId val="189809408"/>
        <c:scaling>
          <c:orientation val="minMax"/>
          <c:max val="0.30000000000000032"/>
        </c:scaling>
        <c:delete val="1"/>
        <c:axPos val="l"/>
        <c:majorGridlines/>
        <c:numFmt formatCode="0%" sourceLinked="0"/>
        <c:tickLblPos val="none"/>
        <c:crossAx val="189606912"/>
        <c:crosses val="autoZero"/>
        <c:crossBetween val="between"/>
        <c:majorUnit val="0.05"/>
      </c:valAx>
      <c:spPr>
        <a:noFill/>
        <a:ln>
          <a:noFill/>
        </a:ln>
      </c:spPr>
    </c:plotArea>
    <c:plotVisOnly val="1"/>
  </c:chart>
  <c:spPr>
    <a:noFill/>
    <a:ln>
      <a:noFill/>
    </a:ln>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AU"/>
  <c:chart>
    <c:title>
      <c:layout>
        <c:manualLayout>
          <c:xMode val="edge"/>
          <c:yMode val="edge"/>
          <c:x val="0.20367650672879367"/>
          <c:y val="9.8724804607157768E-2"/>
        </c:manualLayout>
      </c:layout>
    </c:title>
    <c:plotArea>
      <c:layout>
        <c:manualLayout>
          <c:layoutTarget val="inner"/>
          <c:xMode val="edge"/>
          <c:yMode val="edge"/>
          <c:x val="0.24237297291103638"/>
          <c:y val="0.18099871411589888"/>
          <c:w val="0.52479518360224753"/>
          <c:h val="0.46106070862902732"/>
        </c:manualLayout>
      </c:layout>
      <c:barChart>
        <c:barDir val="col"/>
        <c:grouping val="clustered"/>
        <c:ser>
          <c:idx val="0"/>
          <c:order val="0"/>
          <c:tx>
            <c:strRef>
              <c:f>Sheet1!$B$1</c:f>
              <c:strCache>
                <c:ptCount val="1"/>
                <c:pt idx="0">
                  <c:v>Northern Midlands</c:v>
                </c:pt>
              </c:strCache>
            </c:strRef>
          </c:tx>
          <c:dPt>
            <c:idx val="0"/>
            <c:spPr>
              <a:solidFill>
                <a:schemeClr val="tx2"/>
              </a:solidFill>
            </c:spPr>
          </c:dPt>
          <c:dPt>
            <c:idx val="1"/>
            <c:spPr>
              <a:solidFill>
                <a:srgbClr val="C0504D">
                  <a:lumMod val="75000"/>
                </a:srgbClr>
              </a:solidFill>
            </c:spPr>
          </c:dPt>
          <c:dPt>
            <c:idx val="2"/>
            <c:spPr>
              <a:solidFill>
                <a:srgbClr val="4BACC6">
                  <a:lumMod val="75000"/>
                </a:srgbClr>
              </a:solidFill>
            </c:spPr>
          </c:dPt>
          <c:dPt>
            <c:idx val="4"/>
            <c:spPr>
              <a:solidFill>
                <a:srgbClr val="9BBB59">
                  <a:lumMod val="75000"/>
                </a:srgbClr>
              </a:solidFill>
            </c:spPr>
          </c:dPt>
          <c:cat>
            <c:strRef>
              <c:f>Sheet1!$C$2:$C$6</c:f>
              <c:strCache>
                <c:ptCount val="5"/>
                <c:pt idx="0">
                  <c:v>Agriculture, forestry and fishing</c:v>
                </c:pt>
                <c:pt idx="1">
                  <c:v>Manufacturing</c:v>
                </c:pt>
                <c:pt idx="2">
                  <c:v>Retail trade</c:v>
                </c:pt>
                <c:pt idx="3">
                  <c:v>Health care and social assistance</c:v>
                </c:pt>
                <c:pt idx="4">
                  <c:v>Construction</c:v>
                </c:pt>
              </c:strCache>
            </c:strRef>
          </c:cat>
          <c:val>
            <c:numRef>
              <c:f>Sheet1!$B$2:$B$6</c:f>
              <c:numCache>
                <c:formatCode>0.00%</c:formatCode>
                <c:ptCount val="5"/>
                <c:pt idx="0">
                  <c:v>0.12390000000000002</c:v>
                </c:pt>
                <c:pt idx="1">
                  <c:v>0.1115</c:v>
                </c:pt>
                <c:pt idx="2">
                  <c:v>0.10680000000000002</c:v>
                </c:pt>
                <c:pt idx="3">
                  <c:v>0.10440000000000002</c:v>
                </c:pt>
                <c:pt idx="4">
                  <c:v>7.2700000000000306E-2</c:v>
                </c:pt>
              </c:numCache>
            </c:numRef>
          </c:val>
        </c:ser>
        <c:axId val="189822464"/>
        <c:axId val="189824000"/>
      </c:barChart>
      <c:catAx>
        <c:axId val="189822464"/>
        <c:scaling>
          <c:orientation val="minMax"/>
        </c:scaling>
        <c:axPos val="b"/>
        <c:numFmt formatCode="#,##0" sourceLinked="1"/>
        <c:tickLblPos val="nextTo"/>
        <c:crossAx val="189824000"/>
        <c:crosses val="autoZero"/>
        <c:auto val="1"/>
        <c:lblAlgn val="ctr"/>
        <c:lblOffset val="100"/>
      </c:catAx>
      <c:valAx>
        <c:axId val="189824000"/>
        <c:scaling>
          <c:orientation val="minMax"/>
          <c:max val="0.30000000000000032"/>
        </c:scaling>
        <c:delete val="1"/>
        <c:axPos val="l"/>
        <c:majorGridlines/>
        <c:numFmt formatCode="0%" sourceLinked="0"/>
        <c:tickLblPos val="none"/>
        <c:crossAx val="189822464"/>
        <c:crosses val="autoZero"/>
        <c:crossBetween val="between"/>
        <c:majorUnit val="0.05"/>
      </c:valAx>
      <c:spPr>
        <a:noFill/>
        <a:ln>
          <a:noFill/>
        </a:ln>
      </c:spPr>
    </c:plotArea>
    <c:plotVisOnly val="1"/>
  </c:chart>
  <c:spPr>
    <a:noFill/>
    <a:ln>
      <a:noFill/>
    </a:ln>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AU"/>
  <c:chart>
    <c:autoTitleDeleted val="1"/>
    <c:plotArea>
      <c:layout>
        <c:manualLayout>
          <c:layoutTarget val="inner"/>
          <c:xMode val="edge"/>
          <c:yMode val="edge"/>
          <c:x val="0.21110326929841833"/>
          <c:y val="0.15739975757848332"/>
          <c:w val="0.7270816140957973"/>
          <c:h val="0.53082368986531858"/>
        </c:manualLayout>
      </c:layout>
      <c:barChart>
        <c:barDir val="col"/>
        <c:grouping val="clustered"/>
        <c:ser>
          <c:idx val="0"/>
          <c:order val="0"/>
          <c:tx>
            <c:strRef>
              <c:f>Sheet1!$B$1</c:f>
              <c:strCache>
                <c:ptCount val="1"/>
                <c:pt idx="0">
                  <c:v>Meander Valley</c:v>
                </c:pt>
              </c:strCache>
            </c:strRef>
          </c:tx>
          <c:dPt>
            <c:idx val="0"/>
            <c:spPr>
              <a:solidFill>
                <a:srgbClr val="4BACC6">
                  <a:lumMod val="75000"/>
                </a:srgbClr>
              </a:solidFill>
            </c:spPr>
          </c:dPt>
          <c:dPt>
            <c:idx val="1"/>
            <c:spPr>
              <a:solidFill>
                <a:srgbClr val="8064A2">
                  <a:lumMod val="60000"/>
                  <a:lumOff val="40000"/>
                </a:srgbClr>
              </a:solidFill>
            </c:spPr>
          </c:dPt>
          <c:dPt>
            <c:idx val="2"/>
            <c:spPr>
              <a:solidFill>
                <a:srgbClr val="C0504D">
                  <a:lumMod val="75000"/>
                </a:srgbClr>
              </a:solidFill>
            </c:spPr>
          </c:dPt>
          <c:dPt>
            <c:idx val="3"/>
            <c:spPr>
              <a:solidFill>
                <a:srgbClr val="1F497D"/>
              </a:solidFill>
            </c:spPr>
          </c:dPt>
          <c:dPt>
            <c:idx val="4"/>
            <c:spPr>
              <a:solidFill>
                <a:srgbClr val="9BBB59">
                  <a:lumMod val="75000"/>
                </a:srgbClr>
              </a:solidFill>
            </c:spPr>
          </c:dPt>
          <c:cat>
            <c:strRef>
              <c:f>Sheet1!$C$2:$C$6</c:f>
              <c:strCache>
                <c:ptCount val="5"/>
                <c:pt idx="0">
                  <c:v>Retail trade</c:v>
                </c:pt>
                <c:pt idx="1">
                  <c:v>Health care and social assistance</c:v>
                </c:pt>
                <c:pt idx="2">
                  <c:v>Manufacturing</c:v>
                </c:pt>
                <c:pt idx="3">
                  <c:v>Agriculture, forestry and fishing</c:v>
                </c:pt>
                <c:pt idx="4">
                  <c:v>Construction</c:v>
                </c:pt>
              </c:strCache>
            </c:strRef>
          </c:cat>
          <c:val>
            <c:numRef>
              <c:f>Sheet1!$B$2:$B$6</c:f>
              <c:numCache>
                <c:formatCode>0.00%</c:formatCode>
                <c:ptCount val="5"/>
                <c:pt idx="0">
                  <c:v>0.11749999999999998</c:v>
                </c:pt>
                <c:pt idx="1">
                  <c:v>0.1119</c:v>
                </c:pt>
                <c:pt idx="2">
                  <c:v>9.6100000000000005E-2</c:v>
                </c:pt>
                <c:pt idx="3">
                  <c:v>9.4300000000000023E-2</c:v>
                </c:pt>
                <c:pt idx="4">
                  <c:v>7.8800000000000023E-2</c:v>
                </c:pt>
              </c:numCache>
            </c:numRef>
          </c:val>
        </c:ser>
        <c:axId val="189874560"/>
        <c:axId val="189876096"/>
      </c:barChart>
      <c:catAx>
        <c:axId val="189874560"/>
        <c:scaling>
          <c:orientation val="minMax"/>
        </c:scaling>
        <c:axPos val="b"/>
        <c:numFmt formatCode="#,##0" sourceLinked="1"/>
        <c:tickLblPos val="nextTo"/>
        <c:crossAx val="189876096"/>
        <c:crosses val="autoZero"/>
        <c:auto val="1"/>
        <c:lblAlgn val="ctr"/>
        <c:lblOffset val="100"/>
      </c:catAx>
      <c:valAx>
        <c:axId val="189876096"/>
        <c:scaling>
          <c:orientation val="minMax"/>
          <c:max val="0.30000000000000032"/>
        </c:scaling>
        <c:delete val="1"/>
        <c:axPos val="l"/>
        <c:majorGridlines/>
        <c:numFmt formatCode="0%" sourceLinked="0"/>
        <c:tickLblPos val="none"/>
        <c:crossAx val="189874560"/>
        <c:crosses val="autoZero"/>
        <c:crossBetween val="between"/>
        <c:majorUnit val="0.05"/>
      </c:valAx>
      <c:spPr>
        <a:noFill/>
      </c:spPr>
    </c:plotArea>
    <c:plotVisOnly val="1"/>
  </c:chart>
  <c:spPr>
    <a:noFill/>
    <a:ln>
      <a:noFill/>
    </a:ln>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AU"/>
  <c:chart>
    <c:autoTitleDeleted val="1"/>
    <c:plotArea>
      <c:layout>
        <c:manualLayout>
          <c:layoutTarget val="inner"/>
          <c:xMode val="edge"/>
          <c:yMode val="edge"/>
          <c:x val="0.28405362220237534"/>
          <c:y val="0.15990452263107541"/>
          <c:w val="0.67720657490287672"/>
          <c:h val="0.50138843591296256"/>
        </c:manualLayout>
      </c:layout>
      <c:barChart>
        <c:barDir val="col"/>
        <c:grouping val="clustered"/>
        <c:ser>
          <c:idx val="0"/>
          <c:order val="0"/>
          <c:tx>
            <c:strRef>
              <c:f>Sheet1!$B$1</c:f>
              <c:strCache>
                <c:ptCount val="1"/>
                <c:pt idx="0">
                  <c:v>Launceston</c:v>
                </c:pt>
              </c:strCache>
            </c:strRef>
          </c:tx>
          <c:dPt>
            <c:idx val="0"/>
            <c:spPr>
              <a:solidFill>
                <a:srgbClr val="8064A2">
                  <a:lumMod val="60000"/>
                  <a:lumOff val="40000"/>
                </a:srgbClr>
              </a:solidFill>
            </c:spPr>
          </c:dPt>
          <c:dPt>
            <c:idx val="1"/>
            <c:spPr>
              <a:solidFill>
                <a:schemeClr val="accent5">
                  <a:lumMod val="75000"/>
                </a:schemeClr>
              </a:solidFill>
            </c:spPr>
          </c:dPt>
          <c:dPt>
            <c:idx val="2"/>
            <c:spPr>
              <a:solidFill>
                <a:srgbClr val="9BBB59">
                  <a:lumMod val="60000"/>
                  <a:lumOff val="40000"/>
                </a:srgbClr>
              </a:solidFill>
            </c:spPr>
          </c:dPt>
          <c:dPt>
            <c:idx val="3"/>
            <c:spPr>
              <a:solidFill>
                <a:srgbClr val="C0504D">
                  <a:lumMod val="75000"/>
                </a:srgbClr>
              </a:solidFill>
            </c:spPr>
          </c:dPt>
          <c:dPt>
            <c:idx val="4"/>
            <c:spPr>
              <a:solidFill>
                <a:srgbClr val="F79646">
                  <a:lumMod val="75000"/>
                </a:srgbClr>
              </a:solidFill>
            </c:spPr>
          </c:dPt>
          <c:cat>
            <c:strRef>
              <c:f>Sheet1!$C$2:$C$6</c:f>
              <c:strCache>
                <c:ptCount val="5"/>
                <c:pt idx="0">
                  <c:v>Health care and social assistance</c:v>
                </c:pt>
                <c:pt idx="1">
                  <c:v>Retail trade</c:v>
                </c:pt>
                <c:pt idx="2">
                  <c:v>Education and training</c:v>
                </c:pt>
                <c:pt idx="3">
                  <c:v>Manufacturing</c:v>
                </c:pt>
                <c:pt idx="4">
                  <c:v>Accommodation and food services</c:v>
                </c:pt>
              </c:strCache>
            </c:strRef>
          </c:cat>
          <c:val>
            <c:numRef>
              <c:f>Sheet1!$B$2:$B$6</c:f>
              <c:numCache>
                <c:formatCode>0.00%</c:formatCode>
                <c:ptCount val="5"/>
                <c:pt idx="0">
                  <c:v>0.1298</c:v>
                </c:pt>
                <c:pt idx="1">
                  <c:v>0.12370000000000034</c:v>
                </c:pt>
                <c:pt idx="2">
                  <c:v>0.1024</c:v>
                </c:pt>
                <c:pt idx="3">
                  <c:v>9.3900000000000067E-2</c:v>
                </c:pt>
                <c:pt idx="4">
                  <c:v>8.3500000000000268E-2</c:v>
                </c:pt>
              </c:numCache>
            </c:numRef>
          </c:val>
        </c:ser>
        <c:axId val="189852288"/>
        <c:axId val="190058880"/>
      </c:barChart>
      <c:catAx>
        <c:axId val="189852288"/>
        <c:scaling>
          <c:orientation val="minMax"/>
        </c:scaling>
        <c:axPos val="b"/>
        <c:tickLblPos val="nextTo"/>
        <c:crossAx val="190058880"/>
        <c:crosses val="autoZero"/>
        <c:auto val="1"/>
        <c:lblAlgn val="ctr"/>
        <c:lblOffset val="100"/>
      </c:catAx>
      <c:valAx>
        <c:axId val="190058880"/>
        <c:scaling>
          <c:orientation val="minMax"/>
          <c:max val="0.30000000000000032"/>
        </c:scaling>
        <c:delete val="1"/>
        <c:axPos val="l"/>
        <c:majorGridlines/>
        <c:numFmt formatCode="0%" sourceLinked="0"/>
        <c:tickLblPos val="none"/>
        <c:crossAx val="189852288"/>
        <c:crosses val="autoZero"/>
        <c:crossBetween val="between"/>
        <c:majorUnit val="0.05"/>
      </c:valAx>
      <c:spPr>
        <a:noFill/>
      </c:spPr>
    </c:plotArea>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AU"/>
  <c:style val="4"/>
  <c:chart>
    <c:title>
      <c:tx>
        <c:rich>
          <a:bodyPr/>
          <a:lstStyle/>
          <a:p>
            <a:pPr>
              <a:defRPr/>
            </a:pPr>
            <a:r>
              <a:rPr lang="en-US"/>
              <a:t>All Tasmanian Ports  Total Throughput</a:t>
            </a:r>
          </a:p>
        </c:rich>
      </c:tx>
      <c:layout>
        <c:manualLayout>
          <c:xMode val="edge"/>
          <c:yMode val="edge"/>
          <c:x val="0.21198562133171178"/>
          <c:y val="3.1330704701526636E-2"/>
        </c:manualLayout>
      </c:layout>
    </c:title>
    <c:plotArea>
      <c:layout/>
      <c:barChart>
        <c:barDir val="col"/>
        <c:grouping val="stacked"/>
        <c:ser>
          <c:idx val="0"/>
          <c:order val="0"/>
          <c:tx>
            <c:strRef>
              <c:f>'S:\IPP\Demand&amp;Evaluation\Freight Demanders Survey\2008-09\Freight Survey 2009 summary\Ports\[Tasports summaries-update2012.xlsx]All Ports Totals'!$B$3</c:f>
              <c:strCache>
                <c:ptCount val="1"/>
                <c:pt idx="0">
                  <c:v>Import</c:v>
                </c:pt>
              </c:strCache>
            </c:strRef>
          </c:tx>
          <c:cat>
            <c:strRef>
              <c:f>'S:\IPP\Demand&amp;Evaluation\Freight Demanders Survey\2008-09\Freight Survey 2009 summary\Ports\[Tasports summaries-update2012.xlsx]All Ports Totals'!$A$4:$A$18</c:f>
              <c:strCache>
                <c:ptCount val="15"/>
                <c:pt idx="0">
                  <c:v>1997/98</c:v>
                </c:pt>
                <c:pt idx="1">
                  <c:v>1998/99</c:v>
                </c:pt>
                <c:pt idx="2">
                  <c:v>1999/00</c:v>
                </c:pt>
                <c:pt idx="3">
                  <c:v>2000/01</c:v>
                </c:pt>
                <c:pt idx="4">
                  <c:v>2001/02</c:v>
                </c:pt>
                <c:pt idx="5">
                  <c:v>2002/03</c:v>
                </c:pt>
                <c:pt idx="6">
                  <c:v>2003/04</c:v>
                </c:pt>
                <c:pt idx="7">
                  <c:v>2004/05</c:v>
                </c:pt>
                <c:pt idx="8">
                  <c:v>2005/06</c:v>
                </c:pt>
                <c:pt idx="9">
                  <c:v>2006/07</c:v>
                </c:pt>
                <c:pt idx="10">
                  <c:v>2007/08</c:v>
                </c:pt>
                <c:pt idx="11">
                  <c:v>2008/09</c:v>
                </c:pt>
                <c:pt idx="12">
                  <c:v>2009/10</c:v>
                </c:pt>
                <c:pt idx="13">
                  <c:v>2010/11</c:v>
                </c:pt>
                <c:pt idx="14">
                  <c:v>2011/12</c:v>
                </c:pt>
              </c:strCache>
            </c:strRef>
          </c:cat>
          <c:val>
            <c:numRef>
              <c:f>'S:\IPP\Demand&amp;Evaluation\Freight Demanders Survey\2008-09\Freight Survey 2009 summary\Ports\[Tasports summaries-update2012.xlsx]All Ports Totals'!$B$4:$B$18</c:f>
              <c:numCache>
                <c:formatCode>General</c:formatCode>
                <c:ptCount val="15"/>
                <c:pt idx="0">
                  <c:v>3761369</c:v>
                </c:pt>
                <c:pt idx="1">
                  <c:v>3922775</c:v>
                </c:pt>
                <c:pt idx="2">
                  <c:v>4024561</c:v>
                </c:pt>
                <c:pt idx="3">
                  <c:v>4233789</c:v>
                </c:pt>
                <c:pt idx="4">
                  <c:v>4607605</c:v>
                </c:pt>
                <c:pt idx="5">
                  <c:v>4705460</c:v>
                </c:pt>
                <c:pt idx="6">
                  <c:v>5030925</c:v>
                </c:pt>
                <c:pt idx="7">
                  <c:v>5729600</c:v>
                </c:pt>
                <c:pt idx="8">
                  <c:v>5112865</c:v>
                </c:pt>
                <c:pt idx="9">
                  <c:v>4985676</c:v>
                </c:pt>
                <c:pt idx="10">
                  <c:v>5517080</c:v>
                </c:pt>
                <c:pt idx="11">
                  <c:v>5285411</c:v>
                </c:pt>
                <c:pt idx="12">
                  <c:v>4822976</c:v>
                </c:pt>
                <c:pt idx="13">
                  <c:v>5074191</c:v>
                </c:pt>
                <c:pt idx="14">
                  <c:v>4729623</c:v>
                </c:pt>
              </c:numCache>
            </c:numRef>
          </c:val>
        </c:ser>
        <c:ser>
          <c:idx val="1"/>
          <c:order val="1"/>
          <c:tx>
            <c:strRef>
              <c:f>'S:\IPP\Demand&amp;Evaluation\Freight Demanders Survey\2008-09\Freight Survey 2009 summary\Ports\[Tasports summaries-update2012.xlsx]All Ports Totals'!$D$3</c:f>
              <c:strCache>
                <c:ptCount val="1"/>
                <c:pt idx="0">
                  <c:v>Export</c:v>
                </c:pt>
              </c:strCache>
            </c:strRef>
          </c:tx>
          <c:cat>
            <c:strRef>
              <c:f>'S:\IPP\Demand&amp;Evaluation\Freight Demanders Survey\2008-09\Freight Survey 2009 summary\Ports\[Tasports summaries-update2012.xlsx]All Ports Totals'!$A$4:$A$18</c:f>
              <c:strCache>
                <c:ptCount val="15"/>
                <c:pt idx="0">
                  <c:v>1997/98</c:v>
                </c:pt>
                <c:pt idx="1">
                  <c:v>1998/99</c:v>
                </c:pt>
                <c:pt idx="2">
                  <c:v>1999/00</c:v>
                </c:pt>
                <c:pt idx="3">
                  <c:v>2000/01</c:v>
                </c:pt>
                <c:pt idx="4">
                  <c:v>2001/02</c:v>
                </c:pt>
                <c:pt idx="5">
                  <c:v>2002/03</c:v>
                </c:pt>
                <c:pt idx="6">
                  <c:v>2003/04</c:v>
                </c:pt>
                <c:pt idx="7">
                  <c:v>2004/05</c:v>
                </c:pt>
                <c:pt idx="8">
                  <c:v>2005/06</c:v>
                </c:pt>
                <c:pt idx="9">
                  <c:v>2006/07</c:v>
                </c:pt>
                <c:pt idx="10">
                  <c:v>2007/08</c:v>
                </c:pt>
                <c:pt idx="11">
                  <c:v>2008/09</c:v>
                </c:pt>
                <c:pt idx="12">
                  <c:v>2009/10</c:v>
                </c:pt>
                <c:pt idx="13">
                  <c:v>2010/11</c:v>
                </c:pt>
                <c:pt idx="14">
                  <c:v>2011/12</c:v>
                </c:pt>
              </c:strCache>
            </c:strRef>
          </c:cat>
          <c:val>
            <c:numRef>
              <c:f>'S:\IPP\Demand&amp;Evaluation\Freight Demanders Survey\2008-09\Freight Survey 2009 summary\Ports\[Tasports summaries-update2012.xlsx]All Ports Totals'!$D$4:$D$18</c:f>
              <c:numCache>
                <c:formatCode>General</c:formatCode>
                <c:ptCount val="15"/>
                <c:pt idx="0">
                  <c:v>7884961</c:v>
                </c:pt>
                <c:pt idx="1">
                  <c:v>8171669</c:v>
                </c:pt>
                <c:pt idx="2">
                  <c:v>9474676</c:v>
                </c:pt>
                <c:pt idx="3">
                  <c:v>9480821</c:v>
                </c:pt>
                <c:pt idx="4">
                  <c:v>9962502</c:v>
                </c:pt>
                <c:pt idx="5">
                  <c:v>10742429</c:v>
                </c:pt>
                <c:pt idx="6">
                  <c:v>10822777</c:v>
                </c:pt>
                <c:pt idx="7">
                  <c:v>10670528</c:v>
                </c:pt>
                <c:pt idx="8">
                  <c:v>9681748</c:v>
                </c:pt>
                <c:pt idx="9">
                  <c:v>10209748</c:v>
                </c:pt>
                <c:pt idx="10">
                  <c:v>10705453</c:v>
                </c:pt>
                <c:pt idx="11">
                  <c:v>9568919</c:v>
                </c:pt>
                <c:pt idx="12">
                  <c:v>8602366</c:v>
                </c:pt>
                <c:pt idx="13">
                  <c:v>8463834</c:v>
                </c:pt>
                <c:pt idx="14">
                  <c:v>6556943</c:v>
                </c:pt>
              </c:numCache>
            </c:numRef>
          </c:val>
        </c:ser>
        <c:overlap val="100"/>
        <c:axId val="187813248"/>
        <c:axId val="188093568"/>
      </c:barChart>
      <c:lineChart>
        <c:grouping val="standard"/>
        <c:ser>
          <c:idx val="2"/>
          <c:order val="2"/>
          <c:tx>
            <c:strRef>
              <c:f>'S:\IPP\Demand&amp;Evaluation\Freight Demanders Survey\2008-09\Freight Survey 2009 summary\Ports\[Tasports summaries-update2012.xlsx]All Ports Totals'!$L$3</c:f>
              <c:strCache>
                <c:ptCount val="1"/>
                <c:pt idx="0">
                  <c:v>TEUs Total</c:v>
                </c:pt>
              </c:strCache>
            </c:strRef>
          </c:tx>
          <c:marker>
            <c:symbol val="none"/>
          </c:marker>
          <c:cat>
            <c:strRef>
              <c:f>'S:\IPP\Demand&amp;Evaluation\Freight Demanders Survey\2008-09\Freight Survey 2009 summary\Ports\[Tasports summaries-update2012.xlsx]All Ports Totals'!$A$4:$A$18</c:f>
              <c:strCache>
                <c:ptCount val="15"/>
                <c:pt idx="0">
                  <c:v>1997/98</c:v>
                </c:pt>
                <c:pt idx="1">
                  <c:v>1998/99</c:v>
                </c:pt>
                <c:pt idx="2">
                  <c:v>1999/00</c:v>
                </c:pt>
                <c:pt idx="3">
                  <c:v>2000/01</c:v>
                </c:pt>
                <c:pt idx="4">
                  <c:v>2001/02</c:v>
                </c:pt>
                <c:pt idx="5">
                  <c:v>2002/03</c:v>
                </c:pt>
                <c:pt idx="6">
                  <c:v>2003/04</c:v>
                </c:pt>
                <c:pt idx="7">
                  <c:v>2004/05</c:v>
                </c:pt>
                <c:pt idx="8">
                  <c:v>2005/06</c:v>
                </c:pt>
                <c:pt idx="9">
                  <c:v>2006/07</c:v>
                </c:pt>
                <c:pt idx="10">
                  <c:v>2007/08</c:v>
                </c:pt>
                <c:pt idx="11">
                  <c:v>2008/09</c:v>
                </c:pt>
                <c:pt idx="12">
                  <c:v>2009/10</c:v>
                </c:pt>
                <c:pt idx="13">
                  <c:v>2010/11</c:v>
                </c:pt>
                <c:pt idx="14">
                  <c:v>2011/12</c:v>
                </c:pt>
              </c:strCache>
            </c:strRef>
          </c:cat>
          <c:val>
            <c:numRef>
              <c:f>'S:\IPP\Demand&amp;Evaluation\Freight Demanders Survey\2008-09\Freight Survey 2009 summary\Ports\[Tasports summaries-update2012.xlsx]All Ports Totals'!$L$4:$L$18</c:f>
              <c:numCache>
                <c:formatCode>General</c:formatCode>
                <c:ptCount val="15"/>
                <c:pt idx="0">
                  <c:v>265927</c:v>
                </c:pt>
                <c:pt idx="1">
                  <c:v>270269</c:v>
                </c:pt>
                <c:pt idx="2">
                  <c:v>292868</c:v>
                </c:pt>
                <c:pt idx="3">
                  <c:v>305943</c:v>
                </c:pt>
                <c:pt idx="4">
                  <c:v>329727</c:v>
                </c:pt>
                <c:pt idx="5">
                  <c:v>375034</c:v>
                </c:pt>
                <c:pt idx="6">
                  <c:v>424533</c:v>
                </c:pt>
                <c:pt idx="7">
                  <c:v>452705</c:v>
                </c:pt>
                <c:pt idx="8">
                  <c:v>450073</c:v>
                </c:pt>
                <c:pt idx="9">
                  <c:v>450420</c:v>
                </c:pt>
                <c:pt idx="10">
                  <c:v>491485</c:v>
                </c:pt>
                <c:pt idx="11">
                  <c:v>474185</c:v>
                </c:pt>
                <c:pt idx="12">
                  <c:v>460957</c:v>
                </c:pt>
                <c:pt idx="13">
                  <c:v>463347</c:v>
                </c:pt>
                <c:pt idx="14">
                  <c:v>456825</c:v>
                </c:pt>
              </c:numCache>
            </c:numRef>
          </c:val>
        </c:ser>
        <c:marker val="1"/>
        <c:axId val="188110720"/>
        <c:axId val="188095872"/>
      </c:lineChart>
      <c:catAx>
        <c:axId val="187813248"/>
        <c:scaling>
          <c:orientation val="minMax"/>
        </c:scaling>
        <c:axPos val="b"/>
        <c:tickLblPos val="nextTo"/>
        <c:txPr>
          <a:bodyPr rot="-3420000"/>
          <a:lstStyle/>
          <a:p>
            <a:pPr>
              <a:defRPr/>
            </a:pPr>
            <a:endParaRPr lang="en-US"/>
          </a:p>
        </c:txPr>
        <c:crossAx val="188093568"/>
        <c:crossesAt val="0"/>
        <c:auto val="1"/>
        <c:lblAlgn val="ctr"/>
        <c:lblOffset val="100"/>
      </c:catAx>
      <c:valAx>
        <c:axId val="188093568"/>
        <c:scaling>
          <c:orientation val="minMax"/>
        </c:scaling>
        <c:axPos val="l"/>
        <c:majorGridlines/>
        <c:title>
          <c:tx>
            <c:rich>
              <a:bodyPr rot="-5400000" vert="horz"/>
              <a:lstStyle/>
              <a:p>
                <a:pPr>
                  <a:defRPr/>
                </a:pPr>
                <a:r>
                  <a:rPr lang="en-AU"/>
                  <a:t>Import / Export  (million Tonnes)</a:t>
                </a:r>
              </a:p>
            </c:rich>
          </c:tx>
          <c:layout/>
        </c:title>
        <c:numFmt formatCode="#,##0" sourceLinked="0"/>
        <c:tickLblPos val="nextTo"/>
        <c:crossAx val="187813248"/>
        <c:crosses val="autoZero"/>
        <c:crossBetween val="between"/>
        <c:dispUnits>
          <c:builtInUnit val="millions"/>
        </c:dispUnits>
      </c:valAx>
      <c:valAx>
        <c:axId val="188095872"/>
        <c:scaling>
          <c:orientation val="minMax"/>
          <c:max val="600000"/>
        </c:scaling>
        <c:axPos val="r"/>
        <c:title>
          <c:tx>
            <c:rich>
              <a:bodyPr rot="-5400000" vert="horz"/>
              <a:lstStyle/>
              <a:p>
                <a:pPr>
                  <a:defRPr/>
                </a:pPr>
                <a:r>
                  <a:rPr lang="en-AU"/>
                  <a:t>         Total TEUs ('000)</a:t>
                </a:r>
              </a:p>
            </c:rich>
          </c:tx>
          <c:layout>
            <c:manualLayout>
              <c:xMode val="edge"/>
              <c:yMode val="edge"/>
              <c:x val="0.92801602077694445"/>
              <c:y val="0.20850534757084782"/>
            </c:manualLayout>
          </c:layout>
        </c:title>
        <c:numFmt formatCode="General" sourceLinked="1"/>
        <c:tickLblPos val="nextTo"/>
        <c:crossAx val="188110720"/>
        <c:crosses val="max"/>
        <c:crossBetween val="between"/>
        <c:dispUnits>
          <c:builtInUnit val="thousands"/>
        </c:dispUnits>
      </c:valAx>
      <c:catAx>
        <c:axId val="188110720"/>
        <c:scaling>
          <c:orientation val="minMax"/>
        </c:scaling>
        <c:delete val="1"/>
        <c:axPos val="b"/>
        <c:tickLblPos val="none"/>
        <c:crossAx val="188095872"/>
        <c:crosses val="autoZero"/>
        <c:auto val="1"/>
        <c:lblAlgn val="ctr"/>
        <c:lblOffset val="100"/>
      </c:catAx>
    </c:plotArea>
    <c:legend>
      <c:legendPos val="b"/>
      <c:layout>
        <c:manualLayout>
          <c:xMode val="edge"/>
          <c:yMode val="edge"/>
          <c:x val="0.21769159560449144"/>
          <c:y val="0.87216203396262149"/>
          <c:w val="0.56461679790025809"/>
          <c:h val="7.5345472440944888E-2"/>
        </c:manualLayout>
      </c:layout>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AU"/>
  <c:chart>
    <c:title>
      <c:layout>
        <c:manualLayout>
          <c:xMode val="edge"/>
          <c:yMode val="edge"/>
          <c:x val="0.2246642246642247"/>
          <c:y val="2.6679194218859226E-2"/>
        </c:manualLayout>
      </c:layout>
    </c:title>
    <c:plotArea>
      <c:layout>
        <c:manualLayout>
          <c:layoutTarget val="inner"/>
          <c:xMode val="edge"/>
          <c:yMode val="edge"/>
          <c:x val="0.19867390171734148"/>
          <c:y val="0.12834011585842744"/>
          <c:w val="0.54840570022380164"/>
          <c:h val="0.5143980025343966"/>
        </c:manualLayout>
      </c:layout>
      <c:barChart>
        <c:barDir val="col"/>
        <c:grouping val="clustered"/>
        <c:ser>
          <c:idx val="0"/>
          <c:order val="0"/>
          <c:tx>
            <c:strRef>
              <c:f>Sheet1!$B$1</c:f>
              <c:strCache>
                <c:ptCount val="1"/>
                <c:pt idx="0">
                  <c:v>George Town</c:v>
                </c:pt>
              </c:strCache>
            </c:strRef>
          </c:tx>
          <c:dPt>
            <c:idx val="0"/>
            <c:spPr>
              <a:solidFill>
                <a:schemeClr val="accent2">
                  <a:lumMod val="75000"/>
                </a:schemeClr>
              </a:solidFill>
            </c:spPr>
          </c:dPt>
          <c:dPt>
            <c:idx val="1"/>
            <c:spPr>
              <a:solidFill>
                <a:srgbClr val="4BACC6">
                  <a:lumMod val="75000"/>
                </a:srgbClr>
              </a:solidFill>
            </c:spPr>
          </c:dPt>
          <c:dPt>
            <c:idx val="2"/>
            <c:spPr>
              <a:solidFill>
                <a:srgbClr val="8064A2">
                  <a:lumMod val="60000"/>
                  <a:lumOff val="40000"/>
                </a:srgbClr>
              </a:solidFill>
            </c:spPr>
          </c:dPt>
          <c:dPt>
            <c:idx val="3"/>
            <c:spPr>
              <a:solidFill>
                <a:srgbClr val="9BBB59">
                  <a:lumMod val="60000"/>
                  <a:lumOff val="40000"/>
                </a:srgbClr>
              </a:solidFill>
            </c:spPr>
          </c:dPt>
          <c:dPt>
            <c:idx val="4"/>
            <c:spPr>
              <a:solidFill>
                <a:srgbClr val="9BBB59">
                  <a:lumMod val="75000"/>
                </a:srgbClr>
              </a:solidFill>
            </c:spPr>
          </c:dPt>
          <c:cat>
            <c:strRef>
              <c:f>Sheet1!$C$2:$C$6</c:f>
              <c:strCache>
                <c:ptCount val="5"/>
                <c:pt idx="0">
                  <c:v>Manufacturing</c:v>
                </c:pt>
                <c:pt idx="1">
                  <c:v>Retail trade</c:v>
                </c:pt>
                <c:pt idx="2">
                  <c:v>Health care and social assistance</c:v>
                </c:pt>
                <c:pt idx="3">
                  <c:v>Education and training</c:v>
                </c:pt>
                <c:pt idx="4">
                  <c:v>Construction</c:v>
                </c:pt>
              </c:strCache>
            </c:strRef>
          </c:cat>
          <c:val>
            <c:numRef>
              <c:f>Sheet1!$B$2:$B$6</c:f>
              <c:numCache>
                <c:formatCode>0.00%</c:formatCode>
                <c:ptCount val="5"/>
                <c:pt idx="0">
                  <c:v>0.24200000000000021</c:v>
                </c:pt>
                <c:pt idx="1">
                  <c:v>0.10489999999999998</c:v>
                </c:pt>
                <c:pt idx="2">
                  <c:v>9.8400000000000043E-2</c:v>
                </c:pt>
                <c:pt idx="3">
                  <c:v>7.4900000000000022E-2</c:v>
                </c:pt>
                <c:pt idx="4">
                  <c:v>7.0000000000000021E-2</c:v>
                </c:pt>
              </c:numCache>
            </c:numRef>
          </c:val>
        </c:ser>
        <c:axId val="190097280"/>
        <c:axId val="190098816"/>
      </c:barChart>
      <c:catAx>
        <c:axId val="190097280"/>
        <c:scaling>
          <c:orientation val="minMax"/>
        </c:scaling>
        <c:axPos val="b"/>
        <c:numFmt formatCode="#,##0" sourceLinked="1"/>
        <c:tickLblPos val="nextTo"/>
        <c:txPr>
          <a:bodyPr rot="-2880000"/>
          <a:lstStyle/>
          <a:p>
            <a:pPr>
              <a:defRPr/>
            </a:pPr>
            <a:endParaRPr lang="en-US"/>
          </a:p>
        </c:txPr>
        <c:crossAx val="190098816"/>
        <c:crosses val="autoZero"/>
        <c:auto val="1"/>
        <c:lblAlgn val="ctr"/>
        <c:lblOffset val="100"/>
      </c:catAx>
      <c:valAx>
        <c:axId val="190098816"/>
        <c:scaling>
          <c:orientation val="minMax"/>
          <c:max val="0.30000000000000032"/>
        </c:scaling>
        <c:axPos val="l"/>
        <c:majorGridlines/>
        <c:numFmt formatCode="0%" sourceLinked="0"/>
        <c:tickLblPos val="low"/>
        <c:crossAx val="190097280"/>
        <c:crosses val="autoZero"/>
        <c:crossBetween val="between"/>
        <c:majorUnit val="0.05"/>
      </c:valAx>
      <c:spPr>
        <a:noFill/>
      </c:spPr>
    </c:plotArea>
    <c:plotVisOnly val="1"/>
  </c:chart>
  <c:spPr>
    <a:noFill/>
    <a:ln>
      <a:noFill/>
    </a:ln>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AU"/>
  <c:style val="13"/>
  <c:chart>
    <c:autoTitleDeleted val="1"/>
    <c:plotArea>
      <c:layout/>
      <c:barChart>
        <c:barDir val="bar"/>
        <c:grouping val="clustered"/>
        <c:ser>
          <c:idx val="0"/>
          <c:order val="0"/>
          <c:tx>
            <c:strRef>
              <c:f>Sheet1!$A$2</c:f>
              <c:strCache>
                <c:ptCount val="1"/>
                <c:pt idx="0">
                  <c:v>3 or more</c:v>
                </c:pt>
              </c:strCache>
            </c:strRef>
          </c:tx>
          <c:cat>
            <c:strRef>
              <c:f>Sheet1!$B$1:$C$1</c:f>
              <c:strCache>
                <c:ptCount val="2"/>
                <c:pt idx="0">
                  <c:v>Northern Region</c:v>
                </c:pt>
                <c:pt idx="1">
                  <c:v>Tasmania</c:v>
                </c:pt>
              </c:strCache>
            </c:strRef>
          </c:cat>
          <c:val>
            <c:numRef>
              <c:f>Sheet1!$B$2:$C$2</c:f>
              <c:numCache>
                <c:formatCode>0.0%</c:formatCode>
                <c:ptCount val="2"/>
                <c:pt idx="0" formatCode="0.00%">
                  <c:v>0.19279205867101271</c:v>
                </c:pt>
                <c:pt idx="1">
                  <c:v>0.16500000000000001</c:v>
                </c:pt>
              </c:numCache>
            </c:numRef>
          </c:val>
        </c:ser>
        <c:ser>
          <c:idx val="1"/>
          <c:order val="1"/>
          <c:tx>
            <c:strRef>
              <c:f>Sheet1!$A$3</c:f>
              <c:strCache>
                <c:ptCount val="1"/>
                <c:pt idx="0">
                  <c:v>2 vehicles</c:v>
                </c:pt>
              </c:strCache>
            </c:strRef>
          </c:tx>
          <c:cat>
            <c:strRef>
              <c:f>Sheet1!$B$1:$C$1</c:f>
              <c:strCache>
                <c:ptCount val="2"/>
                <c:pt idx="0">
                  <c:v>Northern Region</c:v>
                </c:pt>
                <c:pt idx="1">
                  <c:v>Tasmania</c:v>
                </c:pt>
              </c:strCache>
            </c:strRef>
          </c:cat>
          <c:val>
            <c:numRef>
              <c:f>Sheet1!$B$3:$C$3</c:f>
              <c:numCache>
                <c:formatCode>0.0%</c:formatCode>
                <c:ptCount val="2"/>
                <c:pt idx="0" formatCode="0.00%">
                  <c:v>0.35689680717090655</c:v>
                </c:pt>
                <c:pt idx="1">
                  <c:v>0.36100000000000032</c:v>
                </c:pt>
              </c:numCache>
            </c:numRef>
          </c:val>
        </c:ser>
        <c:ser>
          <c:idx val="2"/>
          <c:order val="2"/>
          <c:tx>
            <c:strRef>
              <c:f>Sheet1!$A$4</c:f>
              <c:strCache>
                <c:ptCount val="1"/>
                <c:pt idx="0">
                  <c:v>1 vehicle</c:v>
                </c:pt>
              </c:strCache>
            </c:strRef>
          </c:tx>
          <c:cat>
            <c:strRef>
              <c:f>Sheet1!$B$1:$C$1</c:f>
              <c:strCache>
                <c:ptCount val="2"/>
                <c:pt idx="0">
                  <c:v>Northern Region</c:v>
                </c:pt>
                <c:pt idx="1">
                  <c:v>Tasmania</c:v>
                </c:pt>
              </c:strCache>
            </c:strRef>
          </c:cat>
          <c:val>
            <c:numRef>
              <c:f>Sheet1!$B$4:$C$4</c:f>
              <c:numCache>
                <c:formatCode>0.0%</c:formatCode>
                <c:ptCount val="2"/>
                <c:pt idx="0" formatCode="0.00%">
                  <c:v>0.3460441514186236</c:v>
                </c:pt>
                <c:pt idx="1">
                  <c:v>0.35800000000000032</c:v>
                </c:pt>
              </c:numCache>
            </c:numRef>
          </c:val>
        </c:ser>
        <c:ser>
          <c:idx val="3"/>
          <c:order val="3"/>
          <c:tx>
            <c:strRef>
              <c:f>Sheet1!$A$5</c:f>
              <c:strCache>
                <c:ptCount val="1"/>
                <c:pt idx="0">
                  <c:v>No vehicle</c:v>
                </c:pt>
              </c:strCache>
            </c:strRef>
          </c:tx>
          <c:cat>
            <c:strRef>
              <c:f>Sheet1!$B$1:$C$1</c:f>
              <c:strCache>
                <c:ptCount val="2"/>
                <c:pt idx="0">
                  <c:v>Northern Region</c:v>
                </c:pt>
                <c:pt idx="1">
                  <c:v>Tasmania</c:v>
                </c:pt>
              </c:strCache>
            </c:strRef>
          </c:cat>
          <c:val>
            <c:numRef>
              <c:f>Sheet1!$B$5:$C$5</c:f>
              <c:numCache>
                <c:formatCode>0.0%</c:formatCode>
                <c:ptCount val="2"/>
                <c:pt idx="0" formatCode="0.00%">
                  <c:v>7.6727905770797841E-2</c:v>
                </c:pt>
                <c:pt idx="1">
                  <c:v>8.6000000000000021E-2</c:v>
                </c:pt>
              </c:numCache>
            </c:numRef>
          </c:val>
        </c:ser>
        <c:axId val="190231296"/>
        <c:axId val="190232832"/>
      </c:barChart>
      <c:catAx>
        <c:axId val="190231296"/>
        <c:scaling>
          <c:orientation val="minMax"/>
        </c:scaling>
        <c:axPos val="l"/>
        <c:numFmt formatCode="d/mm/yyyy" sourceLinked="1"/>
        <c:tickLblPos val="nextTo"/>
        <c:crossAx val="190232832"/>
        <c:crosses val="autoZero"/>
        <c:auto val="1"/>
        <c:lblAlgn val="ctr"/>
        <c:lblOffset val="100"/>
      </c:catAx>
      <c:valAx>
        <c:axId val="190232832"/>
        <c:scaling>
          <c:orientation val="minMax"/>
        </c:scaling>
        <c:axPos val="b"/>
        <c:majorGridlines/>
        <c:numFmt formatCode="0%" sourceLinked="0"/>
        <c:tickLblPos val="nextTo"/>
        <c:crossAx val="190231296"/>
        <c:crosses val="autoZero"/>
        <c:crossBetween val="between"/>
      </c:valAx>
    </c:plotArea>
    <c:legend>
      <c:legendPos val="r"/>
      <c:layout/>
      <c:txPr>
        <a:bodyPr/>
        <a:lstStyle/>
        <a:p>
          <a:pPr rtl="0">
            <a:defRPr/>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AU"/>
  <c:chart>
    <c:autoTitleDeleted val="1"/>
    <c:plotArea>
      <c:layout>
        <c:manualLayout>
          <c:layoutTarget val="inner"/>
          <c:xMode val="edge"/>
          <c:yMode val="edge"/>
          <c:x val="0.15869404345290614"/>
          <c:y val="4.4057617797775533E-2"/>
          <c:w val="0.81584299358414714"/>
          <c:h val="0.73148293963254596"/>
        </c:manualLayout>
      </c:layout>
      <c:lineChart>
        <c:grouping val="standard"/>
        <c:ser>
          <c:idx val="0"/>
          <c:order val="0"/>
          <c:tx>
            <c:strRef>
              <c:f>Sheet1!$A$2</c:f>
              <c:strCache>
                <c:ptCount val="1"/>
                <c:pt idx="0">
                  <c:v>Fatalities</c:v>
                </c:pt>
              </c:strCache>
            </c:strRef>
          </c:tx>
          <c:spPr>
            <a:ln>
              <a:solidFill>
                <a:srgbClr val="C0504D"/>
              </a:solidFill>
            </a:ln>
          </c:spPr>
          <c:marker>
            <c:symbol val="none"/>
          </c:marker>
          <c:dLbls>
            <c:dLbl>
              <c:idx val="0"/>
              <c:layout/>
              <c:dLblPos val="t"/>
              <c:showVal val="1"/>
            </c:dLbl>
            <c:dLbl>
              <c:idx val="10"/>
              <c:layout/>
              <c:dLblPos val="t"/>
              <c:showVal val="1"/>
            </c:dLbl>
            <c:delete val="1"/>
            <c:dLblPos val="t"/>
          </c:dLbls>
          <c:cat>
            <c:strRef>
              <c:f>Sheet1!$B$1:$L$1</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Sheet1!$B$2:$L$2</c:f>
              <c:numCache>
                <c:formatCode>General</c:formatCode>
                <c:ptCount val="11"/>
                <c:pt idx="0">
                  <c:v>61</c:v>
                </c:pt>
                <c:pt idx="1">
                  <c:v>37</c:v>
                </c:pt>
                <c:pt idx="2">
                  <c:v>41</c:v>
                </c:pt>
                <c:pt idx="3">
                  <c:v>58</c:v>
                </c:pt>
                <c:pt idx="4">
                  <c:v>51</c:v>
                </c:pt>
                <c:pt idx="5">
                  <c:v>55</c:v>
                </c:pt>
                <c:pt idx="6">
                  <c:v>45</c:v>
                </c:pt>
                <c:pt idx="7">
                  <c:v>39</c:v>
                </c:pt>
                <c:pt idx="8">
                  <c:v>63</c:v>
                </c:pt>
                <c:pt idx="9">
                  <c:v>31</c:v>
                </c:pt>
                <c:pt idx="10">
                  <c:v>25</c:v>
                </c:pt>
              </c:numCache>
            </c:numRef>
          </c:val>
        </c:ser>
        <c:ser>
          <c:idx val="1"/>
          <c:order val="1"/>
          <c:tx>
            <c:strRef>
              <c:f>Sheet1!$A$3</c:f>
              <c:strCache>
                <c:ptCount val="1"/>
                <c:pt idx="0">
                  <c:v>Serious injuries</c:v>
                </c:pt>
              </c:strCache>
            </c:strRef>
          </c:tx>
          <c:spPr>
            <a:ln>
              <a:solidFill>
                <a:schemeClr val="accent1"/>
              </a:solidFill>
            </a:ln>
          </c:spPr>
          <c:marker>
            <c:symbol val="none"/>
          </c:marker>
          <c:dLbls>
            <c:dLbl>
              <c:idx val="0"/>
              <c:layout/>
              <c:dLblPos val="t"/>
              <c:showVal val="1"/>
            </c:dLbl>
            <c:dLbl>
              <c:idx val="10"/>
              <c:layout/>
              <c:dLblPos val="t"/>
              <c:showVal val="1"/>
            </c:dLbl>
            <c:delete val="1"/>
            <c:dLblPos val="t"/>
          </c:dLbls>
          <c:cat>
            <c:strRef>
              <c:f>Sheet1!$B$1:$L$1</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Sheet1!$B$3:$L$3</c:f>
              <c:numCache>
                <c:formatCode>General</c:formatCode>
                <c:ptCount val="11"/>
                <c:pt idx="0">
                  <c:v>473</c:v>
                </c:pt>
                <c:pt idx="1">
                  <c:v>425</c:v>
                </c:pt>
                <c:pt idx="2">
                  <c:v>392</c:v>
                </c:pt>
                <c:pt idx="3">
                  <c:v>380</c:v>
                </c:pt>
                <c:pt idx="4">
                  <c:v>371</c:v>
                </c:pt>
                <c:pt idx="5">
                  <c:v>317</c:v>
                </c:pt>
                <c:pt idx="6">
                  <c:v>329</c:v>
                </c:pt>
                <c:pt idx="7">
                  <c:v>277</c:v>
                </c:pt>
                <c:pt idx="8">
                  <c:v>290</c:v>
                </c:pt>
                <c:pt idx="9">
                  <c:v>256</c:v>
                </c:pt>
                <c:pt idx="10">
                  <c:v>269</c:v>
                </c:pt>
              </c:numCache>
            </c:numRef>
          </c:val>
        </c:ser>
        <c:marker val="1"/>
        <c:axId val="188135296"/>
        <c:axId val="188136832"/>
      </c:lineChart>
      <c:catAx>
        <c:axId val="188135296"/>
        <c:scaling>
          <c:orientation val="minMax"/>
        </c:scaling>
        <c:axPos val="b"/>
        <c:majorTickMark val="none"/>
        <c:tickLblPos val="nextTo"/>
        <c:crossAx val="188136832"/>
        <c:crosses val="autoZero"/>
        <c:auto val="1"/>
        <c:lblAlgn val="ctr"/>
        <c:lblOffset val="100"/>
      </c:catAx>
      <c:valAx>
        <c:axId val="188136832"/>
        <c:scaling>
          <c:orientation val="minMax"/>
        </c:scaling>
        <c:axPos val="l"/>
        <c:majorGridlines>
          <c:spPr>
            <a:ln>
              <a:solidFill>
                <a:sysClr val="window" lastClr="FFFFFF">
                  <a:lumMod val="75000"/>
                  <a:alpha val="67000"/>
                </a:sysClr>
              </a:solidFill>
            </a:ln>
          </c:spPr>
        </c:majorGridlines>
        <c:numFmt formatCode="General" sourceLinked="1"/>
        <c:majorTickMark val="none"/>
        <c:tickLblPos val="nextTo"/>
        <c:spPr>
          <a:ln>
            <a:solidFill>
              <a:srgbClr val="4F81BD">
                <a:alpha val="11000"/>
              </a:srgbClr>
            </a:solidFill>
          </a:ln>
        </c:spPr>
        <c:crossAx val="188135296"/>
        <c:crosses val="autoZero"/>
        <c:crossBetween val="between"/>
      </c:valAx>
      <c:spPr>
        <a:solidFill>
          <a:srgbClr val="8064A2">
            <a:lumMod val="20000"/>
            <a:lumOff val="80000"/>
            <a:alpha val="72000"/>
          </a:srgbClr>
        </a:solidFill>
      </c:spPr>
    </c:plotArea>
    <c:legend>
      <c:legendPos val="b"/>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AU"/>
  <c:chart>
    <c:plotArea>
      <c:layout>
        <c:manualLayout>
          <c:layoutTarget val="inner"/>
          <c:xMode val="edge"/>
          <c:yMode val="edge"/>
          <c:x val="0.1747357101195684"/>
          <c:y val="4.4057617797775513E-2"/>
          <c:w val="0.79980132691746852"/>
          <c:h val="0.73148293963254596"/>
        </c:manualLayout>
      </c:layout>
      <c:lineChart>
        <c:grouping val="standard"/>
        <c:ser>
          <c:idx val="0"/>
          <c:order val="0"/>
          <c:tx>
            <c:strRef>
              <c:f>Sheet1!$A$2</c:f>
              <c:strCache>
                <c:ptCount val="1"/>
                <c:pt idx="0">
                  <c:v>Fatalities</c:v>
                </c:pt>
              </c:strCache>
            </c:strRef>
          </c:tx>
          <c:spPr>
            <a:ln>
              <a:solidFill>
                <a:schemeClr val="accent2"/>
              </a:solidFill>
            </a:ln>
          </c:spPr>
          <c:marker>
            <c:symbol val="none"/>
          </c:marker>
          <c:dLbls>
            <c:dLbl>
              <c:idx val="0"/>
              <c:layout/>
              <c:dLblPos val="t"/>
              <c:showVal val="1"/>
            </c:dLbl>
            <c:dLbl>
              <c:idx val="10"/>
              <c:layout/>
              <c:dLblPos val="t"/>
              <c:showVal val="1"/>
            </c:dLbl>
            <c:delete val="1"/>
            <c:dLblPos val="t"/>
          </c:dLbls>
          <c:cat>
            <c:strRef>
              <c:f>Sheet1!$B$1:$L$1</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Sheet1!$B$2:$L$2</c:f>
              <c:numCache>
                <c:formatCode>General</c:formatCode>
                <c:ptCount val="11"/>
                <c:pt idx="0">
                  <c:v>11</c:v>
                </c:pt>
                <c:pt idx="1">
                  <c:v>15</c:v>
                </c:pt>
                <c:pt idx="2">
                  <c:v>10</c:v>
                </c:pt>
                <c:pt idx="3">
                  <c:v>17</c:v>
                </c:pt>
                <c:pt idx="4">
                  <c:v>19</c:v>
                </c:pt>
                <c:pt idx="5">
                  <c:v>14</c:v>
                </c:pt>
                <c:pt idx="6">
                  <c:v>14</c:v>
                </c:pt>
                <c:pt idx="7">
                  <c:v>9</c:v>
                </c:pt>
                <c:pt idx="8">
                  <c:v>19</c:v>
                </c:pt>
                <c:pt idx="9">
                  <c:v>7</c:v>
                </c:pt>
                <c:pt idx="10">
                  <c:v>8</c:v>
                </c:pt>
              </c:numCache>
            </c:numRef>
          </c:val>
        </c:ser>
        <c:ser>
          <c:idx val="1"/>
          <c:order val="1"/>
          <c:tx>
            <c:strRef>
              <c:f>Sheet1!$A$3</c:f>
              <c:strCache>
                <c:ptCount val="1"/>
                <c:pt idx="0">
                  <c:v>Serious Injuries</c:v>
                </c:pt>
              </c:strCache>
            </c:strRef>
          </c:tx>
          <c:spPr>
            <a:ln>
              <a:solidFill>
                <a:schemeClr val="accent1"/>
              </a:solidFill>
            </a:ln>
          </c:spPr>
          <c:marker>
            <c:symbol val="none"/>
          </c:marker>
          <c:dLbls>
            <c:dLbl>
              <c:idx val="0"/>
              <c:layout/>
              <c:dLblPos val="t"/>
              <c:showVal val="1"/>
            </c:dLbl>
            <c:dLbl>
              <c:idx val="10"/>
              <c:layout/>
              <c:dLblPos val="t"/>
              <c:showVal val="1"/>
            </c:dLbl>
            <c:delete val="1"/>
            <c:dLblPos val="t"/>
          </c:dLbls>
          <c:cat>
            <c:strRef>
              <c:f>Sheet1!$B$1:$L$1</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Sheet1!$B$3:$L$3</c:f>
              <c:numCache>
                <c:formatCode>General</c:formatCode>
                <c:ptCount val="11"/>
                <c:pt idx="0">
                  <c:v>115</c:v>
                </c:pt>
                <c:pt idx="1">
                  <c:v>117</c:v>
                </c:pt>
                <c:pt idx="2">
                  <c:v>90</c:v>
                </c:pt>
                <c:pt idx="3">
                  <c:v>91</c:v>
                </c:pt>
                <c:pt idx="4">
                  <c:v>105</c:v>
                </c:pt>
                <c:pt idx="5">
                  <c:v>80</c:v>
                </c:pt>
                <c:pt idx="6">
                  <c:v>73</c:v>
                </c:pt>
                <c:pt idx="7">
                  <c:v>49</c:v>
                </c:pt>
                <c:pt idx="8">
                  <c:v>79</c:v>
                </c:pt>
                <c:pt idx="9">
                  <c:v>63</c:v>
                </c:pt>
                <c:pt idx="10">
                  <c:v>75</c:v>
                </c:pt>
              </c:numCache>
            </c:numRef>
          </c:val>
        </c:ser>
        <c:marker val="1"/>
        <c:axId val="188175104"/>
        <c:axId val="188176640"/>
      </c:lineChart>
      <c:catAx>
        <c:axId val="188175104"/>
        <c:scaling>
          <c:orientation val="minMax"/>
        </c:scaling>
        <c:axPos val="b"/>
        <c:majorTickMark val="none"/>
        <c:tickLblPos val="nextTo"/>
        <c:crossAx val="188176640"/>
        <c:crosses val="autoZero"/>
        <c:auto val="1"/>
        <c:lblAlgn val="ctr"/>
        <c:lblOffset val="100"/>
      </c:catAx>
      <c:valAx>
        <c:axId val="188176640"/>
        <c:scaling>
          <c:orientation val="minMax"/>
        </c:scaling>
        <c:axPos val="l"/>
        <c:majorGridlines>
          <c:spPr>
            <a:ln>
              <a:solidFill>
                <a:sysClr val="window" lastClr="FFFFFF">
                  <a:lumMod val="75000"/>
                  <a:alpha val="67000"/>
                </a:sysClr>
              </a:solidFill>
            </a:ln>
          </c:spPr>
        </c:majorGridlines>
        <c:numFmt formatCode="General" sourceLinked="1"/>
        <c:majorTickMark val="none"/>
        <c:tickLblPos val="nextTo"/>
        <c:spPr>
          <a:ln>
            <a:noFill/>
          </a:ln>
        </c:spPr>
        <c:crossAx val="188175104"/>
        <c:crosses val="autoZero"/>
        <c:crossBetween val="between"/>
      </c:valAx>
      <c:spPr>
        <a:solidFill>
          <a:srgbClr val="8064A2">
            <a:lumMod val="20000"/>
            <a:lumOff val="80000"/>
          </a:srgbClr>
        </a:solidFill>
      </c:spPr>
    </c:plotArea>
    <c:legend>
      <c:legendPos val="b"/>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AU"/>
  <c:chart>
    <c:title>
      <c:tx>
        <c:rich>
          <a:bodyPr/>
          <a:lstStyle/>
          <a:p>
            <a:pPr>
              <a:defRPr/>
            </a:pPr>
            <a:r>
              <a:rPr lang="en-AU"/>
              <a:t>Serious Injury Crash Factors</a:t>
            </a:r>
          </a:p>
        </c:rich>
      </c:tx>
      <c:layout/>
    </c:title>
    <c:plotArea>
      <c:layout/>
      <c:lineChart>
        <c:grouping val="standard"/>
        <c:ser>
          <c:idx val="0"/>
          <c:order val="0"/>
          <c:tx>
            <c:strRef>
              <c:f>'Sheet1'!$A$2</c:f>
              <c:strCache>
                <c:ptCount val="1"/>
                <c:pt idx="0">
                  <c:v>Alcohol</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'Sheet1'!$B$2:$G$2</c:f>
              <c:numCache>
                <c:formatCode>General</c:formatCode>
                <c:ptCount val="6"/>
                <c:pt idx="0">
                  <c:v>58</c:v>
                </c:pt>
                <c:pt idx="1">
                  <c:v>62</c:v>
                </c:pt>
                <c:pt idx="2">
                  <c:v>53</c:v>
                </c:pt>
                <c:pt idx="3">
                  <c:v>48</c:v>
                </c:pt>
                <c:pt idx="4">
                  <c:v>48</c:v>
                </c:pt>
                <c:pt idx="5">
                  <c:v>39</c:v>
                </c:pt>
              </c:numCache>
            </c:numRef>
          </c:val>
        </c:ser>
        <c:ser>
          <c:idx val="1"/>
          <c:order val="1"/>
          <c:tx>
            <c:strRef>
              <c:f>'Sheet1'!$A$3</c:f>
              <c:strCache>
                <c:ptCount val="1"/>
                <c:pt idx="0">
                  <c:v>Asleep - fatigue</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'Sheet1'!$B$3:$G$3</c:f>
              <c:numCache>
                <c:formatCode>General</c:formatCode>
                <c:ptCount val="6"/>
                <c:pt idx="0">
                  <c:v>27</c:v>
                </c:pt>
                <c:pt idx="1">
                  <c:v>7</c:v>
                </c:pt>
                <c:pt idx="2">
                  <c:v>14</c:v>
                </c:pt>
                <c:pt idx="3">
                  <c:v>6</c:v>
                </c:pt>
                <c:pt idx="4">
                  <c:v>11</c:v>
                </c:pt>
                <c:pt idx="5">
                  <c:v>8</c:v>
                </c:pt>
              </c:numCache>
            </c:numRef>
          </c:val>
        </c:ser>
        <c:ser>
          <c:idx val="2"/>
          <c:order val="2"/>
          <c:tx>
            <c:strRef>
              <c:f>'Sheet1'!$A$4</c:f>
              <c:strCache>
                <c:ptCount val="1"/>
                <c:pt idx="0">
                  <c:v>Distraction - external to vehicle</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'Sheet1'!$B$4:$G$4</c:f>
              <c:numCache>
                <c:formatCode>General</c:formatCode>
                <c:ptCount val="6"/>
                <c:pt idx="0">
                  <c:v>19</c:v>
                </c:pt>
                <c:pt idx="1">
                  <c:v>23</c:v>
                </c:pt>
                <c:pt idx="2">
                  <c:v>31</c:v>
                </c:pt>
                <c:pt idx="3">
                  <c:v>26</c:v>
                </c:pt>
                <c:pt idx="4">
                  <c:v>32</c:v>
                </c:pt>
                <c:pt idx="5">
                  <c:v>22</c:v>
                </c:pt>
              </c:numCache>
            </c:numRef>
          </c:val>
        </c:ser>
        <c:ser>
          <c:idx val="3"/>
          <c:order val="3"/>
          <c:tx>
            <c:strRef>
              <c:f>'Sheet1'!$A$5</c:f>
              <c:strCache>
                <c:ptCount val="1"/>
                <c:pt idx="0">
                  <c:v>Drugs</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'Sheet1'!$B$5:$G$5</c:f>
              <c:numCache>
                <c:formatCode>General</c:formatCode>
                <c:ptCount val="6"/>
                <c:pt idx="0">
                  <c:v>34</c:v>
                </c:pt>
                <c:pt idx="1">
                  <c:v>16</c:v>
                </c:pt>
                <c:pt idx="2">
                  <c:v>27</c:v>
                </c:pt>
                <c:pt idx="3">
                  <c:v>13</c:v>
                </c:pt>
                <c:pt idx="4">
                  <c:v>17</c:v>
                </c:pt>
                <c:pt idx="5">
                  <c:v>10</c:v>
                </c:pt>
              </c:numCache>
            </c:numRef>
          </c:val>
        </c:ser>
        <c:ser>
          <c:idx val="4"/>
          <c:order val="4"/>
          <c:tx>
            <c:strRef>
              <c:f>'Sheet1'!$A$6</c:f>
              <c:strCache>
                <c:ptCount val="1"/>
                <c:pt idx="0">
                  <c:v>Exceeding speed limit</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'Sheet1'!$B$6:$G$6</c:f>
              <c:numCache>
                <c:formatCode>General</c:formatCode>
                <c:ptCount val="6"/>
                <c:pt idx="0">
                  <c:v>23</c:v>
                </c:pt>
                <c:pt idx="1">
                  <c:v>26</c:v>
                </c:pt>
                <c:pt idx="2">
                  <c:v>25</c:v>
                </c:pt>
                <c:pt idx="3">
                  <c:v>22</c:v>
                </c:pt>
                <c:pt idx="4">
                  <c:v>21</c:v>
                </c:pt>
                <c:pt idx="5">
                  <c:v>19</c:v>
                </c:pt>
              </c:numCache>
            </c:numRef>
          </c:val>
        </c:ser>
        <c:ser>
          <c:idx val="5"/>
          <c:order val="5"/>
          <c:tx>
            <c:strRef>
              <c:f>'Sheet1'!$A$7</c:f>
              <c:strCache>
                <c:ptCount val="1"/>
                <c:pt idx="0">
                  <c:v>Excessive speed for the conditions / circumstances</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'Sheet1'!$B$7:$G$7</c:f>
              <c:numCache>
                <c:formatCode>General</c:formatCode>
                <c:ptCount val="6"/>
                <c:pt idx="0">
                  <c:v>55</c:v>
                </c:pt>
                <c:pt idx="1">
                  <c:v>50</c:v>
                </c:pt>
                <c:pt idx="2">
                  <c:v>55</c:v>
                </c:pt>
                <c:pt idx="3">
                  <c:v>50</c:v>
                </c:pt>
                <c:pt idx="4">
                  <c:v>56</c:v>
                </c:pt>
                <c:pt idx="5">
                  <c:v>56</c:v>
                </c:pt>
              </c:numCache>
            </c:numRef>
          </c:val>
        </c:ser>
        <c:ser>
          <c:idx val="6"/>
          <c:order val="6"/>
          <c:tx>
            <c:strRef>
              <c:f>'Sheet1'!$A$8</c:f>
              <c:strCache>
                <c:ptCount val="1"/>
                <c:pt idx="0">
                  <c:v>Fail to observe road signs and markings</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'Sheet1'!$B$8:$G$8</c:f>
              <c:numCache>
                <c:formatCode>General</c:formatCode>
                <c:ptCount val="6"/>
                <c:pt idx="0">
                  <c:v>7</c:v>
                </c:pt>
                <c:pt idx="1">
                  <c:v>14</c:v>
                </c:pt>
                <c:pt idx="2">
                  <c:v>13</c:v>
                </c:pt>
                <c:pt idx="3">
                  <c:v>12</c:v>
                </c:pt>
                <c:pt idx="4">
                  <c:v>11</c:v>
                </c:pt>
                <c:pt idx="5">
                  <c:v>19</c:v>
                </c:pt>
              </c:numCache>
            </c:numRef>
          </c:val>
        </c:ser>
        <c:ser>
          <c:idx val="7"/>
          <c:order val="7"/>
          <c:tx>
            <c:strRef>
              <c:f>'Sheet1'!$A$9</c:f>
              <c:strCache>
                <c:ptCount val="1"/>
                <c:pt idx="0">
                  <c:v>Inattentiveness</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'Sheet1'!$B$9:$G$9</c:f>
              <c:numCache>
                <c:formatCode>General</c:formatCode>
                <c:ptCount val="6"/>
                <c:pt idx="0">
                  <c:v>92</c:v>
                </c:pt>
                <c:pt idx="1">
                  <c:v>113</c:v>
                </c:pt>
                <c:pt idx="2">
                  <c:v>116</c:v>
                </c:pt>
                <c:pt idx="3">
                  <c:v>67</c:v>
                </c:pt>
                <c:pt idx="4">
                  <c:v>10</c:v>
                </c:pt>
                <c:pt idx="5">
                  <c:v>13</c:v>
                </c:pt>
              </c:numCache>
            </c:numRef>
          </c:val>
        </c:ser>
        <c:ser>
          <c:idx val="8"/>
          <c:order val="8"/>
          <c:tx>
            <c:strRef>
              <c:f>'Sheet1'!$A$10</c:f>
              <c:strCache>
                <c:ptCount val="1"/>
                <c:pt idx="0">
                  <c:v>Inexperience</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'Sheet1'!$B$10:$G$10</c:f>
              <c:numCache>
                <c:formatCode>General</c:formatCode>
                <c:ptCount val="6"/>
                <c:pt idx="0">
                  <c:v>80</c:v>
                </c:pt>
                <c:pt idx="1">
                  <c:v>66</c:v>
                </c:pt>
                <c:pt idx="2">
                  <c:v>86</c:v>
                </c:pt>
                <c:pt idx="3">
                  <c:v>75</c:v>
                </c:pt>
                <c:pt idx="4">
                  <c:v>61</c:v>
                </c:pt>
                <c:pt idx="5">
                  <c:v>61</c:v>
                </c:pt>
              </c:numCache>
            </c:numRef>
          </c:val>
        </c:ser>
        <c:ser>
          <c:idx val="9"/>
          <c:order val="9"/>
          <c:tx>
            <c:strRef>
              <c:f>'Sheet1'!$A$11</c:f>
              <c:strCache>
                <c:ptCount val="1"/>
                <c:pt idx="0">
                  <c:v>Pedestrian on road</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'Sheet1'!$B$11:$G$11</c:f>
              <c:numCache>
                <c:formatCode>General</c:formatCode>
                <c:ptCount val="6"/>
                <c:pt idx="0">
                  <c:v>19</c:v>
                </c:pt>
                <c:pt idx="1">
                  <c:v>18</c:v>
                </c:pt>
                <c:pt idx="2">
                  <c:v>25</c:v>
                </c:pt>
                <c:pt idx="3">
                  <c:v>21</c:v>
                </c:pt>
                <c:pt idx="4">
                  <c:v>28</c:v>
                </c:pt>
                <c:pt idx="5">
                  <c:v>30</c:v>
                </c:pt>
              </c:numCache>
            </c:numRef>
          </c:val>
        </c:ser>
        <c:ser>
          <c:idx val="10"/>
          <c:order val="10"/>
          <c:tx>
            <c:strRef>
              <c:f>'Sheet1'!$A$12</c:f>
              <c:strCache>
                <c:ptCount val="1"/>
                <c:pt idx="0">
                  <c:v>Unwell - infirm</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'Sheet1'!$B$12:$G$12</c:f>
              <c:numCache>
                <c:formatCode>General</c:formatCode>
                <c:ptCount val="6"/>
                <c:pt idx="0">
                  <c:v>22</c:v>
                </c:pt>
                <c:pt idx="1">
                  <c:v>23</c:v>
                </c:pt>
                <c:pt idx="2">
                  <c:v>22</c:v>
                </c:pt>
                <c:pt idx="3">
                  <c:v>27</c:v>
                </c:pt>
                <c:pt idx="4">
                  <c:v>29</c:v>
                </c:pt>
                <c:pt idx="5">
                  <c:v>36</c:v>
                </c:pt>
              </c:numCache>
            </c:numRef>
          </c:val>
        </c:ser>
        <c:ser>
          <c:idx val="11"/>
          <c:order val="11"/>
          <c:tx>
            <c:strRef>
              <c:f>'Sheet1'!$A$13</c:f>
              <c:strCache>
                <c:ptCount val="1"/>
                <c:pt idx="0">
                  <c:v>Vehicle defect</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'Sheet1'!$B$13:$G$13</c:f>
              <c:numCache>
                <c:formatCode>General</c:formatCode>
                <c:ptCount val="6"/>
                <c:pt idx="0">
                  <c:v>16</c:v>
                </c:pt>
                <c:pt idx="1">
                  <c:v>10</c:v>
                </c:pt>
                <c:pt idx="2">
                  <c:v>16</c:v>
                </c:pt>
                <c:pt idx="3">
                  <c:v>10</c:v>
                </c:pt>
                <c:pt idx="4">
                  <c:v>13</c:v>
                </c:pt>
                <c:pt idx="5">
                  <c:v>12</c:v>
                </c:pt>
              </c:numCache>
            </c:numRef>
          </c:val>
        </c:ser>
        <c:marker val="1"/>
        <c:axId val="188348672"/>
        <c:axId val="188420096"/>
      </c:lineChart>
      <c:catAx>
        <c:axId val="188348672"/>
        <c:scaling>
          <c:orientation val="minMax"/>
        </c:scaling>
        <c:axPos val="b"/>
        <c:majorTickMark val="none"/>
        <c:tickLblPos val="nextTo"/>
        <c:crossAx val="188420096"/>
        <c:crosses val="autoZero"/>
        <c:auto val="1"/>
        <c:lblAlgn val="ctr"/>
        <c:lblOffset val="100"/>
      </c:catAx>
      <c:valAx>
        <c:axId val="188420096"/>
        <c:scaling>
          <c:orientation val="minMax"/>
        </c:scaling>
        <c:axPos val="l"/>
        <c:majorGridlines/>
        <c:numFmt formatCode="General" sourceLinked="1"/>
        <c:majorTickMark val="none"/>
        <c:tickLblPos val="nextTo"/>
        <c:spPr>
          <a:ln w="9525">
            <a:noFill/>
          </a:ln>
        </c:spPr>
        <c:crossAx val="188348672"/>
        <c:crosses val="autoZero"/>
        <c:crossBetween val="between"/>
      </c:valAx>
    </c:plotArea>
    <c:plotVisOnly val="1"/>
  </c:chart>
  <c:spPr>
    <a:no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AU"/>
  <c:chart>
    <c:title>
      <c:tx>
        <c:rich>
          <a:bodyPr/>
          <a:lstStyle/>
          <a:p>
            <a:pPr>
              <a:defRPr/>
            </a:pPr>
            <a:r>
              <a:rPr lang="en-AU"/>
              <a:t>Fatal Crash</a:t>
            </a:r>
            <a:r>
              <a:rPr lang="en-AU" baseline="0"/>
              <a:t> Factors</a:t>
            </a:r>
            <a:endParaRPr lang="en-AU"/>
          </a:p>
        </c:rich>
      </c:tx>
      <c:layout/>
    </c:title>
    <c:plotArea>
      <c:layout>
        <c:manualLayout>
          <c:layoutTarget val="inner"/>
          <c:xMode val="edge"/>
          <c:yMode val="edge"/>
          <c:x val="7.3034361114540744E-2"/>
          <c:y val="6.8388464548851363E-2"/>
          <c:w val="0.90055248305407931"/>
          <c:h val="0.25715102438658605"/>
        </c:manualLayout>
      </c:layout>
      <c:lineChart>
        <c:grouping val="standard"/>
        <c:ser>
          <c:idx val="0"/>
          <c:order val="0"/>
          <c:tx>
            <c:strRef>
              <c:f>Sheet1!$A$2</c:f>
              <c:strCache>
                <c:ptCount val="1"/>
                <c:pt idx="0">
                  <c:v>Alcohol</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Sheet1!$B$2:$G$2</c:f>
              <c:numCache>
                <c:formatCode>General</c:formatCode>
                <c:ptCount val="6"/>
                <c:pt idx="0">
                  <c:v>13</c:v>
                </c:pt>
                <c:pt idx="1">
                  <c:v>14</c:v>
                </c:pt>
                <c:pt idx="2">
                  <c:v>16</c:v>
                </c:pt>
                <c:pt idx="3">
                  <c:v>7</c:v>
                </c:pt>
                <c:pt idx="4">
                  <c:v>5</c:v>
                </c:pt>
                <c:pt idx="5">
                  <c:v>6</c:v>
                </c:pt>
              </c:numCache>
            </c:numRef>
          </c:val>
        </c:ser>
        <c:ser>
          <c:idx val="1"/>
          <c:order val="1"/>
          <c:tx>
            <c:strRef>
              <c:f>Sheet1!$A$3</c:f>
              <c:strCache>
                <c:ptCount val="1"/>
                <c:pt idx="0">
                  <c:v>Asleep - fatigue</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Sheet1!$B$3:$G$3</c:f>
              <c:numCache>
                <c:formatCode>General</c:formatCode>
                <c:ptCount val="6"/>
                <c:pt idx="0">
                  <c:v>6</c:v>
                </c:pt>
                <c:pt idx="1">
                  <c:v>6</c:v>
                </c:pt>
                <c:pt idx="2">
                  <c:v>6</c:v>
                </c:pt>
                <c:pt idx="3">
                  <c:v>4</c:v>
                </c:pt>
                <c:pt idx="4">
                  <c:v>1</c:v>
                </c:pt>
                <c:pt idx="5">
                  <c:v>1</c:v>
                </c:pt>
              </c:numCache>
            </c:numRef>
          </c:val>
        </c:ser>
        <c:ser>
          <c:idx val="2"/>
          <c:order val="2"/>
          <c:tx>
            <c:strRef>
              <c:f>Sheet1!$A$4</c:f>
              <c:strCache>
                <c:ptCount val="1"/>
                <c:pt idx="0">
                  <c:v>Distraction - external to vehicle</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Sheet1!$B$4:$G$4</c:f>
              <c:numCache>
                <c:formatCode>General</c:formatCode>
                <c:ptCount val="6"/>
                <c:pt idx="0">
                  <c:v>6</c:v>
                </c:pt>
                <c:pt idx="1">
                  <c:v>4</c:v>
                </c:pt>
                <c:pt idx="2">
                  <c:v>4</c:v>
                </c:pt>
                <c:pt idx="3">
                  <c:v>5</c:v>
                </c:pt>
                <c:pt idx="4">
                  <c:v>0</c:v>
                </c:pt>
                <c:pt idx="5">
                  <c:v>2</c:v>
                </c:pt>
              </c:numCache>
            </c:numRef>
          </c:val>
        </c:ser>
        <c:ser>
          <c:idx val="3"/>
          <c:order val="3"/>
          <c:tx>
            <c:strRef>
              <c:f>Sheet1!$A$5</c:f>
              <c:strCache>
                <c:ptCount val="1"/>
                <c:pt idx="0">
                  <c:v>Drugs</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Sheet1!$B$5:$G$5</c:f>
              <c:numCache>
                <c:formatCode>General</c:formatCode>
                <c:ptCount val="6"/>
                <c:pt idx="0">
                  <c:v>11</c:v>
                </c:pt>
                <c:pt idx="1">
                  <c:v>16</c:v>
                </c:pt>
                <c:pt idx="2">
                  <c:v>14</c:v>
                </c:pt>
                <c:pt idx="3">
                  <c:v>11</c:v>
                </c:pt>
                <c:pt idx="4">
                  <c:v>4</c:v>
                </c:pt>
                <c:pt idx="5">
                  <c:v>3</c:v>
                </c:pt>
              </c:numCache>
            </c:numRef>
          </c:val>
        </c:ser>
        <c:ser>
          <c:idx val="4"/>
          <c:order val="4"/>
          <c:tx>
            <c:strRef>
              <c:f>Sheet1!$A$6</c:f>
              <c:strCache>
                <c:ptCount val="1"/>
                <c:pt idx="0">
                  <c:v>Exceeding speed limit</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Sheet1!$B$6:$G$6</c:f>
              <c:numCache>
                <c:formatCode>General</c:formatCode>
                <c:ptCount val="6"/>
                <c:pt idx="0">
                  <c:v>12</c:v>
                </c:pt>
                <c:pt idx="1">
                  <c:v>14</c:v>
                </c:pt>
                <c:pt idx="2">
                  <c:v>12</c:v>
                </c:pt>
                <c:pt idx="3">
                  <c:v>7</c:v>
                </c:pt>
                <c:pt idx="4">
                  <c:v>6</c:v>
                </c:pt>
                <c:pt idx="5">
                  <c:v>4</c:v>
                </c:pt>
              </c:numCache>
            </c:numRef>
          </c:val>
        </c:ser>
        <c:ser>
          <c:idx val="5"/>
          <c:order val="5"/>
          <c:tx>
            <c:strRef>
              <c:f>Sheet1!$A$7</c:f>
              <c:strCache>
                <c:ptCount val="1"/>
                <c:pt idx="0">
                  <c:v>Excessive speed for the conditions</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Sheet1!$B$7:$G$7</c:f>
              <c:numCache>
                <c:formatCode>General</c:formatCode>
                <c:ptCount val="6"/>
                <c:pt idx="0">
                  <c:v>11</c:v>
                </c:pt>
                <c:pt idx="1">
                  <c:v>11</c:v>
                </c:pt>
                <c:pt idx="2">
                  <c:v>14</c:v>
                </c:pt>
                <c:pt idx="3">
                  <c:v>8</c:v>
                </c:pt>
                <c:pt idx="4">
                  <c:v>8</c:v>
                </c:pt>
                <c:pt idx="5">
                  <c:v>7</c:v>
                </c:pt>
              </c:numCache>
            </c:numRef>
          </c:val>
        </c:ser>
        <c:ser>
          <c:idx val="6"/>
          <c:order val="6"/>
          <c:tx>
            <c:strRef>
              <c:f>Sheet1!$A$8</c:f>
              <c:strCache>
                <c:ptCount val="1"/>
                <c:pt idx="0">
                  <c:v>Fail to observe road signs and markings</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Sheet1!$B$8:$G$8</c:f>
              <c:numCache>
                <c:formatCode>General</c:formatCode>
                <c:ptCount val="6"/>
                <c:pt idx="0">
                  <c:v>2</c:v>
                </c:pt>
                <c:pt idx="1">
                  <c:v>4</c:v>
                </c:pt>
                <c:pt idx="2">
                  <c:v>6</c:v>
                </c:pt>
                <c:pt idx="3">
                  <c:v>3</c:v>
                </c:pt>
                <c:pt idx="4">
                  <c:v>0</c:v>
                </c:pt>
                <c:pt idx="5">
                  <c:v>3</c:v>
                </c:pt>
              </c:numCache>
            </c:numRef>
          </c:val>
        </c:ser>
        <c:ser>
          <c:idx val="7"/>
          <c:order val="7"/>
          <c:tx>
            <c:strRef>
              <c:f>Sheet1!$A$9</c:f>
              <c:strCache>
                <c:ptCount val="1"/>
                <c:pt idx="0">
                  <c:v>Inattentiveness</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Sheet1!$B$9:$G$9</c:f>
              <c:numCache>
                <c:formatCode>General</c:formatCode>
                <c:ptCount val="6"/>
                <c:pt idx="0">
                  <c:v>20</c:v>
                </c:pt>
                <c:pt idx="1">
                  <c:v>17</c:v>
                </c:pt>
                <c:pt idx="2">
                  <c:v>23</c:v>
                </c:pt>
                <c:pt idx="3">
                  <c:v>2</c:v>
                </c:pt>
                <c:pt idx="4">
                  <c:v>1</c:v>
                </c:pt>
                <c:pt idx="5">
                  <c:v>0</c:v>
                </c:pt>
              </c:numCache>
            </c:numRef>
          </c:val>
        </c:ser>
        <c:ser>
          <c:idx val="8"/>
          <c:order val="8"/>
          <c:tx>
            <c:strRef>
              <c:f>Sheet1!$A$10</c:f>
              <c:strCache>
                <c:ptCount val="1"/>
                <c:pt idx="0">
                  <c:v>Inexperience</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Sheet1!$B$10:$G$10</c:f>
              <c:numCache>
                <c:formatCode>General</c:formatCode>
                <c:ptCount val="6"/>
                <c:pt idx="0">
                  <c:v>9</c:v>
                </c:pt>
                <c:pt idx="1">
                  <c:v>6</c:v>
                </c:pt>
                <c:pt idx="2">
                  <c:v>17</c:v>
                </c:pt>
                <c:pt idx="3">
                  <c:v>7</c:v>
                </c:pt>
                <c:pt idx="4">
                  <c:v>8</c:v>
                </c:pt>
                <c:pt idx="5">
                  <c:v>5</c:v>
                </c:pt>
              </c:numCache>
            </c:numRef>
          </c:val>
        </c:ser>
        <c:ser>
          <c:idx val="9"/>
          <c:order val="9"/>
          <c:tx>
            <c:strRef>
              <c:f>Sheet1!$A$11</c:f>
              <c:strCache>
                <c:ptCount val="1"/>
                <c:pt idx="0">
                  <c:v>Pedestrian on road</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Sheet1!$B$11:$G$11</c:f>
              <c:numCache>
                <c:formatCode>General</c:formatCode>
                <c:ptCount val="6"/>
                <c:pt idx="0">
                  <c:v>3</c:v>
                </c:pt>
                <c:pt idx="1">
                  <c:v>1</c:v>
                </c:pt>
                <c:pt idx="2">
                  <c:v>3</c:v>
                </c:pt>
                <c:pt idx="3">
                  <c:v>5</c:v>
                </c:pt>
                <c:pt idx="4">
                  <c:v>4</c:v>
                </c:pt>
                <c:pt idx="5">
                  <c:v>7</c:v>
                </c:pt>
              </c:numCache>
            </c:numRef>
          </c:val>
        </c:ser>
        <c:ser>
          <c:idx val="10"/>
          <c:order val="10"/>
          <c:tx>
            <c:strRef>
              <c:f>Sheet1!$A$12</c:f>
              <c:strCache>
                <c:ptCount val="1"/>
                <c:pt idx="0">
                  <c:v>Unwell - infirm</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Sheet1!$B$12:$G$12</c:f>
              <c:numCache>
                <c:formatCode>General</c:formatCode>
                <c:ptCount val="6"/>
                <c:pt idx="0">
                  <c:v>5</c:v>
                </c:pt>
                <c:pt idx="1">
                  <c:v>7</c:v>
                </c:pt>
                <c:pt idx="2">
                  <c:v>14</c:v>
                </c:pt>
                <c:pt idx="3">
                  <c:v>7</c:v>
                </c:pt>
                <c:pt idx="4">
                  <c:v>5</c:v>
                </c:pt>
                <c:pt idx="5">
                  <c:v>3</c:v>
                </c:pt>
              </c:numCache>
            </c:numRef>
          </c:val>
        </c:ser>
        <c:ser>
          <c:idx val="11"/>
          <c:order val="11"/>
          <c:tx>
            <c:strRef>
              <c:f>Sheet1!$A$13</c:f>
              <c:strCache>
                <c:ptCount val="1"/>
                <c:pt idx="0">
                  <c:v>Vehicle defect</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Sheet1!$B$13:$G$13</c:f>
              <c:numCache>
                <c:formatCode>General</c:formatCode>
                <c:ptCount val="6"/>
                <c:pt idx="0">
                  <c:v>4</c:v>
                </c:pt>
                <c:pt idx="1">
                  <c:v>6</c:v>
                </c:pt>
                <c:pt idx="2">
                  <c:v>15</c:v>
                </c:pt>
                <c:pt idx="3">
                  <c:v>2</c:v>
                </c:pt>
                <c:pt idx="4">
                  <c:v>2</c:v>
                </c:pt>
                <c:pt idx="5">
                  <c:v>4</c:v>
                </c:pt>
              </c:numCache>
            </c:numRef>
          </c:val>
        </c:ser>
        <c:marker val="1"/>
        <c:axId val="188665856"/>
        <c:axId val="188667392"/>
      </c:lineChart>
      <c:catAx>
        <c:axId val="188665856"/>
        <c:scaling>
          <c:orientation val="minMax"/>
        </c:scaling>
        <c:axPos val="b"/>
        <c:majorTickMark val="none"/>
        <c:tickLblPos val="nextTo"/>
        <c:crossAx val="188667392"/>
        <c:crosses val="autoZero"/>
        <c:auto val="1"/>
        <c:lblAlgn val="ctr"/>
        <c:lblOffset val="100"/>
      </c:catAx>
      <c:valAx>
        <c:axId val="188667392"/>
        <c:scaling>
          <c:orientation val="minMax"/>
        </c:scaling>
        <c:axPos val="l"/>
        <c:majorGridlines/>
        <c:numFmt formatCode="General" sourceLinked="1"/>
        <c:majorTickMark val="none"/>
        <c:tickLblPos val="nextTo"/>
        <c:spPr>
          <a:ln w="9525">
            <a:noFill/>
          </a:ln>
        </c:spPr>
        <c:crossAx val="188665856"/>
        <c:crosses val="autoZero"/>
        <c:crossBetween val="between"/>
      </c:valAx>
    </c:plotArea>
    <c:legend>
      <c:legendPos val="b"/>
      <c:layout>
        <c:manualLayout>
          <c:xMode val="edge"/>
          <c:yMode val="edge"/>
          <c:x val="0"/>
          <c:y val="0.39042749942204552"/>
          <c:w val="1"/>
          <c:h val="0.18353974281439653"/>
        </c:manualLayout>
      </c:layout>
    </c:legend>
    <c:plotVisOnly val="1"/>
  </c:chart>
  <c:spPr>
    <a:ln w="19050">
      <a:solidFill>
        <a:schemeClr val="tx2"/>
      </a:solid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AU"/>
  <c:chart>
    <c:title>
      <c:tx>
        <c:rich>
          <a:bodyPr/>
          <a:lstStyle/>
          <a:p>
            <a:pPr>
              <a:defRPr/>
            </a:pPr>
            <a:r>
              <a:rPr lang="en-AU" sz="1800" b="1" i="0" baseline="0"/>
              <a:t>Serious Injury Crashes by Road User Age Group</a:t>
            </a:r>
          </a:p>
        </c:rich>
      </c:tx>
      <c:layout/>
    </c:title>
    <c:plotArea>
      <c:layout/>
      <c:lineChart>
        <c:grouping val="standard"/>
        <c:ser>
          <c:idx val="0"/>
          <c:order val="0"/>
          <c:tx>
            <c:strRef>
              <c:f>Sheet1!$A$2</c:f>
              <c:strCache>
                <c:ptCount val="1"/>
                <c:pt idx="0">
                  <c:v>Under 17</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Sheet1!$B$2:$G$2</c:f>
              <c:numCache>
                <c:formatCode>General</c:formatCode>
                <c:ptCount val="6"/>
                <c:pt idx="0">
                  <c:v>82</c:v>
                </c:pt>
                <c:pt idx="1">
                  <c:v>40</c:v>
                </c:pt>
                <c:pt idx="2">
                  <c:v>66</c:v>
                </c:pt>
                <c:pt idx="3">
                  <c:v>58</c:v>
                </c:pt>
                <c:pt idx="4">
                  <c:v>54</c:v>
                </c:pt>
                <c:pt idx="5">
                  <c:v>45</c:v>
                </c:pt>
              </c:numCache>
            </c:numRef>
          </c:val>
        </c:ser>
        <c:ser>
          <c:idx val="1"/>
          <c:order val="1"/>
          <c:tx>
            <c:strRef>
              <c:f>Sheet1!$A$3</c:f>
              <c:strCache>
                <c:ptCount val="1"/>
                <c:pt idx="0">
                  <c:v>17 to 29</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Sheet1!$B$3:$G$3</c:f>
              <c:numCache>
                <c:formatCode>General</c:formatCode>
                <c:ptCount val="6"/>
                <c:pt idx="0">
                  <c:v>187</c:v>
                </c:pt>
                <c:pt idx="1">
                  <c:v>182</c:v>
                </c:pt>
                <c:pt idx="2">
                  <c:v>197</c:v>
                </c:pt>
                <c:pt idx="3">
                  <c:v>142</c:v>
                </c:pt>
                <c:pt idx="4">
                  <c:v>163</c:v>
                </c:pt>
                <c:pt idx="5">
                  <c:v>147</c:v>
                </c:pt>
              </c:numCache>
            </c:numRef>
          </c:val>
        </c:ser>
        <c:ser>
          <c:idx val="2"/>
          <c:order val="2"/>
          <c:tx>
            <c:strRef>
              <c:f>Sheet1!$A$4</c:f>
              <c:strCache>
                <c:ptCount val="1"/>
                <c:pt idx="0">
                  <c:v>30 to 49</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Sheet1!$B$4:$G$4</c:f>
              <c:numCache>
                <c:formatCode>General</c:formatCode>
                <c:ptCount val="6"/>
                <c:pt idx="0">
                  <c:v>148</c:v>
                </c:pt>
                <c:pt idx="1">
                  <c:v>123</c:v>
                </c:pt>
                <c:pt idx="2">
                  <c:v>127</c:v>
                </c:pt>
                <c:pt idx="3">
                  <c:v>135</c:v>
                </c:pt>
                <c:pt idx="4">
                  <c:v>121</c:v>
                </c:pt>
                <c:pt idx="5">
                  <c:v>122</c:v>
                </c:pt>
              </c:numCache>
            </c:numRef>
          </c:val>
        </c:ser>
        <c:ser>
          <c:idx val="3"/>
          <c:order val="3"/>
          <c:tx>
            <c:strRef>
              <c:f>Sheet1!$A$5</c:f>
              <c:strCache>
                <c:ptCount val="1"/>
                <c:pt idx="0">
                  <c:v>50 to 64</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Sheet1!$B$5:$G$5</c:f>
              <c:numCache>
                <c:formatCode>General</c:formatCode>
                <c:ptCount val="6"/>
                <c:pt idx="0">
                  <c:v>64</c:v>
                </c:pt>
                <c:pt idx="1">
                  <c:v>67</c:v>
                </c:pt>
                <c:pt idx="2">
                  <c:v>65</c:v>
                </c:pt>
                <c:pt idx="3">
                  <c:v>66</c:v>
                </c:pt>
                <c:pt idx="4">
                  <c:v>80</c:v>
                </c:pt>
                <c:pt idx="5">
                  <c:v>74</c:v>
                </c:pt>
              </c:numCache>
            </c:numRef>
          </c:val>
        </c:ser>
        <c:ser>
          <c:idx val="4"/>
          <c:order val="4"/>
          <c:tx>
            <c:strRef>
              <c:f>Sheet1!$A$6</c:f>
              <c:strCache>
                <c:ptCount val="1"/>
                <c:pt idx="0">
                  <c:v>Over 64</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Sheet1!$B$6:$G$6</c:f>
              <c:numCache>
                <c:formatCode>General</c:formatCode>
                <c:ptCount val="6"/>
                <c:pt idx="0">
                  <c:v>50</c:v>
                </c:pt>
                <c:pt idx="1">
                  <c:v>46</c:v>
                </c:pt>
                <c:pt idx="2">
                  <c:v>48</c:v>
                </c:pt>
                <c:pt idx="3">
                  <c:v>36</c:v>
                </c:pt>
                <c:pt idx="4">
                  <c:v>68</c:v>
                </c:pt>
                <c:pt idx="5">
                  <c:v>55</c:v>
                </c:pt>
              </c:numCache>
            </c:numRef>
          </c:val>
        </c:ser>
        <c:marker val="1"/>
        <c:axId val="188559744"/>
        <c:axId val="188561280"/>
      </c:lineChart>
      <c:catAx>
        <c:axId val="188559744"/>
        <c:scaling>
          <c:orientation val="minMax"/>
        </c:scaling>
        <c:axPos val="b"/>
        <c:majorTickMark val="none"/>
        <c:tickLblPos val="nextTo"/>
        <c:crossAx val="188561280"/>
        <c:crosses val="autoZero"/>
        <c:auto val="1"/>
        <c:lblAlgn val="ctr"/>
        <c:lblOffset val="100"/>
      </c:catAx>
      <c:valAx>
        <c:axId val="188561280"/>
        <c:scaling>
          <c:orientation val="minMax"/>
        </c:scaling>
        <c:axPos val="l"/>
        <c:majorGridlines/>
        <c:numFmt formatCode="General" sourceLinked="1"/>
        <c:majorTickMark val="none"/>
        <c:tickLblPos val="nextTo"/>
        <c:spPr>
          <a:ln w="9525">
            <a:noFill/>
          </a:ln>
        </c:spPr>
        <c:crossAx val="188559744"/>
        <c:crosses val="autoZero"/>
        <c:crossBetween val="between"/>
      </c:valAx>
    </c:plotArea>
    <c:plotVisOnly val="1"/>
  </c:chart>
  <c:spPr>
    <a:noFill/>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AU"/>
  <c:chart>
    <c:title>
      <c:tx>
        <c:rich>
          <a:bodyPr/>
          <a:lstStyle/>
          <a:p>
            <a:pPr>
              <a:defRPr/>
            </a:pPr>
            <a:r>
              <a:rPr lang="en-AU"/>
              <a:t>Fatal</a:t>
            </a:r>
            <a:r>
              <a:rPr lang="en-AU" baseline="0"/>
              <a:t> Crashes by Road User Age Group</a:t>
            </a:r>
            <a:endParaRPr lang="en-AU"/>
          </a:p>
        </c:rich>
      </c:tx>
      <c:layout/>
    </c:title>
    <c:plotArea>
      <c:layout>
        <c:manualLayout>
          <c:layoutTarget val="inner"/>
          <c:xMode val="edge"/>
          <c:yMode val="edge"/>
          <c:x val="7.3113362895575434E-2"/>
          <c:y val="8.7377889895535979E-2"/>
          <c:w val="0.90044490997699156"/>
          <c:h val="0.31131650651297554"/>
        </c:manualLayout>
      </c:layout>
      <c:lineChart>
        <c:grouping val="standard"/>
        <c:ser>
          <c:idx val="0"/>
          <c:order val="0"/>
          <c:tx>
            <c:strRef>
              <c:f>Sheet1!$A$2</c:f>
              <c:strCache>
                <c:ptCount val="1"/>
                <c:pt idx="0">
                  <c:v>Under 17</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Sheet1!$B$2:$G$2</c:f>
              <c:numCache>
                <c:formatCode>General</c:formatCode>
                <c:ptCount val="6"/>
                <c:pt idx="0">
                  <c:v>21</c:v>
                </c:pt>
                <c:pt idx="1">
                  <c:v>10</c:v>
                </c:pt>
                <c:pt idx="2">
                  <c:v>9</c:v>
                </c:pt>
                <c:pt idx="3">
                  <c:v>8</c:v>
                </c:pt>
                <c:pt idx="4">
                  <c:v>3</c:v>
                </c:pt>
                <c:pt idx="5">
                  <c:v>4</c:v>
                </c:pt>
              </c:numCache>
            </c:numRef>
          </c:val>
        </c:ser>
        <c:ser>
          <c:idx val="1"/>
          <c:order val="1"/>
          <c:tx>
            <c:strRef>
              <c:f>Sheet1!$A$3</c:f>
              <c:strCache>
                <c:ptCount val="1"/>
                <c:pt idx="0">
                  <c:v>17 to 29</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Sheet1!$B$3:$G$3</c:f>
              <c:numCache>
                <c:formatCode>General</c:formatCode>
                <c:ptCount val="6"/>
                <c:pt idx="0">
                  <c:v>35</c:v>
                </c:pt>
                <c:pt idx="1">
                  <c:v>28</c:v>
                </c:pt>
                <c:pt idx="2">
                  <c:v>45</c:v>
                </c:pt>
                <c:pt idx="3">
                  <c:v>21</c:v>
                </c:pt>
                <c:pt idx="4">
                  <c:v>9</c:v>
                </c:pt>
                <c:pt idx="5">
                  <c:v>20</c:v>
                </c:pt>
              </c:numCache>
            </c:numRef>
          </c:val>
        </c:ser>
        <c:ser>
          <c:idx val="2"/>
          <c:order val="2"/>
          <c:tx>
            <c:strRef>
              <c:f>Sheet1!$A$4</c:f>
              <c:strCache>
                <c:ptCount val="1"/>
                <c:pt idx="0">
                  <c:v>30 to 49</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Sheet1!$B$4:$G$4</c:f>
              <c:numCache>
                <c:formatCode>General</c:formatCode>
                <c:ptCount val="6"/>
                <c:pt idx="0">
                  <c:v>38</c:v>
                </c:pt>
                <c:pt idx="1">
                  <c:v>29</c:v>
                </c:pt>
                <c:pt idx="2">
                  <c:v>35</c:v>
                </c:pt>
                <c:pt idx="3">
                  <c:v>29</c:v>
                </c:pt>
                <c:pt idx="4">
                  <c:v>20</c:v>
                </c:pt>
                <c:pt idx="5">
                  <c:v>24</c:v>
                </c:pt>
              </c:numCache>
            </c:numRef>
          </c:val>
        </c:ser>
        <c:ser>
          <c:idx val="3"/>
          <c:order val="3"/>
          <c:tx>
            <c:strRef>
              <c:f>Sheet1!$A$5</c:f>
              <c:strCache>
                <c:ptCount val="1"/>
                <c:pt idx="0">
                  <c:v>50 to 64</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Sheet1!$B$5:$G$5</c:f>
              <c:numCache>
                <c:formatCode>General</c:formatCode>
                <c:ptCount val="6"/>
                <c:pt idx="0">
                  <c:v>16</c:v>
                </c:pt>
                <c:pt idx="1">
                  <c:v>8</c:v>
                </c:pt>
                <c:pt idx="2">
                  <c:v>27</c:v>
                </c:pt>
                <c:pt idx="3">
                  <c:v>5</c:v>
                </c:pt>
                <c:pt idx="4">
                  <c:v>11</c:v>
                </c:pt>
                <c:pt idx="5">
                  <c:v>20</c:v>
                </c:pt>
              </c:numCache>
            </c:numRef>
          </c:val>
        </c:ser>
        <c:ser>
          <c:idx val="4"/>
          <c:order val="4"/>
          <c:tx>
            <c:strRef>
              <c:f>Sheet1!$A$6</c:f>
              <c:strCache>
                <c:ptCount val="1"/>
                <c:pt idx="0">
                  <c:v>Over 64</c:v>
                </c:pt>
              </c:strCache>
            </c:strRef>
          </c:tx>
          <c:marker>
            <c:symbol val="none"/>
          </c:marker>
          <c:cat>
            <c:strRef>
              <c:f>Sheet1!$B$1:$G$1</c:f>
              <c:strCache>
                <c:ptCount val="6"/>
                <c:pt idx="0">
                  <c:v>2007</c:v>
                </c:pt>
                <c:pt idx="1">
                  <c:v>2008</c:v>
                </c:pt>
                <c:pt idx="2">
                  <c:v>2009</c:v>
                </c:pt>
                <c:pt idx="3">
                  <c:v>2010</c:v>
                </c:pt>
                <c:pt idx="4">
                  <c:v>2011</c:v>
                </c:pt>
                <c:pt idx="5">
                  <c:v>2012</c:v>
                </c:pt>
              </c:strCache>
            </c:strRef>
          </c:cat>
          <c:val>
            <c:numRef>
              <c:f>Sheet1!$B$6:$G$6</c:f>
              <c:numCache>
                <c:formatCode>General</c:formatCode>
                <c:ptCount val="6"/>
                <c:pt idx="0">
                  <c:v>4</c:v>
                </c:pt>
                <c:pt idx="1">
                  <c:v>6</c:v>
                </c:pt>
                <c:pt idx="2">
                  <c:v>13</c:v>
                </c:pt>
                <c:pt idx="3">
                  <c:v>10</c:v>
                </c:pt>
                <c:pt idx="4">
                  <c:v>5</c:v>
                </c:pt>
                <c:pt idx="5">
                  <c:v>15</c:v>
                </c:pt>
              </c:numCache>
            </c:numRef>
          </c:val>
        </c:ser>
        <c:marker val="1"/>
        <c:axId val="188838272"/>
        <c:axId val="188839808"/>
      </c:lineChart>
      <c:catAx>
        <c:axId val="188838272"/>
        <c:scaling>
          <c:orientation val="minMax"/>
        </c:scaling>
        <c:axPos val="b"/>
        <c:majorTickMark val="none"/>
        <c:tickLblPos val="nextTo"/>
        <c:crossAx val="188839808"/>
        <c:crosses val="autoZero"/>
        <c:auto val="1"/>
        <c:lblAlgn val="ctr"/>
        <c:lblOffset val="100"/>
      </c:catAx>
      <c:valAx>
        <c:axId val="188839808"/>
        <c:scaling>
          <c:orientation val="minMax"/>
        </c:scaling>
        <c:axPos val="l"/>
        <c:majorGridlines/>
        <c:numFmt formatCode="General" sourceLinked="1"/>
        <c:majorTickMark val="none"/>
        <c:tickLblPos val="nextTo"/>
        <c:spPr>
          <a:ln w="9525">
            <a:noFill/>
          </a:ln>
        </c:spPr>
        <c:crossAx val="188838272"/>
        <c:crosses val="autoZero"/>
        <c:crossBetween val="between"/>
        <c:majorUnit val="10"/>
      </c:valAx>
    </c:plotArea>
    <c:legend>
      <c:legendPos val="b"/>
      <c:layout>
        <c:manualLayout>
          <c:xMode val="edge"/>
          <c:yMode val="edge"/>
          <c:x val="6.7237507656176532E-2"/>
          <c:y val="0.46614387801285623"/>
          <c:w val="0.83667927490992466"/>
          <c:h val="3.7550819256115996E-2"/>
        </c:manualLayout>
      </c:layout>
    </c:legend>
    <c:plotVisOnly val="1"/>
  </c:chart>
  <c:spPr>
    <a:ln w="19050">
      <a:solidFill>
        <a:schemeClr val="tx2"/>
      </a:solid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AU"/>
  <c:style val="6"/>
  <c:chart>
    <c:title>
      <c:tx>
        <c:rich>
          <a:bodyPr/>
          <a:lstStyle/>
          <a:p>
            <a:pPr>
              <a:defRPr/>
            </a:pPr>
            <a:r>
              <a:rPr lang="en-US"/>
              <a:t>Tasmanian Greenhouse Gas </a:t>
            </a:r>
          </a:p>
          <a:p>
            <a:pPr>
              <a:defRPr/>
            </a:pPr>
            <a:r>
              <a:rPr lang="en-US"/>
              <a:t>Emissions 2009/10 (%)</a:t>
            </a:r>
          </a:p>
        </c:rich>
      </c:tx>
      <c:layout/>
    </c:title>
    <c:plotArea>
      <c:layout>
        <c:manualLayout>
          <c:layoutTarget val="inner"/>
          <c:xMode val="edge"/>
          <c:yMode val="edge"/>
          <c:x val="0.17592592592592593"/>
          <c:y val="0.2767857142857143"/>
          <c:w val="0.61805555555557368"/>
          <c:h val="0.59325396825394727"/>
        </c:manualLayout>
      </c:layout>
      <c:ofPieChart>
        <c:ofPieType val="bar"/>
        <c:varyColors val="1"/>
        <c:ser>
          <c:idx val="0"/>
          <c:order val="0"/>
          <c:tx>
            <c:strRef>
              <c:f>Sheet1!$B$1</c:f>
              <c:strCache>
                <c:ptCount val="1"/>
                <c:pt idx="0">
                  <c:v>Emissions 2009/10 (%)</c:v>
                </c:pt>
              </c:strCache>
            </c:strRef>
          </c:tx>
          <c:dPt>
            <c:idx val="7"/>
            <c:spPr>
              <a:solidFill>
                <a:schemeClr val="accent4">
                  <a:lumMod val="75000"/>
                </a:schemeClr>
              </a:solidFill>
            </c:spPr>
          </c:dPt>
          <c:dPt>
            <c:idx val="9"/>
            <c:spPr>
              <a:solidFill>
                <a:schemeClr val="accent4">
                  <a:lumMod val="50000"/>
                </a:schemeClr>
              </a:solidFill>
            </c:spPr>
          </c:dPt>
          <c:dPt>
            <c:idx val="10"/>
            <c:spPr>
              <a:solidFill>
                <a:schemeClr val="accent4">
                  <a:lumMod val="60000"/>
                  <a:lumOff val="40000"/>
                </a:schemeClr>
              </a:solidFill>
            </c:spPr>
          </c:dPt>
          <c:dPt>
            <c:idx val="11"/>
            <c:explosion val="16"/>
          </c:dPt>
          <c:dLbls>
            <c:dLbl>
              <c:idx val="0"/>
              <c:layout>
                <c:manualLayout>
                  <c:x val="0.14436406386701667"/>
                  <c:y val="-2.8281464816897882E-2"/>
                </c:manualLayout>
              </c:layout>
              <c:showVal val="1"/>
              <c:showCatName val="1"/>
            </c:dLbl>
            <c:dLbl>
              <c:idx val="1"/>
              <c:layout>
                <c:manualLayout>
                  <c:x val="-2.0247612277632002E-2"/>
                  <c:y val="2.0095300587427298E-2"/>
                </c:manualLayout>
              </c:layout>
              <c:showVal val="1"/>
              <c:showCatName val="1"/>
            </c:dLbl>
            <c:dLbl>
              <c:idx val="2"/>
              <c:layout>
                <c:manualLayout>
                  <c:x val="-8.4003171478565196E-3"/>
                  <c:y val="1.6307024121984755E-2"/>
                </c:manualLayout>
              </c:layout>
              <c:showVal val="1"/>
              <c:showCatName val="1"/>
            </c:dLbl>
            <c:dLbl>
              <c:idx val="3"/>
              <c:layout>
                <c:manualLayout>
                  <c:x val="-3.9023585593467483E-2"/>
                  <c:y val="-1.3206786651668623E-2"/>
                </c:manualLayout>
              </c:layout>
              <c:showVal val="1"/>
              <c:showCatName val="1"/>
            </c:dLbl>
            <c:dLbl>
              <c:idx val="4"/>
              <c:layout>
                <c:manualLayout>
                  <c:x val="1.0883275007290841E-3"/>
                  <c:y val="-0.10742125984252029"/>
                </c:manualLayout>
              </c:layout>
              <c:showVal val="1"/>
              <c:showCatName val="1"/>
            </c:dLbl>
            <c:dLbl>
              <c:idx val="5"/>
              <c:layout>
                <c:manualLayout>
                  <c:x val="-3.7986111111111241E-2"/>
                  <c:y val="-2.9444131983502066E-2"/>
                </c:manualLayout>
              </c:layout>
              <c:tx>
                <c:rich>
                  <a:bodyPr/>
                  <a:lstStyle/>
                  <a:p>
                    <a:r>
                      <a:rPr lang="en-US"/>
                      <a:t>Manufacturing/ Construction, 14</a:t>
                    </a:r>
                  </a:p>
                </c:rich>
              </c:tx>
              <c:showVal val="1"/>
              <c:showCatName val="1"/>
            </c:dLbl>
            <c:dLbl>
              <c:idx val="6"/>
              <c:layout>
                <c:manualLayout>
                  <c:x val="5.4688137941091862E-2"/>
                  <c:y val="4.1512935883014912E-2"/>
                </c:manualLayout>
              </c:layout>
              <c:showVal val="1"/>
              <c:showCatName val="1"/>
            </c:dLbl>
            <c:dLbl>
              <c:idx val="7"/>
              <c:layout>
                <c:manualLayout>
                  <c:x val="2.7777777777777801E-2"/>
                  <c:y val="7.9365079365079395E-3"/>
                </c:manualLayout>
              </c:layout>
              <c:tx>
                <c:rich>
                  <a:bodyPr/>
                  <a:lstStyle/>
                  <a:p>
                    <a:r>
                      <a:rPr lang="en-US"/>
                      <a:t>Road, 19</a:t>
                    </a:r>
                  </a:p>
                </c:rich>
              </c:tx>
              <c:showVal val="1"/>
              <c:showCatName val="1"/>
            </c:dLbl>
            <c:dLbl>
              <c:idx val="8"/>
              <c:layout>
                <c:manualLayout>
                  <c:x val="2.7777777777777801E-2"/>
                  <c:y val="-2.3809523809523812E-2"/>
                </c:manualLayout>
              </c:layout>
              <c:tx>
                <c:rich>
                  <a:bodyPr/>
                  <a:lstStyle/>
                  <a:p>
                    <a:r>
                      <a:rPr lang="en-US"/>
                      <a:t>Air, 2</a:t>
                    </a:r>
                  </a:p>
                </c:rich>
              </c:tx>
              <c:showVal val="1"/>
              <c:showCatName val="1"/>
            </c:dLbl>
            <c:dLbl>
              <c:idx val="9"/>
              <c:layout>
                <c:manualLayout>
                  <c:x val="3.0092592592592591E-2"/>
                  <c:y val="-7.9365079365079395E-3"/>
                </c:manualLayout>
              </c:layout>
              <c:tx>
                <c:rich>
                  <a:bodyPr/>
                  <a:lstStyle/>
                  <a:p>
                    <a:r>
                      <a:rPr lang="en-US"/>
                      <a:t>Rail, &lt;1</a:t>
                    </a:r>
                  </a:p>
                </c:rich>
              </c:tx>
              <c:showVal val="1"/>
              <c:showCatName val="1"/>
            </c:dLbl>
            <c:dLbl>
              <c:idx val="10"/>
              <c:layout>
                <c:manualLayout>
                  <c:x val="2.0833333333333343E-2"/>
                  <c:y val="3.1746031746031744E-2"/>
                </c:manualLayout>
              </c:layout>
              <c:tx>
                <c:rich>
                  <a:bodyPr/>
                  <a:lstStyle/>
                  <a:p>
                    <a:r>
                      <a:rPr lang="en-US"/>
                      <a:t>Sea, &lt;1</a:t>
                    </a:r>
                  </a:p>
                </c:rich>
              </c:tx>
              <c:showVal val="1"/>
              <c:showCatName val="1"/>
            </c:dLbl>
            <c:dLbl>
              <c:idx val="11"/>
              <c:layout/>
              <c:tx>
                <c:rich>
                  <a:bodyPr/>
                  <a:lstStyle/>
                  <a:p>
                    <a:r>
                      <a:rPr lang="en-US"/>
                      <a:t>Transport, 22</a:t>
                    </a:r>
                  </a:p>
                </c:rich>
              </c:tx>
              <c:showVal val="1"/>
              <c:showCatName val="1"/>
            </c:dLbl>
            <c:showVal val="1"/>
            <c:showCatName val="1"/>
            <c:showLeaderLines val="1"/>
          </c:dLbls>
          <c:cat>
            <c:strRef>
              <c:f>Sheet1!$A$2:$A$12</c:f>
              <c:strCache>
                <c:ptCount val="11"/>
                <c:pt idx="0">
                  <c:v>Agriculture</c:v>
                </c:pt>
                <c:pt idx="1">
                  <c:v>Electricity Generation</c:v>
                </c:pt>
                <c:pt idx="2">
                  <c:v>Other Stationary</c:v>
                </c:pt>
                <c:pt idx="3">
                  <c:v>Waste</c:v>
                </c:pt>
                <c:pt idx="4">
                  <c:v>Land Use Change and Forestry</c:v>
                </c:pt>
                <c:pt idx="5">
                  <c:v>Manufacturing/Construction</c:v>
                </c:pt>
                <c:pt idx="6">
                  <c:v>Industrial Processes</c:v>
                </c:pt>
                <c:pt idx="7">
                  <c:v>Road</c:v>
                </c:pt>
                <c:pt idx="8">
                  <c:v>Air</c:v>
                </c:pt>
                <c:pt idx="9">
                  <c:v>Rail</c:v>
                </c:pt>
                <c:pt idx="10">
                  <c:v>Sea</c:v>
                </c:pt>
              </c:strCache>
            </c:strRef>
          </c:cat>
          <c:val>
            <c:numRef>
              <c:f>Sheet1!$B$2:$B$12</c:f>
              <c:numCache>
                <c:formatCode>0</c:formatCode>
                <c:ptCount val="11"/>
                <c:pt idx="0">
                  <c:v>24.999999999999989</c:v>
                </c:pt>
                <c:pt idx="1">
                  <c:v>7.8947368421051696</c:v>
                </c:pt>
                <c:pt idx="2">
                  <c:v>6.5789473684210495</c:v>
                </c:pt>
                <c:pt idx="3">
                  <c:v>3.9473684210526314</c:v>
                </c:pt>
                <c:pt idx="4">
                  <c:v>1.3157894736842104</c:v>
                </c:pt>
                <c:pt idx="5">
                  <c:v>14.473684210526539</c:v>
                </c:pt>
                <c:pt idx="6">
                  <c:v>18.421052631578789</c:v>
                </c:pt>
                <c:pt idx="7" formatCode="General">
                  <c:v>17.849999999999987</c:v>
                </c:pt>
                <c:pt idx="8" formatCode="General">
                  <c:v>2.3099999999999987</c:v>
                </c:pt>
                <c:pt idx="9" formatCode="General">
                  <c:v>0.42000000000000032</c:v>
                </c:pt>
                <c:pt idx="10" formatCode="General">
                  <c:v>0.42000000000000032</c:v>
                </c:pt>
              </c:numCache>
            </c:numRef>
          </c:val>
        </c:ser>
        <c:dLbls>
          <c:showVal val="1"/>
          <c:showCatName val="1"/>
        </c:dLbls>
        <c:gapWidth val="100"/>
        <c:splitType val="pos"/>
        <c:splitPos val="4"/>
        <c:secondPieSize val="75"/>
        <c:serLines/>
      </c:ofPieChart>
    </c:plotArea>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cdr:x>
      <cdr:y>2.63125E-7</cdr:y>
    </cdr:from>
    <cdr:to>
      <cdr:x>1</cdr:x>
      <cdr:y>0.17043</cdr:y>
    </cdr:to>
    <cdr:grpSp>
      <cdr:nvGrpSpPr>
        <cdr:cNvPr id="4" name="Group 3"/>
        <cdr:cNvGrpSpPr/>
      </cdr:nvGrpSpPr>
      <cdr:grpSpPr>
        <a:xfrm xmlns:a="http://schemas.openxmlformats.org/drawingml/2006/main">
          <a:off x="0" y="1"/>
          <a:ext cx="5524500" cy="599014"/>
          <a:chOff x="0" y="0"/>
          <a:chExt cx="4572000" cy="600075"/>
        </a:xfrm>
      </cdr:grpSpPr>
      <cdr:sp macro="" textlink="">
        <cdr:nvSpPr>
          <cdr:cNvPr id="2" name="Rectangle 1"/>
          <cdr:cNvSpPr/>
        </cdr:nvSpPr>
        <cdr:spPr>
          <a:xfrm xmlns:a="http://schemas.openxmlformats.org/drawingml/2006/main">
            <a:off x="0" y="0"/>
            <a:ext cx="4572000" cy="552451"/>
          </a:xfrm>
          <a:prstGeom xmlns:a="http://schemas.openxmlformats.org/drawingml/2006/main" prst="rect">
            <a:avLst/>
          </a:prstGeom>
          <a:solidFill xmlns:a="http://schemas.openxmlformats.org/drawingml/2006/main">
            <a:schemeClr val="accent4">
              <a:lumMod val="7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sp macro="" textlink="">
        <cdr:nvSpPr>
          <cdr:cNvPr id="3" name="TextBox 2"/>
          <cdr:cNvSpPr txBox="1"/>
        </cdr:nvSpPr>
        <cdr:spPr>
          <a:xfrm xmlns:a="http://schemas.openxmlformats.org/drawingml/2006/main">
            <a:off x="0" y="0"/>
            <a:ext cx="4562474" cy="600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en-AU" sz="1600" b="1" i="1" baseline="0">
                <a:solidFill>
                  <a:schemeClr val="bg1"/>
                </a:solidFill>
                <a:latin typeface="+mn-lt"/>
                <a:ea typeface="+mn-ea"/>
                <a:cs typeface="+mn-cs"/>
              </a:rPr>
              <a:t>Figure 49.</a:t>
            </a:r>
            <a:r>
              <a:rPr lang="en-AU" sz="1600" b="1" i="0" baseline="0">
                <a:solidFill>
                  <a:schemeClr val="bg1"/>
                </a:solidFill>
                <a:latin typeface="+mn-lt"/>
                <a:ea typeface="+mn-ea"/>
                <a:cs typeface="+mn-cs"/>
              </a:rPr>
              <a:t> Main Sources of Income for </a:t>
            </a:r>
          </a:p>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en-AU" sz="1600" b="1" i="0" baseline="0">
                <a:solidFill>
                  <a:schemeClr val="bg1"/>
                </a:solidFill>
                <a:latin typeface="+mn-lt"/>
                <a:ea typeface="+mn-ea"/>
                <a:cs typeface="+mn-cs"/>
              </a:rPr>
              <a:t>Tasmanian Households 2009-10</a:t>
            </a:r>
            <a:endParaRPr lang="en-AU" sz="1600">
              <a:solidFill>
                <a:schemeClr val="bg1"/>
              </a:solidFill>
            </a:endParaRPr>
          </a:p>
          <a:p xmlns:a="http://schemas.openxmlformats.org/drawingml/2006/main">
            <a:endParaRPr lang="en-AU" sz="1100"/>
          </a:p>
        </cdr:txBody>
      </cdr:sp>
    </cdr:grpSp>
  </cdr:relSizeAnchor>
</c:userShapes>
</file>

<file path=word/drawings/drawing2.xml><?xml version="1.0" encoding="utf-8"?>
<c:userShapes xmlns:c="http://schemas.openxmlformats.org/drawingml/2006/chart">
  <cdr:relSizeAnchor xmlns:cdr="http://schemas.openxmlformats.org/drawingml/2006/chartDrawing">
    <cdr:from>
      <cdr:x>0.25035</cdr:x>
      <cdr:y>0.0738</cdr:y>
    </cdr:from>
    <cdr:to>
      <cdr:x>0.88997</cdr:x>
      <cdr:y>0.17712</cdr:y>
    </cdr:to>
    <cdr:sp macro="" textlink="">
      <cdr:nvSpPr>
        <cdr:cNvPr id="2" name="TextBox 1"/>
        <cdr:cNvSpPr txBox="1"/>
      </cdr:nvSpPr>
      <cdr:spPr>
        <a:xfrm xmlns:a="http://schemas.openxmlformats.org/drawingml/2006/main">
          <a:off x="671804" y="237507"/>
          <a:ext cx="1716426" cy="3325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800" b="1"/>
            <a:t>Break</a:t>
          </a:r>
          <a:r>
            <a:rPr lang="en-AU" sz="1800" b="1" baseline="0"/>
            <a:t> O'Day</a:t>
          </a:r>
          <a:endParaRPr lang="en-AU" sz="1800" b="1"/>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0.99964</cdr:x>
      <cdr:y>0.16369</cdr:y>
    </cdr:to>
    <cdr:sp macro="" textlink="">
      <cdr:nvSpPr>
        <cdr:cNvPr id="2" name="Rectangle 1"/>
        <cdr:cNvSpPr/>
      </cdr:nvSpPr>
      <cdr:spPr>
        <a:xfrm xmlns:a="http://schemas.openxmlformats.org/drawingml/2006/main">
          <a:off x="0" y="0"/>
          <a:ext cx="5285666" cy="653143"/>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600" b="1"/>
            <a:t>Figure 50. Top 10 Employment Sectors</a:t>
          </a:r>
        </a:p>
        <a:p xmlns:a="http://schemas.openxmlformats.org/drawingml/2006/main">
          <a:pPr algn="ctr"/>
          <a:r>
            <a:rPr lang="en-US" sz="1600" b="1"/>
            <a:t>Northern</a:t>
          </a:r>
          <a:r>
            <a:rPr lang="en-US" sz="1600" b="1" baseline="0"/>
            <a:t> Region 2011</a:t>
          </a:r>
          <a:endParaRPr lang="en-US" sz="16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688C4-5F60-49EF-8C4C-699731DCB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9150</TotalTime>
  <Pages>132</Pages>
  <Words>34718</Words>
  <Characters>197898</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
    </vt:vector>
  </TitlesOfParts>
  <Company>DIER</Company>
  <LinksUpToDate>false</LinksUpToDate>
  <CharactersWithSpaces>232152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f-mcleod</dc:creator>
  <cp:keywords/>
  <dc:description/>
  <cp:lastModifiedBy>f-murray</cp:lastModifiedBy>
  <cp:revision>246</cp:revision>
  <cp:lastPrinted>2013-01-14T04:56:00Z</cp:lastPrinted>
  <dcterms:created xsi:type="dcterms:W3CDTF">2012-03-12T21:49:00Z</dcterms:created>
  <dcterms:modified xsi:type="dcterms:W3CDTF">2013-02-07T00:07:00Z</dcterms:modified>
</cp:coreProperties>
</file>