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D1" w:rsidRDefault="006D57D1"/>
    <w:p w:rsidR="006D57D1" w:rsidRPr="00BB15C7" w:rsidRDefault="006D57D1" w:rsidP="006D57D1">
      <w:pPr>
        <w:pStyle w:val="Heading1"/>
        <w:ind w:left="-567"/>
        <w:rPr>
          <w:color w:val="0070C0"/>
        </w:rPr>
      </w:pPr>
      <w:r>
        <w:rPr>
          <w:color w:val="0070C0"/>
        </w:rPr>
        <w:t>Purpose</w:t>
      </w:r>
    </w:p>
    <w:p w:rsidR="006D57D1" w:rsidRPr="00427B28" w:rsidRDefault="0077532C" w:rsidP="001F08A0">
      <w:pPr>
        <w:spacing w:after="0"/>
        <w:ind w:left="-567" w:right="-755"/>
        <w:jc w:val="both"/>
        <w:rPr>
          <w:rFonts w:ascii="Gill Sans MT" w:hAnsi="Gill Sans MT"/>
          <w:color w:val="000000"/>
          <w:shd w:val="clear" w:color="auto" w:fill="FFFFFF"/>
        </w:rPr>
      </w:pPr>
      <w:r>
        <w:rPr>
          <w:rFonts w:ascii="Gill Sans MT" w:hAnsi="Gill Sans MT"/>
        </w:rPr>
        <w:t>The purpose of this information bulletin is to provide information for owners and operators in selecting an appropriate safety chain connection device for a road trailer of up to 3500KG.</w:t>
      </w:r>
    </w:p>
    <w:p w:rsidR="006E01BD" w:rsidRDefault="006D57D1" w:rsidP="006E01BD">
      <w:pPr>
        <w:pStyle w:val="Heading1"/>
        <w:spacing w:before="240"/>
        <w:ind w:left="-567" w:right="-755"/>
        <w:rPr>
          <w:color w:val="0070C0"/>
        </w:rPr>
      </w:pPr>
      <w:r>
        <w:rPr>
          <w:color w:val="0070C0"/>
        </w:rPr>
        <w:t>Background</w:t>
      </w:r>
    </w:p>
    <w:p w:rsidR="006D57D1" w:rsidRPr="001F08A0" w:rsidRDefault="006E01BD" w:rsidP="006E01BD">
      <w:pPr>
        <w:pStyle w:val="ListParagraph"/>
        <w:numPr>
          <w:ilvl w:val="0"/>
          <w:numId w:val="1"/>
        </w:numPr>
        <w:spacing w:after="240"/>
        <w:ind w:left="-567" w:right="-755" w:firstLine="0"/>
        <w:jc w:val="both"/>
        <w:rPr>
          <w:rFonts w:ascii="Gill Sans MT" w:hAnsi="Gill Sans MT"/>
          <w:color w:val="000000"/>
          <w:shd w:val="clear" w:color="auto" w:fill="FFFFFF"/>
        </w:rPr>
      </w:pPr>
      <w:r>
        <w:rPr>
          <w:rFonts w:ascii="Gill Sans MT" w:hAnsi="Gill Sans MT"/>
          <w:i/>
          <w:color w:val="000000"/>
          <w:shd w:val="clear" w:color="auto" w:fill="FFFFFF"/>
        </w:rPr>
        <w:t xml:space="preserve"> </w:t>
      </w:r>
      <w:r w:rsidR="006D57D1" w:rsidRPr="006E01BD">
        <w:rPr>
          <w:rFonts w:ascii="Gill Sans MT" w:hAnsi="Gill Sans MT"/>
        </w:rPr>
        <w:t>A</w:t>
      </w:r>
      <w:r w:rsidR="00962AB8">
        <w:rPr>
          <w:rFonts w:ascii="Gill Sans MT" w:hAnsi="Gill Sans MT"/>
        </w:rPr>
        <w:t xml:space="preserve">ustrian Design Rule (ADR) </w:t>
      </w:r>
      <w:r w:rsidR="006D57D1" w:rsidRPr="006E01BD">
        <w:rPr>
          <w:rFonts w:ascii="Gill Sans MT" w:hAnsi="Gill Sans MT"/>
        </w:rPr>
        <w:t xml:space="preserve">62, AS/NZ 4177 and AS/NZ 2321 </w:t>
      </w:r>
      <w:r w:rsidR="00962AB8">
        <w:rPr>
          <w:rFonts w:ascii="Gill Sans MT" w:hAnsi="Gill Sans MT"/>
        </w:rPr>
        <w:t>outlines the</w:t>
      </w:r>
      <w:r w:rsidR="006D57D1" w:rsidRPr="006E01BD">
        <w:rPr>
          <w:rFonts w:ascii="Gill Sans MT" w:hAnsi="Gill Sans MT"/>
        </w:rPr>
        <w:t xml:space="preserve"> requirements for </w:t>
      </w:r>
      <w:r w:rsidR="006D57D1" w:rsidRPr="001F08A0">
        <w:rPr>
          <w:rFonts w:ascii="Gill Sans MT" w:hAnsi="Gill Sans MT"/>
        </w:rPr>
        <w:t>chain/cable</w:t>
      </w:r>
      <w:r w:rsidR="006D57D1" w:rsidRPr="006E01BD">
        <w:rPr>
          <w:rFonts w:ascii="Gill Sans MT" w:hAnsi="Gill Sans MT"/>
        </w:rPr>
        <w:t xml:space="preserve"> strength and attachment points on the trailer and the towbar.</w:t>
      </w:r>
      <w:r w:rsidR="006D57D1" w:rsidRPr="001F08A0">
        <w:rPr>
          <w:rFonts w:ascii="Gill Sans MT" w:hAnsi="Gill Sans MT"/>
          <w:color w:val="000000"/>
          <w:shd w:val="clear" w:color="auto" w:fill="FFFFFF"/>
        </w:rPr>
        <w:t xml:space="preserve"> </w:t>
      </w:r>
    </w:p>
    <w:p w:rsidR="006D57D1" w:rsidRPr="001F08A0" w:rsidRDefault="006D57D1" w:rsidP="001F08A0">
      <w:pPr>
        <w:pStyle w:val="ListParagraph"/>
        <w:numPr>
          <w:ilvl w:val="0"/>
          <w:numId w:val="1"/>
        </w:numPr>
        <w:spacing w:after="240"/>
        <w:ind w:left="-567" w:right="-755" w:firstLine="0"/>
        <w:jc w:val="both"/>
        <w:rPr>
          <w:rFonts w:ascii="Gill Sans MT" w:hAnsi="Gill Sans MT"/>
          <w:color w:val="000000"/>
          <w:shd w:val="clear" w:color="auto" w:fill="FFFFFF"/>
        </w:rPr>
      </w:pPr>
      <w:r w:rsidRPr="001F08A0">
        <w:rPr>
          <w:rFonts w:ascii="Gill Sans MT" w:hAnsi="Gill Sans MT"/>
        </w:rPr>
        <w:t>V</w:t>
      </w:r>
      <w:r w:rsidR="00D87054">
        <w:rPr>
          <w:rFonts w:ascii="Gill Sans MT" w:hAnsi="Gill Sans MT"/>
        </w:rPr>
        <w:t>ehicle Standards Bulletin (VSB1)</w:t>
      </w:r>
      <w:r w:rsidRPr="001F08A0">
        <w:rPr>
          <w:rFonts w:ascii="Gill Sans MT" w:hAnsi="Gill Sans MT"/>
        </w:rPr>
        <w:t xml:space="preserve"> defines the safety chain requirements for all light trailers manufactured after 1 Jul 1991. </w:t>
      </w:r>
    </w:p>
    <w:p w:rsidR="006D57D1" w:rsidRPr="001F08A0" w:rsidRDefault="006D57D1" w:rsidP="001F08A0">
      <w:pPr>
        <w:pStyle w:val="ListParagraph"/>
        <w:numPr>
          <w:ilvl w:val="0"/>
          <w:numId w:val="1"/>
        </w:numPr>
        <w:spacing w:after="240"/>
        <w:ind w:left="-567" w:right="-755" w:firstLine="0"/>
        <w:jc w:val="both"/>
        <w:rPr>
          <w:rFonts w:ascii="Gill Sans MT" w:hAnsi="Gill Sans MT"/>
          <w:color w:val="000000"/>
          <w:shd w:val="clear" w:color="auto" w:fill="FFFFFF"/>
        </w:rPr>
      </w:pPr>
      <w:r w:rsidRPr="001F08A0">
        <w:rPr>
          <w:rFonts w:ascii="Gill Sans MT" w:hAnsi="Gill Sans MT"/>
        </w:rPr>
        <w:t xml:space="preserve">Trailers manufactured prior to 1 Jul 1991 require fitment of at least 1 safety chain </w:t>
      </w:r>
      <w:r w:rsidR="00962AB8">
        <w:rPr>
          <w:rFonts w:ascii="Gill Sans MT" w:hAnsi="Gill Sans MT"/>
        </w:rPr>
        <w:t>in accordance with the</w:t>
      </w:r>
      <w:r w:rsidRPr="001F08A0">
        <w:rPr>
          <w:rFonts w:ascii="Gill Sans MT" w:hAnsi="Gill Sans MT"/>
        </w:rPr>
        <w:t xml:space="preserve"> Vehicle Standards Regulations.</w:t>
      </w:r>
    </w:p>
    <w:p w:rsidR="006D57D1" w:rsidRDefault="006D57D1" w:rsidP="00002252">
      <w:pPr>
        <w:pStyle w:val="ListParagraph"/>
        <w:numPr>
          <w:ilvl w:val="0"/>
          <w:numId w:val="1"/>
        </w:numPr>
        <w:spacing w:after="120"/>
        <w:ind w:left="-567" w:right="-755" w:firstLine="0"/>
        <w:rPr>
          <w:rFonts w:ascii="Gill Sans MT" w:hAnsi="Gill Sans MT"/>
        </w:rPr>
      </w:pPr>
      <w:r w:rsidRPr="001F08A0">
        <w:rPr>
          <w:rFonts w:ascii="Gill Sans MT" w:hAnsi="Gill Sans MT"/>
          <w:i/>
        </w:rPr>
        <w:t>Vehicle and Traffic (Vehicle Standards) Regulations 2014, Regulation 137</w:t>
      </w:r>
      <w:r w:rsidRPr="001F08A0">
        <w:rPr>
          <w:rFonts w:ascii="Gill Sans MT" w:hAnsi="Gill Sans MT"/>
        </w:rPr>
        <w:t xml:space="preserve"> requires:</w:t>
      </w:r>
    </w:p>
    <w:p w:rsidR="00002252" w:rsidRDefault="00FA76F6" w:rsidP="00002252">
      <w:pPr>
        <w:pStyle w:val="ListParagraph"/>
        <w:spacing w:after="120"/>
        <w:ind w:left="-567" w:right="-755"/>
        <w:rPr>
          <w:rFonts w:ascii="Gill Sans MT" w:hAnsi="Gill Sans MT"/>
        </w:rPr>
      </w:pPr>
      <w:r>
        <w:rPr>
          <w:noProof/>
          <w:lang w:eastAsia="en-AU"/>
        </w:rPr>
        <w:drawing>
          <wp:anchor distT="0" distB="0" distL="114300" distR="114300" simplePos="0" relativeHeight="251658240" behindDoc="0" locked="0" layoutInCell="1" allowOverlap="1">
            <wp:simplePos x="0" y="0"/>
            <wp:positionH relativeFrom="column">
              <wp:posOffset>-293342</wp:posOffset>
            </wp:positionH>
            <wp:positionV relativeFrom="paragraph">
              <wp:posOffset>184643</wp:posOffset>
            </wp:positionV>
            <wp:extent cx="5731510" cy="3288030"/>
            <wp:effectExtent l="0" t="0" r="254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3288030"/>
                    </a:xfrm>
                    <a:prstGeom prst="rect">
                      <a:avLst/>
                    </a:prstGeom>
                  </pic:spPr>
                </pic:pic>
              </a:graphicData>
            </a:graphic>
          </wp:anchor>
        </w:drawing>
      </w:r>
    </w:p>
    <w:p w:rsidR="00AA4740" w:rsidRPr="001F08A0" w:rsidRDefault="00AA4740" w:rsidP="00002252">
      <w:pPr>
        <w:pStyle w:val="ListParagraph"/>
        <w:spacing w:after="0"/>
        <w:ind w:left="-567" w:right="-755"/>
        <w:jc w:val="center"/>
        <w:rPr>
          <w:rFonts w:ascii="Gill Sans MT" w:hAnsi="Gill Sans MT"/>
        </w:rPr>
      </w:pPr>
    </w:p>
    <w:p w:rsidR="001C1C1A" w:rsidRPr="00BF2764" w:rsidRDefault="00FA76F6" w:rsidP="00BF2764">
      <w:pPr>
        <w:pStyle w:val="Heading1"/>
        <w:spacing w:before="240"/>
        <w:ind w:left="-567" w:right="-755"/>
        <w:rPr>
          <w:color w:val="0070C0"/>
        </w:rPr>
      </w:pPr>
      <w:r w:rsidRPr="00BF2764">
        <w:rPr>
          <w:color w:val="0070C0"/>
        </w:rPr>
        <w:t>Shackles</w:t>
      </w:r>
    </w:p>
    <w:p w:rsidR="00F916A6" w:rsidRDefault="0077532C" w:rsidP="00F916A6">
      <w:pPr>
        <w:ind w:left="-426"/>
        <w:rPr>
          <w:rFonts w:ascii="Gill Sans MT" w:hAnsi="Gill Sans MT"/>
        </w:rPr>
      </w:pPr>
      <w:r w:rsidRPr="0077532C">
        <w:rPr>
          <w:rFonts w:ascii="Gill Sans MT" w:hAnsi="Gill Sans MT"/>
        </w:rPr>
        <w:t>Bow shackles and D sha</w:t>
      </w:r>
      <w:r>
        <w:rPr>
          <w:rFonts w:ascii="Gill Sans MT" w:hAnsi="Gill Sans MT"/>
        </w:rPr>
        <w:t>c</w:t>
      </w:r>
      <w:r w:rsidRPr="0077532C">
        <w:rPr>
          <w:rFonts w:ascii="Gill Sans MT" w:hAnsi="Gill Sans MT"/>
        </w:rPr>
        <w:t>kles</w:t>
      </w:r>
      <w:r>
        <w:rPr>
          <w:rFonts w:ascii="Gill Sans MT" w:hAnsi="Gill Sans MT"/>
        </w:rPr>
        <w:t xml:space="preserve"> that comply with Australian Standard (AS) 2741 are rated for lifting applications and have a breaking load marked on</w:t>
      </w:r>
      <w:r w:rsidR="00E0371D">
        <w:rPr>
          <w:rFonts w:ascii="Gill Sans MT" w:hAnsi="Gill Sans MT"/>
        </w:rPr>
        <w:t xml:space="preserve"> the shackle that is higher than</w:t>
      </w:r>
      <w:r>
        <w:rPr>
          <w:rFonts w:ascii="Gill Sans MT" w:hAnsi="Gill Sans MT"/>
        </w:rPr>
        <w:t xml:space="preserve"> the Working Load Limit</w:t>
      </w:r>
      <w:r w:rsidR="000A7C27">
        <w:rPr>
          <w:rFonts w:ascii="Gill Sans MT" w:hAnsi="Gill Sans MT"/>
        </w:rPr>
        <w:t xml:space="preserve"> (WLL). Since the loading on th</w:t>
      </w:r>
      <w:r>
        <w:rPr>
          <w:rFonts w:ascii="Gill Sans MT" w:hAnsi="Gill Sans MT"/>
        </w:rPr>
        <w:t xml:space="preserve">ese shackles is different when used to attach a safety chain to a road vehicle as compared to when used in a lifting application, a road trailer may be towed that is heavier than the shackle’s WLL. </w:t>
      </w:r>
    </w:p>
    <w:p w:rsidR="0077532C" w:rsidRPr="00F916A6" w:rsidRDefault="00BF2764" w:rsidP="00F916A6">
      <w:pPr>
        <w:ind w:left="-426"/>
        <w:rPr>
          <w:rFonts w:ascii="Gill Sans MT" w:hAnsi="Gill Sans MT"/>
        </w:rPr>
      </w:pPr>
      <w:r>
        <w:rPr>
          <w:noProof/>
          <w:lang w:eastAsia="en-AU"/>
        </w:rPr>
        <w:drawing>
          <wp:anchor distT="0" distB="0" distL="114300" distR="114300" simplePos="0" relativeHeight="251662336" behindDoc="1" locked="0" layoutInCell="1" allowOverlap="1" wp14:anchorId="04EADC2E" wp14:editId="410D7C18">
            <wp:simplePos x="0" y="0"/>
            <wp:positionH relativeFrom="page">
              <wp:posOffset>13335</wp:posOffset>
            </wp:positionH>
            <wp:positionV relativeFrom="paragraph">
              <wp:posOffset>268245</wp:posOffset>
            </wp:positionV>
            <wp:extent cx="7540616" cy="1526596"/>
            <wp:effectExtent l="0" t="0" r="3810" b="0"/>
            <wp:wrapNone/>
            <wp:docPr id="14" name="Picture 14" descr="\\W2K12FILE1\Group\Corp Services\Corporate Communication\Graphic design\Logos and logo guidelines\Logos\TAS GOV\Basewave\DSG Base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2K12FILE1\Group\Corp Services\Corporate Communication\Graphic design\Logos and logo guidelines\Logos\TAS GOV\Basewave\DSG Basewav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0616" cy="1526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32C">
        <w:rPr>
          <w:rFonts w:ascii="Gill Sans MT" w:hAnsi="Gill Sans MT"/>
        </w:rPr>
        <w:t xml:space="preserve">The relationship between the WLL and the towing capacity is given in the table </w:t>
      </w:r>
      <w:r>
        <w:rPr>
          <w:rFonts w:ascii="Gill Sans MT" w:hAnsi="Gill Sans MT"/>
        </w:rPr>
        <w:t>on page 2</w:t>
      </w:r>
      <w:r w:rsidR="0077532C">
        <w:rPr>
          <w:rFonts w:ascii="Gill Sans MT" w:hAnsi="Gill Sans MT"/>
        </w:rPr>
        <w:t>.</w:t>
      </w:r>
      <w:r w:rsidR="0077532C" w:rsidRPr="0077532C">
        <w:rPr>
          <w:rFonts w:ascii="Gill Sans MT Std Light" w:eastAsia="SimSun" w:hAnsi="Gill Sans MT Std Light" w:cs="Times New Roman"/>
          <w:color w:val="0070C0"/>
          <w:sz w:val="32"/>
          <w:szCs w:val="32"/>
          <w:lang w:eastAsia="zh-CN"/>
        </w:rPr>
        <w:t xml:space="preserve"> </w:t>
      </w:r>
    </w:p>
    <w:p w:rsidR="0077532C" w:rsidRPr="0077532C" w:rsidRDefault="0077532C" w:rsidP="0077532C">
      <w:pPr>
        <w:rPr>
          <w:rFonts w:ascii="Gill Sans MT Std Light" w:eastAsia="SimSun" w:hAnsi="Gill Sans MT Std Light" w:cs="Times New Roman"/>
          <w:color w:val="0070C0"/>
          <w:sz w:val="32"/>
          <w:szCs w:val="32"/>
          <w:lang w:eastAsia="zh-CN"/>
        </w:rPr>
      </w:pPr>
    </w:p>
    <w:p w:rsidR="00E0371D" w:rsidRDefault="00E0371D" w:rsidP="00EB6414">
      <w:pPr>
        <w:pStyle w:val="Heading1"/>
        <w:ind w:left="-567"/>
        <w:rPr>
          <w:color w:val="0070C0"/>
        </w:rPr>
      </w:pPr>
    </w:p>
    <w:p w:rsidR="001F08A0" w:rsidRDefault="001F08A0" w:rsidP="00EB6414">
      <w:pPr>
        <w:pStyle w:val="Heading1"/>
        <w:ind w:left="-567"/>
        <w:rPr>
          <w:color w:val="0070C0"/>
        </w:rPr>
      </w:pPr>
      <w:r w:rsidRPr="00AA4740">
        <w:rPr>
          <w:color w:val="0070C0"/>
        </w:rPr>
        <w:t>Recommendation</w:t>
      </w:r>
    </w:p>
    <w:p w:rsidR="001F08A0" w:rsidRPr="00B45FDF" w:rsidRDefault="003C0EE2" w:rsidP="003277CB">
      <w:pPr>
        <w:spacing w:after="100"/>
        <w:ind w:left="-567" w:right="-755"/>
        <w:rPr>
          <w:rFonts w:ascii="Gill Sans MT" w:hAnsi="Gill Sans MT"/>
        </w:rPr>
      </w:pPr>
      <w:r w:rsidRPr="00B45FDF">
        <w:rPr>
          <w:rFonts w:ascii="Gill Sans MT" w:hAnsi="Gill Sans MT"/>
        </w:rPr>
        <w:t>Safety chains may be attached to the towbar attachment points with a bow, D or pin shackles. As they are considered integral with the towbar, safety chain attachment points on the towbar that include a pin shackle or bolt for attaching the chain are subject to performance requirements as per ADR62/01 or 02 – Mechanical Couplings between Vehicles.</w:t>
      </w:r>
    </w:p>
    <w:p w:rsidR="003C0EE2" w:rsidRPr="00B45FDF" w:rsidRDefault="003C0EE2" w:rsidP="003277CB">
      <w:pPr>
        <w:spacing w:after="100"/>
        <w:ind w:left="-567" w:right="-755"/>
        <w:rPr>
          <w:rFonts w:ascii="Gill Sans MT" w:hAnsi="Gill Sans MT"/>
        </w:rPr>
      </w:pPr>
      <w:r w:rsidRPr="00B45FDF">
        <w:rPr>
          <w:rFonts w:ascii="Gill Sans MT" w:hAnsi="Gill Sans MT"/>
        </w:rPr>
        <w:t xml:space="preserve">Shackles used to attach safety chains to towbar </w:t>
      </w:r>
      <w:r w:rsidR="00B45FDF" w:rsidRPr="00B45FDF">
        <w:rPr>
          <w:rFonts w:ascii="Gill Sans MT" w:hAnsi="Gill Sans MT"/>
        </w:rPr>
        <w:t>attachment</w:t>
      </w:r>
      <w:r w:rsidRPr="00B45FDF">
        <w:rPr>
          <w:rFonts w:ascii="Gill Sans MT" w:hAnsi="Gill Sans MT"/>
        </w:rPr>
        <w:t xml:space="preserve"> points should at a minimum exceed the required</w:t>
      </w:r>
      <w:r w:rsidR="00B45FDF" w:rsidRPr="00B45FDF">
        <w:rPr>
          <w:rFonts w:ascii="Gill Sans MT" w:hAnsi="Gill Sans MT"/>
        </w:rPr>
        <w:t xml:space="preserve"> </w:t>
      </w:r>
      <w:r w:rsidRPr="00B45FDF">
        <w:rPr>
          <w:rFonts w:ascii="Gill Sans MT" w:hAnsi="Gill Sans MT"/>
        </w:rPr>
        <w:t>rating of the safety chain, as determined</w:t>
      </w:r>
      <w:r w:rsidR="00B45FDF" w:rsidRPr="00B45FDF">
        <w:rPr>
          <w:rFonts w:ascii="Gill Sans MT" w:hAnsi="Gill Sans MT"/>
        </w:rPr>
        <w:t xml:space="preserve"> </w:t>
      </w:r>
      <w:r w:rsidRPr="00B45FDF">
        <w:rPr>
          <w:rFonts w:ascii="Gill Sans MT" w:hAnsi="Gill Sans MT"/>
        </w:rPr>
        <w:t>by the ATM of the road tr</w:t>
      </w:r>
      <w:r w:rsidR="00B45FDF" w:rsidRPr="00B45FDF">
        <w:rPr>
          <w:rFonts w:ascii="Gill Sans MT" w:hAnsi="Gill Sans MT"/>
        </w:rPr>
        <w:t xml:space="preserve">ailer. Additionally, the </w:t>
      </w:r>
      <w:r w:rsidR="003277CB">
        <w:rPr>
          <w:rFonts w:ascii="Gill Sans MT" w:hAnsi="Gill Sans MT"/>
        </w:rPr>
        <w:t>s</w:t>
      </w:r>
      <w:r w:rsidR="00B45FDF" w:rsidRPr="00B45FDF">
        <w:rPr>
          <w:rFonts w:ascii="Gill Sans MT" w:hAnsi="Gill Sans MT"/>
        </w:rPr>
        <w:t>hackle should be fit for purpose and compatible with the safety chain in terms of strength and size.</w:t>
      </w:r>
    </w:p>
    <w:p w:rsidR="00B45FDF" w:rsidRPr="00B45FDF" w:rsidRDefault="00B45FDF" w:rsidP="003277CB">
      <w:pPr>
        <w:spacing w:after="100"/>
        <w:ind w:left="-567" w:right="-755"/>
        <w:rPr>
          <w:rFonts w:ascii="Gill Sans MT" w:hAnsi="Gill Sans MT"/>
        </w:rPr>
      </w:pPr>
      <w:r w:rsidRPr="00B45FDF">
        <w:rPr>
          <w:rFonts w:ascii="Gill Sans MT" w:hAnsi="Gill Sans MT"/>
        </w:rPr>
        <w:t>This may be fulfilled by:</w:t>
      </w:r>
    </w:p>
    <w:p w:rsidR="00B45FDF" w:rsidRPr="00B45FDF" w:rsidRDefault="00B45FDF" w:rsidP="003277CB">
      <w:pPr>
        <w:spacing w:after="100"/>
        <w:ind w:left="-567" w:right="-755"/>
        <w:rPr>
          <w:rFonts w:ascii="Gill Sans MT" w:hAnsi="Gill Sans MT"/>
        </w:rPr>
      </w:pPr>
      <w:r>
        <w:rPr>
          <w:rFonts w:ascii="Gill Sans MT" w:hAnsi="Gill Sans MT"/>
        </w:rPr>
        <w:t xml:space="preserve">a) </w:t>
      </w:r>
      <w:r w:rsidRPr="00B45FDF">
        <w:rPr>
          <w:rFonts w:ascii="Gill Sans MT" w:hAnsi="Gill Sans MT"/>
        </w:rPr>
        <w:t>The use of a shackle that is compatible with the safety chain and complying with AS2741. In this case, the shackle must have the appropriate markings, as identified below:</w:t>
      </w:r>
    </w:p>
    <w:p w:rsidR="00B45FDF" w:rsidRDefault="00FE0E82" w:rsidP="003277CB">
      <w:pPr>
        <w:pStyle w:val="ListParagraph"/>
        <w:numPr>
          <w:ilvl w:val="0"/>
          <w:numId w:val="6"/>
        </w:numPr>
        <w:spacing w:after="100"/>
        <w:ind w:right="-755"/>
        <w:rPr>
          <w:rFonts w:ascii="Gill Sans MT" w:hAnsi="Gill Sans MT"/>
        </w:rPr>
      </w:pPr>
      <w:r w:rsidRPr="00B45FDF">
        <w:rPr>
          <w:rFonts w:ascii="Gill Sans MT" w:hAnsi="Gill Sans MT"/>
        </w:rPr>
        <w:t>Manufacturers Identification, and</w:t>
      </w:r>
    </w:p>
    <w:p w:rsidR="00B45FDF" w:rsidRDefault="00FE0E82" w:rsidP="003277CB">
      <w:pPr>
        <w:pStyle w:val="ListParagraph"/>
        <w:numPr>
          <w:ilvl w:val="0"/>
          <w:numId w:val="6"/>
        </w:numPr>
        <w:spacing w:after="100"/>
        <w:ind w:right="-755"/>
        <w:rPr>
          <w:rFonts w:ascii="Gill Sans MT" w:hAnsi="Gill Sans MT"/>
        </w:rPr>
      </w:pPr>
      <w:r w:rsidRPr="00B45FDF">
        <w:rPr>
          <w:rFonts w:ascii="Gill Sans MT" w:hAnsi="Gill Sans MT"/>
        </w:rPr>
        <w:t>Quality or Grade as M or 4, or S or 6, and</w:t>
      </w:r>
    </w:p>
    <w:p w:rsidR="00B45FDF" w:rsidRDefault="00FE0E82" w:rsidP="003277CB">
      <w:pPr>
        <w:pStyle w:val="ListParagraph"/>
        <w:numPr>
          <w:ilvl w:val="0"/>
          <w:numId w:val="6"/>
        </w:numPr>
        <w:spacing w:after="100"/>
        <w:ind w:right="-755"/>
        <w:rPr>
          <w:rFonts w:ascii="Gill Sans MT" w:hAnsi="Gill Sans MT"/>
        </w:rPr>
      </w:pPr>
      <w:r w:rsidRPr="00B45FDF">
        <w:rPr>
          <w:rFonts w:ascii="Gill Sans MT" w:hAnsi="Gill Sans MT"/>
        </w:rPr>
        <w:t>Working Load Limit (WLL), the maximum load that may be applied to the shackle,</w:t>
      </w:r>
    </w:p>
    <w:p w:rsidR="00FE0E82" w:rsidRPr="00B45FDF" w:rsidRDefault="00FE0E82" w:rsidP="003277CB">
      <w:pPr>
        <w:pStyle w:val="ListParagraph"/>
        <w:numPr>
          <w:ilvl w:val="0"/>
          <w:numId w:val="6"/>
        </w:numPr>
        <w:spacing w:after="100"/>
        <w:ind w:right="-755"/>
        <w:rPr>
          <w:rFonts w:ascii="Gill Sans MT" w:hAnsi="Gill Sans MT"/>
        </w:rPr>
      </w:pPr>
      <w:r w:rsidRPr="00B45FDF">
        <w:rPr>
          <w:rFonts w:ascii="Gill Sans MT" w:hAnsi="Gill Sans MT"/>
        </w:rPr>
        <w:t>Identification marking to correlate the shackle to test certificate.</w:t>
      </w:r>
    </w:p>
    <w:p w:rsidR="00740560" w:rsidRPr="00EB6414" w:rsidRDefault="00740560" w:rsidP="00740560">
      <w:pPr>
        <w:spacing w:after="0"/>
        <w:ind w:left="1276" w:right="-755"/>
        <w:rPr>
          <w:rFonts w:ascii="Gill Sans MT" w:hAnsi="Gill Sans MT"/>
          <w:sz w:val="10"/>
        </w:rPr>
      </w:pPr>
    </w:p>
    <w:p w:rsidR="00FE0E82" w:rsidRPr="00002252" w:rsidRDefault="00FE0E82" w:rsidP="00EB6414">
      <w:pPr>
        <w:spacing w:before="100" w:after="120"/>
        <w:ind w:left="-567"/>
        <w:jc w:val="both"/>
        <w:rPr>
          <w:rFonts w:ascii="Gill Sans MT" w:hAnsi="Gill Sans MT"/>
          <w:b/>
        </w:rPr>
      </w:pPr>
      <w:r w:rsidRPr="00002252">
        <w:rPr>
          <w:rFonts w:ascii="Gill Sans MT" w:hAnsi="Gill Sans MT"/>
          <w:b/>
        </w:rPr>
        <w:t>Shackle Selection</w:t>
      </w:r>
      <w:r w:rsidR="000A7C27">
        <w:rPr>
          <w:rFonts w:ascii="Gill Sans MT" w:hAnsi="Gill Sans MT"/>
          <w:b/>
        </w:rPr>
        <w:t>:</w:t>
      </w:r>
    </w:p>
    <w:tbl>
      <w:tblPr>
        <w:tblStyle w:val="TableGrid"/>
        <w:tblW w:w="10206" w:type="dxa"/>
        <w:tblInd w:w="-572" w:type="dxa"/>
        <w:tblLayout w:type="fixed"/>
        <w:tblLook w:val="04A0" w:firstRow="1" w:lastRow="0" w:firstColumn="1" w:lastColumn="0" w:noHBand="0" w:noVBand="1"/>
      </w:tblPr>
      <w:tblGrid>
        <w:gridCol w:w="1701"/>
        <w:gridCol w:w="1418"/>
        <w:gridCol w:w="1276"/>
        <w:gridCol w:w="1984"/>
        <w:gridCol w:w="1843"/>
        <w:gridCol w:w="1984"/>
      </w:tblGrid>
      <w:tr w:rsidR="003C0EE2" w:rsidTr="000F3E54">
        <w:trPr>
          <w:trHeight w:val="301"/>
        </w:trPr>
        <w:tc>
          <w:tcPr>
            <w:tcW w:w="1701" w:type="dxa"/>
            <w:vMerge w:val="restart"/>
            <w:shd w:val="clear" w:color="auto" w:fill="0033CC"/>
          </w:tcPr>
          <w:p w:rsidR="003C0EE2" w:rsidRPr="00F823D0" w:rsidRDefault="003C0EE2" w:rsidP="00FE0E82">
            <w:pPr>
              <w:rPr>
                <w:color w:val="FFFFFF" w:themeColor="background1"/>
              </w:rPr>
            </w:pPr>
            <w:r w:rsidRPr="00F823D0">
              <w:rPr>
                <w:color w:val="FFFFFF" w:themeColor="background1"/>
              </w:rPr>
              <w:t>Trailer ATM (kg)</w:t>
            </w:r>
          </w:p>
        </w:tc>
        <w:tc>
          <w:tcPr>
            <w:tcW w:w="1418" w:type="dxa"/>
            <w:vMerge w:val="restart"/>
            <w:shd w:val="clear" w:color="auto" w:fill="0033CC"/>
          </w:tcPr>
          <w:p w:rsidR="003C0EE2" w:rsidRPr="003C0EE2" w:rsidRDefault="003C0EE2" w:rsidP="00574B15">
            <w:pPr>
              <w:rPr>
                <w:color w:val="FFFFFF" w:themeColor="background1"/>
                <w:sz w:val="20"/>
                <w:szCs w:val="20"/>
              </w:rPr>
            </w:pPr>
            <w:r w:rsidRPr="003C0EE2">
              <w:rPr>
                <w:color w:val="FFFFFF" w:themeColor="background1"/>
                <w:sz w:val="20"/>
                <w:szCs w:val="20"/>
              </w:rPr>
              <w:t>Chain Size Classification AS4177.4 -2004</w:t>
            </w:r>
          </w:p>
        </w:tc>
        <w:tc>
          <w:tcPr>
            <w:tcW w:w="1276" w:type="dxa"/>
            <w:vMerge w:val="restart"/>
            <w:shd w:val="clear" w:color="auto" w:fill="0033CC"/>
          </w:tcPr>
          <w:p w:rsidR="003C0EE2" w:rsidRPr="003C0EE2" w:rsidRDefault="003C0EE2" w:rsidP="00574B15">
            <w:pPr>
              <w:rPr>
                <w:color w:val="FFFFFF" w:themeColor="background1"/>
                <w:sz w:val="20"/>
                <w:szCs w:val="20"/>
              </w:rPr>
            </w:pPr>
            <w:r w:rsidRPr="003C0EE2">
              <w:rPr>
                <w:color w:val="FFFFFF" w:themeColor="background1"/>
                <w:sz w:val="20"/>
                <w:szCs w:val="20"/>
              </w:rPr>
              <w:t>Chain Marking AS4177.4 - 2004</w:t>
            </w:r>
          </w:p>
        </w:tc>
        <w:tc>
          <w:tcPr>
            <w:tcW w:w="5811" w:type="dxa"/>
            <w:gridSpan w:val="3"/>
            <w:shd w:val="clear" w:color="auto" w:fill="0033CC"/>
          </w:tcPr>
          <w:p w:rsidR="003C0EE2" w:rsidRPr="00F823D0" w:rsidRDefault="003C0EE2" w:rsidP="00574B15">
            <w:pPr>
              <w:jc w:val="both"/>
              <w:rPr>
                <w:color w:val="FFFFFF" w:themeColor="background1"/>
              </w:rPr>
            </w:pPr>
            <w:r>
              <w:rPr>
                <w:color w:val="FFFFFF" w:themeColor="background1"/>
              </w:rPr>
              <w:t>Minimum size of Shackles (Body diameter not pin size).</w:t>
            </w:r>
          </w:p>
          <w:p w:rsidR="003C0EE2" w:rsidRDefault="003C0EE2" w:rsidP="00574B15">
            <w:pPr>
              <w:jc w:val="both"/>
              <w:rPr>
                <w:color w:val="FFFFFF" w:themeColor="background1"/>
              </w:rPr>
            </w:pPr>
            <w:r>
              <w:rPr>
                <w:color w:val="FFFFFF" w:themeColor="background1"/>
              </w:rPr>
              <w:t>For Bow or D-shackles complying with AS2741</w:t>
            </w:r>
          </w:p>
          <w:p w:rsidR="003C0EE2" w:rsidRPr="00F823D0" w:rsidRDefault="003C0EE2" w:rsidP="000A7C27">
            <w:pPr>
              <w:rPr>
                <w:color w:val="FFFFFF" w:themeColor="background1"/>
              </w:rPr>
            </w:pPr>
          </w:p>
        </w:tc>
      </w:tr>
      <w:tr w:rsidR="000A7C27" w:rsidTr="000F3E54">
        <w:trPr>
          <w:trHeight w:val="672"/>
        </w:trPr>
        <w:tc>
          <w:tcPr>
            <w:tcW w:w="1701" w:type="dxa"/>
            <w:vMerge/>
            <w:shd w:val="clear" w:color="auto" w:fill="0033CC"/>
          </w:tcPr>
          <w:p w:rsidR="000A7C27" w:rsidRPr="00F823D0" w:rsidRDefault="000A7C27" w:rsidP="00FE0E82">
            <w:pPr>
              <w:rPr>
                <w:color w:val="FFFFFF" w:themeColor="background1"/>
              </w:rPr>
            </w:pPr>
          </w:p>
        </w:tc>
        <w:tc>
          <w:tcPr>
            <w:tcW w:w="1418" w:type="dxa"/>
            <w:vMerge/>
            <w:shd w:val="clear" w:color="auto" w:fill="0033CC"/>
          </w:tcPr>
          <w:p w:rsidR="000A7C27" w:rsidRPr="00F823D0" w:rsidRDefault="000A7C27" w:rsidP="00574B15">
            <w:pPr>
              <w:rPr>
                <w:color w:val="FFFFFF" w:themeColor="background1"/>
              </w:rPr>
            </w:pPr>
          </w:p>
        </w:tc>
        <w:tc>
          <w:tcPr>
            <w:tcW w:w="1276" w:type="dxa"/>
            <w:vMerge/>
            <w:shd w:val="clear" w:color="auto" w:fill="0033CC"/>
          </w:tcPr>
          <w:p w:rsidR="000A7C27" w:rsidRPr="00F823D0" w:rsidRDefault="000A7C27" w:rsidP="00574B15">
            <w:pPr>
              <w:rPr>
                <w:color w:val="FFFFFF" w:themeColor="background1"/>
              </w:rPr>
            </w:pPr>
          </w:p>
        </w:tc>
        <w:tc>
          <w:tcPr>
            <w:tcW w:w="1984" w:type="dxa"/>
            <w:shd w:val="clear" w:color="auto" w:fill="0033CC"/>
          </w:tcPr>
          <w:p w:rsidR="000A7C27" w:rsidRPr="00F823D0" w:rsidRDefault="000A7C27" w:rsidP="000A7C27">
            <w:pPr>
              <w:rPr>
                <w:color w:val="FFFFFF" w:themeColor="background1"/>
              </w:rPr>
            </w:pPr>
            <w:r>
              <w:rPr>
                <w:color w:val="FFFFFF" w:themeColor="background1"/>
              </w:rPr>
              <w:t xml:space="preserve">Grade M (or4) </w:t>
            </w:r>
            <w:r w:rsidRPr="00F823D0">
              <w:rPr>
                <w:color w:val="FFFFFF" w:themeColor="background1"/>
              </w:rPr>
              <w:t xml:space="preserve">D </w:t>
            </w:r>
            <w:r>
              <w:rPr>
                <w:color w:val="FFFFFF" w:themeColor="background1"/>
              </w:rPr>
              <w:t>Shackle</w:t>
            </w:r>
          </w:p>
        </w:tc>
        <w:tc>
          <w:tcPr>
            <w:tcW w:w="1843" w:type="dxa"/>
            <w:shd w:val="clear" w:color="auto" w:fill="0033CC"/>
          </w:tcPr>
          <w:p w:rsidR="000A7C27" w:rsidRPr="00F823D0" w:rsidRDefault="000A7C27" w:rsidP="000A7C27">
            <w:pPr>
              <w:rPr>
                <w:color w:val="FFFFFF" w:themeColor="background1"/>
              </w:rPr>
            </w:pPr>
            <w:r>
              <w:rPr>
                <w:color w:val="FFFFFF" w:themeColor="background1"/>
              </w:rPr>
              <w:t>Grade S (or 6) D Shackle</w:t>
            </w:r>
          </w:p>
        </w:tc>
        <w:tc>
          <w:tcPr>
            <w:tcW w:w="1984" w:type="dxa"/>
            <w:shd w:val="clear" w:color="auto" w:fill="0033CC"/>
          </w:tcPr>
          <w:p w:rsidR="000A7C27" w:rsidRDefault="00EE3187" w:rsidP="000A7C27">
            <w:pPr>
              <w:rPr>
                <w:color w:val="FFFFFF" w:themeColor="background1"/>
              </w:rPr>
            </w:pPr>
            <w:r>
              <w:rPr>
                <w:color w:val="FFFFFF" w:themeColor="background1"/>
              </w:rPr>
              <w:t>Grade S (or 6)</w:t>
            </w:r>
          </w:p>
          <w:p w:rsidR="00EE3187" w:rsidRPr="00F823D0" w:rsidRDefault="00EE3187" w:rsidP="000A7C27">
            <w:pPr>
              <w:rPr>
                <w:color w:val="FFFFFF" w:themeColor="background1"/>
              </w:rPr>
            </w:pPr>
            <w:r>
              <w:rPr>
                <w:color w:val="FFFFFF" w:themeColor="background1"/>
              </w:rPr>
              <w:t>Bow Shackle</w:t>
            </w:r>
          </w:p>
        </w:tc>
      </w:tr>
      <w:tr w:rsidR="000A7C27" w:rsidTr="000F3E54">
        <w:tc>
          <w:tcPr>
            <w:tcW w:w="1701" w:type="dxa"/>
            <w:shd w:val="clear" w:color="auto" w:fill="D5DCE4" w:themeFill="text2" w:themeFillTint="33"/>
          </w:tcPr>
          <w:p w:rsidR="000A7C27" w:rsidRPr="00F823D0" w:rsidRDefault="000A7C27" w:rsidP="00FE0E82">
            <w:pPr>
              <w:spacing w:before="40" w:after="40"/>
              <w:rPr>
                <w:b/>
              </w:rPr>
            </w:pPr>
            <w:r w:rsidRPr="00F823D0">
              <w:rPr>
                <w:b/>
              </w:rPr>
              <w:t>Up to 1000Kg</w:t>
            </w:r>
          </w:p>
        </w:tc>
        <w:tc>
          <w:tcPr>
            <w:tcW w:w="1418" w:type="dxa"/>
            <w:shd w:val="clear" w:color="auto" w:fill="D5DCE4" w:themeFill="text2" w:themeFillTint="33"/>
          </w:tcPr>
          <w:p w:rsidR="000A7C27" w:rsidRPr="00F823D0" w:rsidRDefault="000A7C27" w:rsidP="00574B15">
            <w:pPr>
              <w:spacing w:before="40" w:after="40"/>
              <w:jc w:val="center"/>
              <w:rPr>
                <w:b/>
              </w:rPr>
            </w:pPr>
            <w:r w:rsidRPr="00F823D0">
              <w:rPr>
                <w:b/>
              </w:rPr>
              <w:t>1000</w:t>
            </w:r>
          </w:p>
        </w:tc>
        <w:tc>
          <w:tcPr>
            <w:tcW w:w="1276" w:type="dxa"/>
            <w:shd w:val="clear" w:color="auto" w:fill="D5DCE4" w:themeFill="text2" w:themeFillTint="33"/>
          </w:tcPr>
          <w:p w:rsidR="000A7C27" w:rsidRPr="00F823D0" w:rsidRDefault="000A7C27" w:rsidP="00574B15">
            <w:pPr>
              <w:spacing w:before="40" w:after="40"/>
              <w:jc w:val="center"/>
              <w:rPr>
                <w:b/>
              </w:rPr>
            </w:pPr>
            <w:r w:rsidRPr="00F823D0">
              <w:rPr>
                <w:b/>
              </w:rPr>
              <w:t>4177-10</w:t>
            </w:r>
          </w:p>
        </w:tc>
        <w:tc>
          <w:tcPr>
            <w:tcW w:w="1984" w:type="dxa"/>
            <w:shd w:val="clear" w:color="auto" w:fill="D5DCE4" w:themeFill="text2" w:themeFillTint="33"/>
          </w:tcPr>
          <w:p w:rsidR="000A7C27" w:rsidRPr="00F823D0" w:rsidRDefault="000A7C27" w:rsidP="000A7C27">
            <w:pPr>
              <w:spacing w:before="40" w:after="40"/>
              <w:jc w:val="both"/>
              <w:rPr>
                <w:b/>
              </w:rPr>
            </w:pPr>
            <w:r w:rsidRPr="00F823D0">
              <w:rPr>
                <w:b/>
              </w:rPr>
              <w:t>6mm</w:t>
            </w:r>
            <w:r>
              <w:rPr>
                <w:b/>
              </w:rPr>
              <w:t xml:space="preserve">   </w:t>
            </w:r>
            <w:r w:rsidRPr="00F823D0">
              <w:rPr>
                <w:b/>
              </w:rPr>
              <w:t xml:space="preserve"> </w:t>
            </w:r>
            <w:r>
              <w:rPr>
                <w:b/>
              </w:rPr>
              <w:t xml:space="preserve">  </w:t>
            </w:r>
            <w:r w:rsidRPr="00F823D0">
              <w:rPr>
                <w:b/>
              </w:rPr>
              <w:t xml:space="preserve">WLL </w:t>
            </w:r>
            <w:r>
              <w:rPr>
                <w:b/>
              </w:rPr>
              <w:t>250kg</w:t>
            </w:r>
          </w:p>
        </w:tc>
        <w:tc>
          <w:tcPr>
            <w:tcW w:w="1843" w:type="dxa"/>
            <w:shd w:val="clear" w:color="auto" w:fill="D5DCE4" w:themeFill="text2" w:themeFillTint="33"/>
          </w:tcPr>
          <w:p w:rsidR="000A7C27" w:rsidRPr="00F823D0" w:rsidRDefault="000A7C27" w:rsidP="000A7C27">
            <w:pPr>
              <w:spacing w:before="40" w:after="40"/>
              <w:rPr>
                <w:b/>
              </w:rPr>
            </w:pPr>
            <w:r>
              <w:rPr>
                <w:b/>
              </w:rPr>
              <w:t>6mm  WLL 250kg</w:t>
            </w:r>
          </w:p>
        </w:tc>
        <w:tc>
          <w:tcPr>
            <w:tcW w:w="1984" w:type="dxa"/>
            <w:shd w:val="clear" w:color="auto" w:fill="D5DCE4" w:themeFill="text2" w:themeFillTint="33"/>
          </w:tcPr>
          <w:p w:rsidR="000A7C27" w:rsidRPr="00F823D0" w:rsidRDefault="00EE3187" w:rsidP="00EE3187">
            <w:pPr>
              <w:spacing w:before="40" w:after="40"/>
              <w:rPr>
                <w:b/>
              </w:rPr>
            </w:pPr>
            <w:r>
              <w:rPr>
                <w:b/>
              </w:rPr>
              <w:t>5mm    WLL  250kg</w:t>
            </w:r>
          </w:p>
        </w:tc>
      </w:tr>
      <w:tr w:rsidR="000A7C27" w:rsidTr="000F3E54">
        <w:tc>
          <w:tcPr>
            <w:tcW w:w="1701" w:type="dxa"/>
          </w:tcPr>
          <w:p w:rsidR="000A7C27" w:rsidRPr="00F823D0" w:rsidRDefault="000A7C27" w:rsidP="00FE0E82">
            <w:pPr>
              <w:spacing w:before="40" w:after="40"/>
              <w:rPr>
                <w:b/>
              </w:rPr>
            </w:pPr>
            <w:r>
              <w:rPr>
                <w:b/>
              </w:rPr>
              <w:t>1001</w:t>
            </w:r>
            <w:r w:rsidRPr="00F823D0">
              <w:rPr>
                <w:b/>
              </w:rPr>
              <w:t xml:space="preserve"> to 1600Kg</w:t>
            </w:r>
          </w:p>
        </w:tc>
        <w:tc>
          <w:tcPr>
            <w:tcW w:w="1418" w:type="dxa"/>
          </w:tcPr>
          <w:p w:rsidR="000A7C27" w:rsidRPr="00F823D0" w:rsidRDefault="000A7C27" w:rsidP="00574B15">
            <w:pPr>
              <w:spacing w:before="40" w:after="40"/>
              <w:jc w:val="center"/>
              <w:rPr>
                <w:b/>
              </w:rPr>
            </w:pPr>
            <w:r w:rsidRPr="00F823D0">
              <w:rPr>
                <w:b/>
              </w:rPr>
              <w:t>1600</w:t>
            </w:r>
          </w:p>
        </w:tc>
        <w:tc>
          <w:tcPr>
            <w:tcW w:w="1276" w:type="dxa"/>
          </w:tcPr>
          <w:p w:rsidR="000A7C27" w:rsidRPr="00F823D0" w:rsidRDefault="000A7C27" w:rsidP="00574B15">
            <w:pPr>
              <w:spacing w:before="40" w:after="40"/>
              <w:jc w:val="center"/>
              <w:rPr>
                <w:b/>
              </w:rPr>
            </w:pPr>
            <w:r w:rsidRPr="00F823D0">
              <w:rPr>
                <w:b/>
              </w:rPr>
              <w:t>4177-16</w:t>
            </w:r>
          </w:p>
        </w:tc>
        <w:tc>
          <w:tcPr>
            <w:tcW w:w="1984" w:type="dxa"/>
          </w:tcPr>
          <w:p w:rsidR="000A7C27" w:rsidRPr="00F823D0" w:rsidRDefault="000A7C27" w:rsidP="000A7C27">
            <w:pPr>
              <w:spacing w:before="40" w:after="40"/>
              <w:jc w:val="both"/>
              <w:rPr>
                <w:b/>
              </w:rPr>
            </w:pPr>
            <w:r>
              <w:rPr>
                <w:b/>
              </w:rPr>
              <w:t>10</w:t>
            </w:r>
            <w:r w:rsidRPr="00F823D0">
              <w:rPr>
                <w:b/>
              </w:rPr>
              <w:t>mm</w:t>
            </w:r>
            <w:r>
              <w:rPr>
                <w:b/>
              </w:rPr>
              <w:t xml:space="preserve">   </w:t>
            </w:r>
            <w:r w:rsidRPr="00F823D0">
              <w:rPr>
                <w:b/>
              </w:rPr>
              <w:t xml:space="preserve"> WLL </w:t>
            </w:r>
            <w:r>
              <w:rPr>
                <w:b/>
              </w:rPr>
              <w:t>400kg</w:t>
            </w:r>
          </w:p>
        </w:tc>
        <w:tc>
          <w:tcPr>
            <w:tcW w:w="1843" w:type="dxa"/>
          </w:tcPr>
          <w:p w:rsidR="000A7C27" w:rsidRPr="00F823D0" w:rsidRDefault="000A7C27" w:rsidP="000A7C27">
            <w:pPr>
              <w:spacing w:before="40" w:after="40"/>
              <w:rPr>
                <w:b/>
              </w:rPr>
            </w:pPr>
            <w:r>
              <w:rPr>
                <w:b/>
              </w:rPr>
              <w:t>6mm  WLL 400kg</w:t>
            </w:r>
          </w:p>
        </w:tc>
        <w:tc>
          <w:tcPr>
            <w:tcW w:w="1984" w:type="dxa"/>
          </w:tcPr>
          <w:p w:rsidR="000A7C27" w:rsidRPr="00F823D0" w:rsidRDefault="00EE3187" w:rsidP="00EE3187">
            <w:pPr>
              <w:spacing w:before="40" w:after="40"/>
              <w:rPr>
                <w:b/>
              </w:rPr>
            </w:pPr>
            <w:r>
              <w:rPr>
                <w:b/>
              </w:rPr>
              <w:t>6mm    WLL  400kg</w:t>
            </w:r>
          </w:p>
        </w:tc>
      </w:tr>
      <w:tr w:rsidR="000A7C27" w:rsidTr="000F3E54">
        <w:tc>
          <w:tcPr>
            <w:tcW w:w="1701" w:type="dxa"/>
            <w:shd w:val="clear" w:color="auto" w:fill="D5DCE4" w:themeFill="text2" w:themeFillTint="33"/>
          </w:tcPr>
          <w:p w:rsidR="000A7C27" w:rsidRPr="00F823D0" w:rsidRDefault="00EE3187" w:rsidP="00FE0E82">
            <w:pPr>
              <w:spacing w:before="40" w:after="40"/>
              <w:rPr>
                <w:b/>
              </w:rPr>
            </w:pPr>
            <w:r>
              <w:rPr>
                <w:b/>
              </w:rPr>
              <w:t>1601</w:t>
            </w:r>
            <w:r w:rsidR="000A7C27" w:rsidRPr="00F823D0">
              <w:rPr>
                <w:b/>
              </w:rPr>
              <w:t xml:space="preserve"> to 2500Kg</w:t>
            </w:r>
          </w:p>
        </w:tc>
        <w:tc>
          <w:tcPr>
            <w:tcW w:w="1418" w:type="dxa"/>
            <w:shd w:val="clear" w:color="auto" w:fill="D5DCE4" w:themeFill="text2" w:themeFillTint="33"/>
          </w:tcPr>
          <w:p w:rsidR="000A7C27" w:rsidRPr="00F823D0" w:rsidRDefault="000A7C27" w:rsidP="00574B15">
            <w:pPr>
              <w:spacing w:before="40" w:after="40"/>
              <w:jc w:val="center"/>
              <w:rPr>
                <w:b/>
              </w:rPr>
            </w:pPr>
            <w:r w:rsidRPr="00F823D0">
              <w:rPr>
                <w:b/>
              </w:rPr>
              <w:t>2500</w:t>
            </w:r>
          </w:p>
        </w:tc>
        <w:tc>
          <w:tcPr>
            <w:tcW w:w="1276" w:type="dxa"/>
            <w:shd w:val="clear" w:color="auto" w:fill="D5DCE4" w:themeFill="text2" w:themeFillTint="33"/>
          </w:tcPr>
          <w:p w:rsidR="000A7C27" w:rsidRPr="00F823D0" w:rsidRDefault="000A7C27" w:rsidP="00574B15">
            <w:pPr>
              <w:spacing w:before="40" w:after="40"/>
              <w:jc w:val="center"/>
              <w:rPr>
                <w:b/>
              </w:rPr>
            </w:pPr>
            <w:r w:rsidRPr="00F823D0">
              <w:rPr>
                <w:b/>
              </w:rPr>
              <w:t>4177-25</w:t>
            </w:r>
          </w:p>
        </w:tc>
        <w:tc>
          <w:tcPr>
            <w:tcW w:w="1984" w:type="dxa"/>
            <w:shd w:val="clear" w:color="auto" w:fill="D5DCE4" w:themeFill="text2" w:themeFillTint="33"/>
          </w:tcPr>
          <w:p w:rsidR="000A7C27" w:rsidRPr="00F823D0" w:rsidRDefault="000A7C27" w:rsidP="000A7C27">
            <w:pPr>
              <w:spacing w:before="40" w:after="40"/>
              <w:jc w:val="both"/>
              <w:rPr>
                <w:b/>
              </w:rPr>
            </w:pPr>
            <w:r>
              <w:rPr>
                <w:b/>
              </w:rPr>
              <w:t xml:space="preserve">13mm  </w:t>
            </w:r>
            <w:r w:rsidRPr="00F823D0">
              <w:rPr>
                <w:b/>
              </w:rPr>
              <w:t xml:space="preserve"> </w:t>
            </w:r>
            <w:r>
              <w:rPr>
                <w:b/>
              </w:rPr>
              <w:t xml:space="preserve"> </w:t>
            </w:r>
            <w:r w:rsidRPr="00F823D0">
              <w:rPr>
                <w:b/>
              </w:rPr>
              <w:t xml:space="preserve">WLL </w:t>
            </w:r>
            <w:r>
              <w:rPr>
                <w:b/>
              </w:rPr>
              <w:t>625kg</w:t>
            </w:r>
          </w:p>
        </w:tc>
        <w:tc>
          <w:tcPr>
            <w:tcW w:w="1843" w:type="dxa"/>
            <w:shd w:val="clear" w:color="auto" w:fill="D5DCE4" w:themeFill="text2" w:themeFillTint="33"/>
          </w:tcPr>
          <w:p w:rsidR="000A7C27" w:rsidRPr="00F823D0" w:rsidRDefault="000A7C27" w:rsidP="000A7C27">
            <w:pPr>
              <w:spacing w:before="40" w:after="40"/>
              <w:rPr>
                <w:b/>
              </w:rPr>
            </w:pPr>
            <w:r>
              <w:rPr>
                <w:b/>
              </w:rPr>
              <w:t>8mm  WLL 625kg</w:t>
            </w:r>
          </w:p>
        </w:tc>
        <w:tc>
          <w:tcPr>
            <w:tcW w:w="1984" w:type="dxa"/>
            <w:shd w:val="clear" w:color="auto" w:fill="D5DCE4" w:themeFill="text2" w:themeFillTint="33"/>
          </w:tcPr>
          <w:p w:rsidR="000A7C27" w:rsidRPr="00F823D0" w:rsidRDefault="00EE3187" w:rsidP="00EE3187">
            <w:pPr>
              <w:spacing w:before="40" w:after="40"/>
              <w:rPr>
                <w:b/>
              </w:rPr>
            </w:pPr>
            <w:r>
              <w:rPr>
                <w:b/>
              </w:rPr>
              <w:t>8mm    WLL  625kg</w:t>
            </w:r>
          </w:p>
        </w:tc>
      </w:tr>
      <w:tr w:rsidR="000A7C27" w:rsidTr="000F3E54">
        <w:tc>
          <w:tcPr>
            <w:tcW w:w="1701" w:type="dxa"/>
          </w:tcPr>
          <w:p w:rsidR="000A7C27" w:rsidRPr="00F823D0" w:rsidRDefault="00EE3187" w:rsidP="00FE0E82">
            <w:pPr>
              <w:spacing w:before="40" w:after="40"/>
              <w:rPr>
                <w:b/>
              </w:rPr>
            </w:pPr>
            <w:r>
              <w:rPr>
                <w:b/>
              </w:rPr>
              <w:t>2501</w:t>
            </w:r>
            <w:r w:rsidR="000A7C27" w:rsidRPr="00F823D0">
              <w:rPr>
                <w:b/>
              </w:rPr>
              <w:t xml:space="preserve"> to 3500Kg</w:t>
            </w:r>
          </w:p>
        </w:tc>
        <w:tc>
          <w:tcPr>
            <w:tcW w:w="1418" w:type="dxa"/>
          </w:tcPr>
          <w:p w:rsidR="000A7C27" w:rsidRPr="00F823D0" w:rsidRDefault="000A7C27" w:rsidP="00574B15">
            <w:pPr>
              <w:spacing w:before="40" w:after="40"/>
              <w:jc w:val="center"/>
              <w:rPr>
                <w:b/>
              </w:rPr>
            </w:pPr>
            <w:r w:rsidRPr="00F823D0">
              <w:rPr>
                <w:b/>
              </w:rPr>
              <w:t>3500</w:t>
            </w:r>
          </w:p>
        </w:tc>
        <w:tc>
          <w:tcPr>
            <w:tcW w:w="1276" w:type="dxa"/>
          </w:tcPr>
          <w:p w:rsidR="000A7C27" w:rsidRPr="00F823D0" w:rsidRDefault="000A7C27" w:rsidP="00574B15">
            <w:pPr>
              <w:spacing w:before="40" w:after="40"/>
              <w:jc w:val="center"/>
              <w:rPr>
                <w:b/>
              </w:rPr>
            </w:pPr>
            <w:r w:rsidRPr="00F823D0">
              <w:rPr>
                <w:b/>
              </w:rPr>
              <w:t>4177-35</w:t>
            </w:r>
          </w:p>
        </w:tc>
        <w:tc>
          <w:tcPr>
            <w:tcW w:w="1984" w:type="dxa"/>
          </w:tcPr>
          <w:p w:rsidR="000A7C27" w:rsidRPr="00F823D0" w:rsidRDefault="000A7C27" w:rsidP="000A7C27">
            <w:pPr>
              <w:spacing w:before="40" w:after="40"/>
              <w:jc w:val="both"/>
              <w:rPr>
                <w:b/>
              </w:rPr>
            </w:pPr>
            <w:r w:rsidRPr="00F823D0">
              <w:rPr>
                <w:b/>
              </w:rPr>
              <w:t>1</w:t>
            </w:r>
            <w:r>
              <w:rPr>
                <w:b/>
              </w:rPr>
              <w:t xml:space="preserve">6mm    </w:t>
            </w:r>
            <w:r w:rsidRPr="00F823D0">
              <w:rPr>
                <w:b/>
              </w:rPr>
              <w:t xml:space="preserve">WLL </w:t>
            </w:r>
            <w:r>
              <w:rPr>
                <w:b/>
              </w:rPr>
              <w:t>875kg</w:t>
            </w:r>
          </w:p>
        </w:tc>
        <w:tc>
          <w:tcPr>
            <w:tcW w:w="1843" w:type="dxa"/>
          </w:tcPr>
          <w:p w:rsidR="000A7C27" w:rsidRPr="00F823D0" w:rsidRDefault="00EE3187" w:rsidP="000A7C27">
            <w:pPr>
              <w:spacing w:before="40" w:after="40"/>
              <w:rPr>
                <w:b/>
              </w:rPr>
            </w:pPr>
            <w:r>
              <w:rPr>
                <w:b/>
              </w:rPr>
              <w:t>10mm WLL 875kg</w:t>
            </w:r>
          </w:p>
        </w:tc>
        <w:tc>
          <w:tcPr>
            <w:tcW w:w="1984" w:type="dxa"/>
          </w:tcPr>
          <w:p w:rsidR="000A7C27" w:rsidRPr="00F823D0" w:rsidRDefault="00EE3187" w:rsidP="00EE3187">
            <w:pPr>
              <w:spacing w:before="40" w:after="40"/>
              <w:jc w:val="both"/>
              <w:rPr>
                <w:b/>
              </w:rPr>
            </w:pPr>
            <w:r>
              <w:rPr>
                <w:b/>
              </w:rPr>
              <w:t>10mm  WLL  875kg</w:t>
            </w:r>
          </w:p>
        </w:tc>
      </w:tr>
    </w:tbl>
    <w:p w:rsidR="00F916A6" w:rsidRDefault="00F916A6" w:rsidP="00F916A6">
      <w:pPr>
        <w:spacing w:after="60"/>
        <w:ind w:left="-426" w:right="-755"/>
        <w:jc w:val="both"/>
        <w:rPr>
          <w:rFonts w:ascii="Gill Sans MT" w:hAnsi="Gill Sans MT"/>
        </w:rPr>
      </w:pPr>
    </w:p>
    <w:p w:rsidR="00F916A6" w:rsidRDefault="00F916A6" w:rsidP="003277CB">
      <w:pPr>
        <w:spacing w:after="60"/>
        <w:ind w:left="-426" w:right="-755"/>
        <w:rPr>
          <w:rFonts w:ascii="Gill Sans MT" w:hAnsi="Gill Sans MT"/>
        </w:rPr>
      </w:pPr>
    </w:p>
    <w:p w:rsidR="00F916A6" w:rsidRDefault="00F916A6" w:rsidP="00E0371D">
      <w:pPr>
        <w:spacing w:after="60"/>
        <w:ind w:left="-426" w:right="-755"/>
        <w:rPr>
          <w:rFonts w:ascii="Gill Sans MT" w:hAnsi="Gill Sans MT"/>
        </w:rPr>
      </w:pPr>
      <w:r>
        <w:rPr>
          <w:rFonts w:ascii="Gill Sans MT" w:hAnsi="Gill Sans MT"/>
        </w:rPr>
        <w:t xml:space="preserve">b) </w:t>
      </w:r>
      <w:r w:rsidRPr="00F916A6">
        <w:rPr>
          <w:rFonts w:ascii="Gill Sans MT" w:hAnsi="Gill Sans MT"/>
        </w:rPr>
        <w:t>Alternatively the use of a shackle that is compatible with the safety chain</w:t>
      </w:r>
      <w:r w:rsidR="00E0371D">
        <w:rPr>
          <w:rFonts w:ascii="Gill Sans MT" w:hAnsi="Gill Sans MT"/>
          <w:b/>
        </w:rPr>
        <w:t xml:space="preserve"> </w:t>
      </w:r>
      <w:r w:rsidR="00E0371D" w:rsidRPr="00E0371D">
        <w:rPr>
          <w:rFonts w:ascii="Gill Sans MT" w:hAnsi="Gill Sans MT"/>
        </w:rPr>
        <w:t>and</w:t>
      </w:r>
      <w:r w:rsidR="00E0371D">
        <w:rPr>
          <w:rFonts w:ascii="Gill Sans MT" w:hAnsi="Gill Sans MT"/>
          <w:b/>
        </w:rPr>
        <w:t xml:space="preserve"> </w:t>
      </w:r>
      <w:r w:rsidRPr="00F916A6">
        <w:rPr>
          <w:rFonts w:ascii="Gill Sans MT" w:hAnsi="Gill Sans MT"/>
        </w:rPr>
        <w:t>is of a reputable brand. In this case the shackle will have appropriate markings to show the brand and or part identification sufficient to trace its brand and strength</w:t>
      </w:r>
      <w:r w:rsidR="000F3E54">
        <w:rPr>
          <w:rFonts w:ascii="Gill Sans MT" w:hAnsi="Gill Sans MT"/>
        </w:rPr>
        <w:t xml:space="preserve"> back to the original manufacturer</w:t>
      </w:r>
      <w:r w:rsidRPr="00F916A6">
        <w:rPr>
          <w:rFonts w:ascii="Gill Sans MT" w:hAnsi="Gill Sans MT"/>
        </w:rPr>
        <w:t xml:space="preserve">. </w:t>
      </w:r>
    </w:p>
    <w:p w:rsidR="00075999" w:rsidRDefault="00962AB8" w:rsidP="00E0371D">
      <w:pPr>
        <w:spacing w:after="60"/>
        <w:ind w:left="-426" w:right="-755"/>
        <w:rPr>
          <w:rFonts w:ascii="Gill Sans MT" w:hAnsi="Gill Sans MT"/>
        </w:rPr>
      </w:pPr>
      <w:r>
        <w:rPr>
          <w:rFonts w:ascii="Gill Sans MT" w:hAnsi="Gill Sans MT"/>
        </w:rPr>
        <w:t>The original document</w:t>
      </w:r>
      <w:r w:rsidR="00C8506A" w:rsidRPr="00C8506A">
        <w:rPr>
          <w:rFonts w:ascii="Gill Sans MT" w:hAnsi="Gill Sans MT"/>
        </w:rPr>
        <w:t xml:space="preserve"> </w:t>
      </w:r>
      <w:r w:rsidR="00C8506A">
        <w:rPr>
          <w:rFonts w:ascii="Gill Sans MT" w:hAnsi="Gill Sans MT"/>
        </w:rPr>
        <w:t>produced by the Australian Government</w:t>
      </w:r>
      <w:r w:rsidR="009561F9">
        <w:rPr>
          <w:rFonts w:ascii="Gill Sans MT" w:hAnsi="Gill Sans MT"/>
        </w:rPr>
        <w:t xml:space="preserve"> and further information</w:t>
      </w:r>
      <w:r>
        <w:rPr>
          <w:rFonts w:ascii="Gill Sans MT" w:hAnsi="Gill Sans MT"/>
        </w:rPr>
        <w:t xml:space="preserve"> can be found here</w:t>
      </w:r>
      <w:r w:rsidR="00075999">
        <w:rPr>
          <w:rFonts w:ascii="Gill Sans MT" w:hAnsi="Gill Sans MT"/>
        </w:rPr>
        <w:t xml:space="preserve">: </w:t>
      </w:r>
      <w:hyperlink r:id="rId10" w:history="1">
        <w:r w:rsidR="00075999" w:rsidRPr="005B3A74">
          <w:rPr>
            <w:rStyle w:val="Hyperlink"/>
            <w:rFonts w:ascii="Gill Sans MT" w:hAnsi="Gill Sans MT"/>
          </w:rPr>
          <w:t>https://infrastructure.gov.au/vehicles/administrators_circulars/index.aspx</w:t>
        </w:r>
      </w:hyperlink>
    </w:p>
    <w:p w:rsidR="00075999" w:rsidRDefault="00075999" w:rsidP="00E0371D">
      <w:pPr>
        <w:spacing w:after="60"/>
        <w:ind w:left="-426" w:right="-755"/>
        <w:rPr>
          <w:rFonts w:ascii="Gill Sans MT" w:hAnsi="Gill Sans MT"/>
        </w:rPr>
      </w:pPr>
    </w:p>
    <w:p w:rsidR="003277CB" w:rsidRPr="00BF2764" w:rsidRDefault="003277CB" w:rsidP="002B027C">
      <w:pPr>
        <w:pStyle w:val="Heading1"/>
        <w:ind w:hanging="426"/>
        <w:rPr>
          <w:color w:val="0070C0"/>
        </w:rPr>
      </w:pPr>
      <w:r w:rsidRPr="00BF2764">
        <w:rPr>
          <w:color w:val="0070C0"/>
        </w:rPr>
        <w:t>Definitions</w:t>
      </w:r>
    </w:p>
    <w:p w:rsidR="003277CB" w:rsidRDefault="003277CB" w:rsidP="00322781">
      <w:pPr>
        <w:spacing w:after="0" w:line="240" w:lineRule="auto"/>
        <w:ind w:left="-426" w:right="-755"/>
        <w:rPr>
          <w:rFonts w:ascii="Gill Sans MT" w:hAnsi="Gill Sans MT"/>
        </w:rPr>
      </w:pPr>
      <w:r w:rsidRPr="003277CB">
        <w:rPr>
          <w:rFonts w:ascii="Gill Sans MT" w:hAnsi="Gill Sans MT"/>
        </w:rPr>
        <w:t xml:space="preserve">For definitions used in this </w:t>
      </w:r>
      <w:r w:rsidR="00B1176A">
        <w:rPr>
          <w:rFonts w:ascii="Gill Sans MT" w:hAnsi="Gill Sans MT"/>
        </w:rPr>
        <w:t>Information Bulletin</w:t>
      </w:r>
      <w:r w:rsidRPr="003277CB">
        <w:rPr>
          <w:rFonts w:ascii="Gill Sans MT" w:hAnsi="Gill Sans MT"/>
        </w:rPr>
        <w:t>, refer to Vehicle Standard (Australian Design Rule Definitions and Vehicle Categories) 2005, as well as the following:</w:t>
      </w:r>
    </w:p>
    <w:p w:rsidR="000F3E54" w:rsidRDefault="000F3E54" w:rsidP="00322781">
      <w:pPr>
        <w:spacing w:after="0" w:line="240" w:lineRule="auto"/>
        <w:ind w:left="-426" w:right="-755"/>
        <w:rPr>
          <w:rFonts w:ascii="Gill Sans MT" w:hAnsi="Gill Sans MT"/>
        </w:rPr>
      </w:pPr>
      <w:r>
        <w:rPr>
          <w:noProof/>
          <w:lang w:eastAsia="en-AU"/>
        </w:rPr>
        <w:drawing>
          <wp:anchor distT="0" distB="0" distL="114300" distR="114300" simplePos="0" relativeHeight="251660288" behindDoc="1" locked="0" layoutInCell="1" allowOverlap="1" wp14:anchorId="04EADC2E" wp14:editId="410D7C18">
            <wp:simplePos x="0" y="0"/>
            <wp:positionH relativeFrom="page">
              <wp:posOffset>-1270</wp:posOffset>
            </wp:positionH>
            <wp:positionV relativeFrom="paragraph">
              <wp:posOffset>52705</wp:posOffset>
            </wp:positionV>
            <wp:extent cx="7540616" cy="1526596"/>
            <wp:effectExtent l="0" t="0" r="3810" b="0"/>
            <wp:wrapNone/>
            <wp:docPr id="5" name="Picture 5" descr="\\W2K12FILE1\Group\Corp Services\Corporate Communication\Graphic design\Logos and logo guidelines\Logos\TAS GOV\Basewave\DSG Base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2K12FILE1\Group\Corp Services\Corporate Communication\Graphic design\Logos and logo guidelines\Logos\TAS GOV\Basewave\DSG Basewav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0616" cy="15265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3E54" w:rsidRDefault="000F3E54" w:rsidP="00322781">
      <w:pPr>
        <w:spacing w:after="0" w:line="240" w:lineRule="auto"/>
        <w:ind w:left="-426" w:right="-755"/>
        <w:rPr>
          <w:rFonts w:ascii="Gill Sans MT" w:hAnsi="Gill Sans MT"/>
        </w:rPr>
      </w:pPr>
    </w:p>
    <w:p w:rsidR="00D87054" w:rsidRDefault="00D87054" w:rsidP="00BF2764">
      <w:pPr>
        <w:spacing w:after="0"/>
        <w:ind w:left="-426" w:right="-755"/>
        <w:rPr>
          <w:rFonts w:ascii="Gill Sans MT" w:hAnsi="Gill Sans MT"/>
        </w:rPr>
      </w:pPr>
    </w:p>
    <w:p w:rsidR="00D87054" w:rsidRDefault="00D87054" w:rsidP="00322781">
      <w:pPr>
        <w:spacing w:after="0" w:line="240" w:lineRule="auto"/>
        <w:ind w:left="-426" w:right="-755"/>
        <w:rPr>
          <w:rFonts w:ascii="Gill Sans MT" w:hAnsi="Gill Sans MT"/>
        </w:rPr>
      </w:pPr>
      <w:r>
        <w:rPr>
          <w:rFonts w:ascii="Gill Sans MT" w:hAnsi="Gill Sans MT"/>
        </w:rPr>
        <w:lastRenderedPageBreak/>
        <w:t xml:space="preserve">Australian Design Rules (ADR): </w:t>
      </w:r>
      <w:r w:rsidRPr="00D87054">
        <w:rPr>
          <w:rFonts w:ascii="Gill Sans MT" w:hAnsi="Gill Sans MT"/>
        </w:rPr>
        <w:t>The Australian Design Rules (ADRs) are national standards for vehicle safety, anti-theft and emissions. The ADRs are generally performance based and cover issues such as occupant protection, structures, lighting, noise, engine exhaust emissions, braking and a range of miscellaneous items</w:t>
      </w:r>
      <w:r w:rsidR="00322781">
        <w:rPr>
          <w:rFonts w:ascii="Gill Sans MT" w:hAnsi="Gill Sans MT"/>
        </w:rPr>
        <w:t xml:space="preserve"> - </w:t>
      </w:r>
      <w:hyperlink r:id="rId11" w:history="1">
        <w:r w:rsidR="00322781" w:rsidRPr="002D2E19">
          <w:rPr>
            <w:rStyle w:val="Hyperlink"/>
            <w:rFonts w:ascii="Gill Sans MT" w:hAnsi="Gill Sans MT"/>
          </w:rPr>
          <w:t>https://infrastructure.gov.au/roads/motor/design/</w:t>
        </w:r>
      </w:hyperlink>
    </w:p>
    <w:p w:rsidR="00BF2764" w:rsidRDefault="00BF2764" w:rsidP="003277CB">
      <w:pPr>
        <w:spacing w:after="60"/>
        <w:ind w:left="-426" w:right="-755"/>
        <w:rPr>
          <w:rFonts w:ascii="Gill Sans MT" w:hAnsi="Gill Sans MT"/>
        </w:rPr>
      </w:pPr>
    </w:p>
    <w:p w:rsidR="003277CB" w:rsidRDefault="003277CB" w:rsidP="00322781">
      <w:pPr>
        <w:spacing w:after="60" w:line="240" w:lineRule="auto"/>
        <w:ind w:left="-426" w:right="-755"/>
        <w:rPr>
          <w:rFonts w:ascii="Gill Sans MT" w:hAnsi="Gill Sans MT"/>
        </w:rPr>
      </w:pPr>
      <w:r w:rsidRPr="003277CB">
        <w:rPr>
          <w:rFonts w:ascii="Gill Sans MT" w:hAnsi="Gill Sans MT"/>
        </w:rPr>
        <w:t>AGGREGATE TRAILER MASS (ATM) - the total mass of the laden trailer when carrying the maximum load recommended by the ‘Manufacturer’. This will include any mass imposed onto the drawing vehicle when the Combination Vehicle is resting on a horizontal supporting plane.</w:t>
      </w:r>
    </w:p>
    <w:p w:rsidR="00B1176A" w:rsidRDefault="00BF2764" w:rsidP="00B1176A">
      <w:pPr>
        <w:tabs>
          <w:tab w:val="left" w:pos="3224"/>
        </w:tabs>
        <w:spacing w:after="60"/>
        <w:ind w:left="-426" w:right="-755"/>
        <w:rPr>
          <w:rFonts w:ascii="Gill Sans MT" w:hAnsi="Gill Sans MT"/>
        </w:rPr>
      </w:pPr>
      <w:r>
        <w:rPr>
          <w:rFonts w:ascii="Gill Sans MT" w:hAnsi="Gill Sans MT"/>
        </w:rPr>
        <w:tab/>
      </w:r>
    </w:p>
    <w:p w:rsidR="003277CB" w:rsidRDefault="003277CB" w:rsidP="00BF2764">
      <w:pPr>
        <w:spacing w:after="60"/>
        <w:ind w:left="-426" w:right="-755"/>
        <w:rPr>
          <w:rFonts w:ascii="Gill Sans MT" w:hAnsi="Gill Sans MT"/>
        </w:rPr>
      </w:pPr>
      <w:r w:rsidRPr="003277CB">
        <w:rPr>
          <w:rFonts w:ascii="Gill Sans MT" w:hAnsi="Gill Sans MT"/>
        </w:rPr>
        <w:t>AUSTRALIAN STANDARD 2741-2002 “SHACKLES” (AS 2741) - Specifies requirements for forged shackles.</w:t>
      </w:r>
    </w:p>
    <w:p w:rsidR="00B1176A" w:rsidRPr="003277CB" w:rsidRDefault="00B1176A" w:rsidP="00BF2764">
      <w:pPr>
        <w:spacing w:after="60"/>
        <w:ind w:left="-426" w:right="-755"/>
        <w:rPr>
          <w:rFonts w:ascii="Gill Sans MT" w:hAnsi="Gill Sans MT"/>
        </w:rPr>
      </w:pPr>
    </w:p>
    <w:p w:rsidR="003277CB" w:rsidRPr="003277CB" w:rsidRDefault="003277CB" w:rsidP="00BF2764">
      <w:pPr>
        <w:spacing w:after="60"/>
        <w:ind w:left="-426" w:right="-755"/>
        <w:rPr>
          <w:rFonts w:ascii="Gill Sans MT" w:hAnsi="Gill Sans MT"/>
        </w:rPr>
      </w:pPr>
      <w:r w:rsidRPr="003277CB">
        <w:rPr>
          <w:rFonts w:ascii="Gill Sans MT" w:hAnsi="Gill Sans MT"/>
        </w:rPr>
        <w:t>AUSTRALIAN STANDARD 4177.4-2004 “CARAVAN AND LIGHT TRAILER TOWING COMPONENTS - SAFETY CHAINS UP TO 3,500KG CAPACITY” (AS 4177.4) - Specifies requirements for safety chains.</w:t>
      </w:r>
    </w:p>
    <w:p w:rsidR="003277CB" w:rsidRDefault="003277CB" w:rsidP="00322781">
      <w:pPr>
        <w:spacing w:after="60" w:line="240" w:lineRule="auto"/>
        <w:ind w:left="-426" w:right="-755"/>
        <w:rPr>
          <w:rFonts w:ascii="Gill Sans MT" w:hAnsi="Gill Sans MT"/>
        </w:rPr>
      </w:pPr>
      <w:r w:rsidRPr="003277CB">
        <w:rPr>
          <w:rFonts w:ascii="Gill Sans MT" w:hAnsi="Gill Sans MT"/>
        </w:rPr>
        <w:t>BOW-SHACKLE – “O” shaped body that is enclosed at the end by either a threaded clevis or cotter pin and used to connect a safety chain between a road motor vehicle and road trailer.</w:t>
      </w:r>
    </w:p>
    <w:p w:rsidR="00B1176A" w:rsidRPr="003277CB" w:rsidRDefault="00B1176A" w:rsidP="00B1176A">
      <w:pPr>
        <w:spacing w:after="60"/>
        <w:ind w:right="-755"/>
        <w:rPr>
          <w:rFonts w:ascii="Gill Sans MT" w:hAnsi="Gill Sans MT"/>
        </w:rPr>
      </w:pPr>
    </w:p>
    <w:p w:rsidR="003277CB" w:rsidRDefault="003277CB" w:rsidP="00322781">
      <w:pPr>
        <w:spacing w:after="60" w:line="240" w:lineRule="auto"/>
        <w:ind w:left="-426" w:right="-755"/>
        <w:rPr>
          <w:rFonts w:ascii="Gill Sans MT" w:hAnsi="Gill Sans MT"/>
        </w:rPr>
      </w:pPr>
      <w:r w:rsidRPr="003277CB">
        <w:rPr>
          <w:rFonts w:ascii="Gill Sans MT" w:hAnsi="Gill Sans MT"/>
        </w:rPr>
        <w:t>D-SHACKLE – “U” shaped body that is enclosed at the end by either a threaded clevis or cotter pin and used to connect a safety chain between a road motor vehicle and road trailer.</w:t>
      </w:r>
    </w:p>
    <w:p w:rsidR="00B1176A" w:rsidRPr="003277CB" w:rsidRDefault="00B1176A" w:rsidP="00BF2764">
      <w:pPr>
        <w:spacing w:after="60"/>
        <w:ind w:left="-426" w:right="-755"/>
        <w:rPr>
          <w:rFonts w:ascii="Gill Sans MT" w:hAnsi="Gill Sans MT"/>
        </w:rPr>
      </w:pPr>
    </w:p>
    <w:p w:rsidR="003277CB" w:rsidRDefault="003277CB" w:rsidP="00BF2764">
      <w:pPr>
        <w:spacing w:after="60"/>
        <w:ind w:left="-426" w:right="-755"/>
        <w:rPr>
          <w:rFonts w:ascii="Gill Sans MT" w:hAnsi="Gill Sans MT"/>
        </w:rPr>
      </w:pPr>
      <w:r w:rsidRPr="003277CB">
        <w:rPr>
          <w:rFonts w:ascii="Gill Sans MT" w:hAnsi="Gill Sans MT"/>
        </w:rPr>
        <w:t>PIN-SHACKLE – a device integral to a tow bar, which may consist of brackets and a bolt, clevis or cotter pin and used to connect a safety chain between a road motor vehicle and road trailer.</w:t>
      </w:r>
    </w:p>
    <w:p w:rsidR="00B1176A" w:rsidRPr="003277CB" w:rsidRDefault="00B1176A" w:rsidP="00BF2764">
      <w:pPr>
        <w:spacing w:after="60"/>
        <w:ind w:left="-426" w:right="-755"/>
        <w:rPr>
          <w:rFonts w:ascii="Gill Sans MT" w:hAnsi="Gill Sans MT"/>
        </w:rPr>
      </w:pPr>
    </w:p>
    <w:p w:rsidR="003277CB" w:rsidRDefault="003277CB" w:rsidP="00322781">
      <w:pPr>
        <w:spacing w:after="60" w:line="240" w:lineRule="auto"/>
        <w:ind w:left="-426" w:right="-755"/>
        <w:rPr>
          <w:rFonts w:ascii="Gill Sans MT" w:hAnsi="Gill Sans MT"/>
        </w:rPr>
      </w:pPr>
      <w:r w:rsidRPr="003277CB">
        <w:rPr>
          <w:rFonts w:ascii="Gill Sans MT" w:hAnsi="Gill Sans MT"/>
        </w:rPr>
        <w:t>ROAD TRAILER - a vehicle without motive power designed for attachment to a road motor vehicle; or a piece of machinery or equipment that is equipped with wheels and designed to be towed behind a road motor vehicle.</w:t>
      </w:r>
    </w:p>
    <w:p w:rsidR="00B1176A" w:rsidRPr="003277CB" w:rsidRDefault="00B1176A" w:rsidP="00BF2764">
      <w:pPr>
        <w:spacing w:after="60"/>
        <w:ind w:left="-426" w:right="-755"/>
        <w:rPr>
          <w:rFonts w:ascii="Gill Sans MT" w:hAnsi="Gill Sans MT"/>
        </w:rPr>
      </w:pPr>
    </w:p>
    <w:p w:rsidR="003277CB" w:rsidRDefault="003277CB" w:rsidP="00322781">
      <w:pPr>
        <w:spacing w:after="60" w:line="240" w:lineRule="auto"/>
        <w:ind w:left="-426" w:right="-755"/>
        <w:rPr>
          <w:rFonts w:ascii="Gill Sans MT" w:hAnsi="Gill Sans MT"/>
        </w:rPr>
      </w:pPr>
      <w:r w:rsidRPr="003277CB">
        <w:rPr>
          <w:rFonts w:ascii="Gill Sans MT" w:hAnsi="Gill Sans MT"/>
        </w:rPr>
        <w:t>SAFETY CHAIN – a chain, which is attached between the towbar of a road motor vehicle and the drawbar of a road trailer and, which for a road trailer with a ATM of up to 3,500kg meets the requirements of AS 4177.4, or is a cable which is appropriate for the application; and for a road trailer with a ATM exceeding 3,500kg a steel chain with a minimum of 800MPa breaking stress that conforms to the mechanical properties of Grade T chain.</w:t>
      </w:r>
    </w:p>
    <w:p w:rsidR="00B1176A" w:rsidRPr="003277CB" w:rsidRDefault="00B1176A" w:rsidP="00BF2764">
      <w:pPr>
        <w:spacing w:after="60"/>
        <w:ind w:left="-426" w:right="-755"/>
        <w:rPr>
          <w:rFonts w:ascii="Gill Sans MT" w:hAnsi="Gill Sans MT"/>
        </w:rPr>
      </w:pPr>
    </w:p>
    <w:p w:rsidR="003277CB" w:rsidRPr="003277CB" w:rsidRDefault="003277CB" w:rsidP="00322781">
      <w:pPr>
        <w:spacing w:after="60" w:line="240" w:lineRule="auto"/>
        <w:ind w:left="-426" w:right="-755"/>
        <w:rPr>
          <w:rFonts w:ascii="Gill Sans MT" w:hAnsi="Gill Sans MT"/>
        </w:rPr>
      </w:pPr>
      <w:r w:rsidRPr="003277CB">
        <w:rPr>
          <w:rFonts w:ascii="Gill Sans MT" w:hAnsi="Gill Sans MT"/>
        </w:rPr>
        <w:t>SAFETY CHAI</w:t>
      </w:r>
      <w:bookmarkStart w:id="0" w:name="_GoBack"/>
      <w:bookmarkEnd w:id="0"/>
      <w:r w:rsidRPr="003277CB">
        <w:rPr>
          <w:rFonts w:ascii="Gill Sans MT" w:hAnsi="Gill Sans MT"/>
        </w:rPr>
        <w:t>N CONNECTION DEVICE – a device that connects a safety chain to the towbar (mechanical connection) of a road motor vehicle, for example a D-shackle, Bow-Shackle or Pin shackle.</w:t>
      </w:r>
    </w:p>
    <w:p w:rsidR="003277CB" w:rsidRDefault="003277CB" w:rsidP="00322781">
      <w:pPr>
        <w:spacing w:after="60" w:line="240" w:lineRule="auto"/>
        <w:ind w:left="-426" w:right="-755"/>
        <w:rPr>
          <w:rFonts w:ascii="Gill Sans MT" w:hAnsi="Gill Sans MT"/>
        </w:rPr>
      </w:pPr>
      <w:r w:rsidRPr="003277CB">
        <w:rPr>
          <w:rFonts w:ascii="Gill Sans MT" w:hAnsi="Gill Sans MT"/>
        </w:rPr>
        <w:t>TOWBAR - a device attached to a road motor vehicle provided for connection of a road motor vehicle to a ‘Coupling’ for the towing of a road trailer.</w:t>
      </w:r>
    </w:p>
    <w:p w:rsidR="00D87054" w:rsidRDefault="00D87054" w:rsidP="00BF2764">
      <w:pPr>
        <w:spacing w:after="60"/>
        <w:ind w:left="-426" w:right="-755"/>
        <w:rPr>
          <w:rFonts w:ascii="Gill Sans MT" w:hAnsi="Gill Sans MT"/>
        </w:rPr>
      </w:pPr>
    </w:p>
    <w:p w:rsidR="00D87054" w:rsidRDefault="00D87054" w:rsidP="00BF2764">
      <w:pPr>
        <w:spacing w:after="60"/>
        <w:ind w:left="-426" w:right="-755"/>
      </w:pPr>
      <w:r>
        <w:rPr>
          <w:rFonts w:ascii="Gill Sans MT" w:hAnsi="Gill Sans MT"/>
        </w:rPr>
        <w:t>V</w:t>
      </w:r>
      <w:r w:rsidR="00322781">
        <w:rPr>
          <w:rFonts w:ascii="Gill Sans MT" w:hAnsi="Gill Sans MT"/>
        </w:rPr>
        <w:t>EHICLE STANDARDS BULLETIN 1</w:t>
      </w:r>
      <w:r>
        <w:rPr>
          <w:rFonts w:ascii="Gill Sans MT" w:hAnsi="Gill Sans MT"/>
        </w:rPr>
        <w:t xml:space="preserve"> (VSB1):</w:t>
      </w:r>
      <w:r w:rsidR="00322781">
        <w:rPr>
          <w:rFonts w:ascii="Gill Sans MT" w:hAnsi="Gill Sans MT"/>
        </w:rPr>
        <w:t xml:space="preserve"> </w:t>
      </w:r>
      <w:r w:rsidR="00322781" w:rsidRPr="00322781">
        <w:rPr>
          <w:rFonts w:ascii="Gill Sans MT" w:hAnsi="Gill Sans MT"/>
        </w:rPr>
        <w:t>Building small trailers information for manufacturers and summarised construction requirements for trailers less than 4.5 tonnes aggregate trailer mass -</w:t>
      </w:r>
      <w:r w:rsidR="00322781">
        <w:t xml:space="preserve"> </w:t>
      </w:r>
      <w:hyperlink r:id="rId12" w:history="1">
        <w:r w:rsidR="00322781" w:rsidRPr="002D2E19">
          <w:rPr>
            <w:rStyle w:val="Hyperlink"/>
          </w:rPr>
          <w:t>https://infrastructure.gov.au/roads/vehicle_regulation/bulletin/vsb1/index.aspx</w:t>
        </w:r>
      </w:hyperlink>
    </w:p>
    <w:p w:rsidR="00B1176A" w:rsidRPr="003277CB" w:rsidRDefault="00B1176A" w:rsidP="00BF2764">
      <w:pPr>
        <w:spacing w:after="60"/>
        <w:ind w:left="-426" w:right="-755"/>
        <w:rPr>
          <w:rFonts w:ascii="Gill Sans MT" w:hAnsi="Gill Sans MT"/>
        </w:rPr>
      </w:pPr>
    </w:p>
    <w:p w:rsidR="00F916A6" w:rsidRPr="00740560" w:rsidRDefault="00322781" w:rsidP="00B1176A">
      <w:pPr>
        <w:spacing w:after="60"/>
        <w:ind w:left="-426" w:right="-755"/>
        <w:rPr>
          <w:rFonts w:ascii="Gill Sans MT" w:hAnsi="Gill Sans MT"/>
        </w:rPr>
      </w:pPr>
      <w:r>
        <w:rPr>
          <w:noProof/>
          <w:lang w:eastAsia="en-AU"/>
        </w:rPr>
        <w:drawing>
          <wp:anchor distT="0" distB="0" distL="114300" distR="114300" simplePos="0" relativeHeight="251664384" behindDoc="1" locked="0" layoutInCell="1" allowOverlap="1" wp14:anchorId="04EADC2E" wp14:editId="410D7C18">
            <wp:simplePos x="0" y="0"/>
            <wp:positionH relativeFrom="page">
              <wp:posOffset>-109220</wp:posOffset>
            </wp:positionH>
            <wp:positionV relativeFrom="paragraph">
              <wp:posOffset>549967</wp:posOffset>
            </wp:positionV>
            <wp:extent cx="7540616" cy="1526596"/>
            <wp:effectExtent l="0" t="0" r="3810" b="0"/>
            <wp:wrapNone/>
            <wp:docPr id="15" name="Picture 15" descr="\\W2K12FILE1\Group\Corp Services\Corporate Communication\Graphic design\Logos and logo guidelines\Logos\TAS GOV\Basewave\DSG Base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2K12FILE1\Group\Corp Services\Corporate Communication\Graphic design\Logos and logo guidelines\Logos\TAS GOV\Basewave\DSG Basewav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0616" cy="1526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7CB" w:rsidRPr="003277CB">
        <w:rPr>
          <w:rFonts w:ascii="Gill Sans MT" w:hAnsi="Gill Sans MT"/>
        </w:rPr>
        <w:t>WORKING LOAD LIMIT (WLL) – the maximum load that may be applied to a Bow, D, or Pin-Shackle.</w:t>
      </w:r>
    </w:p>
    <w:sectPr w:rsidR="00F916A6" w:rsidRPr="00740560" w:rsidSect="001F08A0">
      <w:headerReference w:type="even" r:id="rId13"/>
      <w:headerReference w:type="default" r:id="rId14"/>
      <w:footerReference w:type="even" r:id="rId15"/>
      <w:footerReference w:type="default" r:id="rId16"/>
      <w:headerReference w:type="first" r:id="rId17"/>
      <w:footerReference w:type="first" r:id="rId18"/>
      <w:pgSz w:w="11906" w:h="16838"/>
      <w:pgMar w:top="70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F53" w:rsidRDefault="008F0F53" w:rsidP="001C1C1A">
      <w:pPr>
        <w:spacing w:after="0" w:line="240" w:lineRule="auto"/>
      </w:pPr>
      <w:r>
        <w:separator/>
      </w:r>
    </w:p>
  </w:endnote>
  <w:endnote w:type="continuationSeparator" w:id="0">
    <w:p w:rsidR="008F0F53" w:rsidRDefault="008F0F53" w:rsidP="001C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Times New Roman"/>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ill Sans MT Std Light">
    <w:altName w:val="Gill Sans Std Ligh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64" w:rsidRDefault="00BF27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64" w:rsidRDefault="00BF27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64" w:rsidRDefault="00BF2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F53" w:rsidRDefault="008F0F53" w:rsidP="001C1C1A">
      <w:pPr>
        <w:spacing w:after="0" w:line="240" w:lineRule="auto"/>
      </w:pPr>
      <w:r>
        <w:separator/>
      </w:r>
    </w:p>
  </w:footnote>
  <w:footnote w:type="continuationSeparator" w:id="0">
    <w:p w:rsidR="008F0F53" w:rsidRDefault="008F0F53" w:rsidP="001C1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64" w:rsidRDefault="00BF2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D1" w:rsidRDefault="001C1C1A" w:rsidP="00BF2764">
    <w:pPr>
      <w:spacing w:before="120" w:after="60"/>
      <w:ind w:right="-897" w:hanging="567"/>
      <w:jc w:val="both"/>
    </w:pPr>
    <w:r w:rsidRPr="001C1C1A">
      <w:rPr>
        <w:noProof/>
        <w:lang w:eastAsia="en-AU"/>
      </w:rPr>
      <mc:AlternateContent>
        <mc:Choice Requires="wps">
          <w:drawing>
            <wp:anchor distT="45720" distB="45720" distL="114300" distR="114300" simplePos="0" relativeHeight="251667456" behindDoc="0" locked="0" layoutInCell="1" allowOverlap="1" wp14:anchorId="58BD109F" wp14:editId="68338AF0">
              <wp:simplePos x="0" y="0"/>
              <wp:positionH relativeFrom="margin">
                <wp:align>center</wp:align>
              </wp:positionH>
              <wp:positionV relativeFrom="paragraph">
                <wp:posOffset>-41763</wp:posOffset>
              </wp:positionV>
              <wp:extent cx="7209155" cy="4572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155" cy="457200"/>
                      </a:xfrm>
                      <a:prstGeom prst="rect">
                        <a:avLst/>
                      </a:prstGeom>
                      <a:solidFill>
                        <a:srgbClr val="FFFFFF"/>
                      </a:solidFill>
                      <a:ln w="9525">
                        <a:noFill/>
                        <a:miter lim="800000"/>
                        <a:headEnd/>
                        <a:tailEnd/>
                      </a:ln>
                    </wps:spPr>
                    <wps:txbx>
                      <w:txbxContent>
                        <w:p w:rsidR="001C1C1A" w:rsidRPr="00BF2764" w:rsidRDefault="006D57D1" w:rsidP="00BF2764">
                          <w:pPr>
                            <w:jc w:val="right"/>
                            <w:rPr>
                              <w:color w:val="2E74B5" w:themeColor="accent1" w:themeShade="BF"/>
                              <w:sz w:val="52"/>
                              <w:szCs w:val="52"/>
                            </w:rPr>
                          </w:pPr>
                          <w:r w:rsidRPr="00BF2764">
                            <w:rPr>
                              <w:color w:val="2E74B5" w:themeColor="accent1" w:themeShade="BF"/>
                              <w:sz w:val="52"/>
                              <w:szCs w:val="52"/>
                            </w:rPr>
                            <w:t xml:space="preserve">Guidelines for Shackle Selection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D109F" id="_x0000_t202" coordsize="21600,21600" o:spt="202" path="m,l,21600r21600,l21600,xe">
              <v:stroke joinstyle="miter"/>
              <v:path gradientshapeok="t" o:connecttype="rect"/>
            </v:shapetype>
            <v:shape id="Text Box 10" o:spid="_x0000_s1026" type="#_x0000_t202" style="position:absolute;left:0;text-align:left;margin-left:0;margin-top:-3.3pt;width:567.65pt;height:36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" stroked="f">
              <v:textbox>
                <w:txbxContent>
                  <w:p w:rsidR="001C1C1A" w:rsidRPr="00BF2764" w:rsidRDefault="006D57D1" w:rsidP="00BF2764">
                    <w:pPr>
                      <w:jc w:val="right"/>
                      <w:rPr>
                        <w:color w:val="2E74B5" w:themeColor="accent1" w:themeShade="BF"/>
                        <w:sz w:val="52"/>
                        <w:szCs w:val="52"/>
                      </w:rPr>
                    </w:pPr>
                    <w:r w:rsidRPr="00BF2764">
                      <w:rPr>
                        <w:color w:val="2E74B5" w:themeColor="accent1" w:themeShade="BF"/>
                        <w:sz w:val="52"/>
                        <w:szCs w:val="52"/>
                      </w:rPr>
                      <w:t xml:space="preserve">Guidelines for Shackle Selection </w:t>
                    </w:r>
                  </w:p>
                </w:txbxContent>
              </v:textbox>
              <w10:wrap type="square" anchorx="margin"/>
            </v:shape>
          </w:pict>
        </mc:Fallback>
      </mc:AlternateContent>
    </w:r>
    <w:r w:rsidR="00BF2764">
      <w:t>Information Bulletin VS062017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64" w:rsidRDefault="00BF2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62018"/>
    <w:multiLevelType w:val="hybridMultilevel"/>
    <w:tmpl w:val="2D2AFA74"/>
    <w:lvl w:ilvl="0" w:tplc="58BEE78A">
      <w:start w:val="1"/>
      <w:numFmt w:val="decimal"/>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1" w15:restartNumberingAfterBreak="0">
    <w:nsid w:val="19697446"/>
    <w:multiLevelType w:val="hybridMultilevel"/>
    <w:tmpl w:val="9894029C"/>
    <w:lvl w:ilvl="0" w:tplc="DA5EE1A8">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7D6F54"/>
    <w:multiLevelType w:val="hybridMultilevel"/>
    <w:tmpl w:val="985CA444"/>
    <w:lvl w:ilvl="0" w:tplc="339A03B6">
      <w:start w:val="1"/>
      <w:numFmt w:val="upp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3" w15:restartNumberingAfterBreak="0">
    <w:nsid w:val="6BCB26D7"/>
    <w:multiLevelType w:val="hybridMultilevel"/>
    <w:tmpl w:val="4B6E35DA"/>
    <w:lvl w:ilvl="0" w:tplc="E31AEA54">
      <w:start w:val="1"/>
      <w:numFmt w:val="bullet"/>
      <w:lvlText w:val="-"/>
      <w:lvlJc w:val="left"/>
      <w:pPr>
        <w:ind w:left="153" w:hanging="360"/>
      </w:pPr>
      <w:rPr>
        <w:rFonts w:ascii="Gill Sans MT" w:eastAsiaTheme="minorHAnsi" w:hAnsi="Gill Sans MT" w:cstheme="minorBidi" w:hint="default"/>
        <w:b/>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771120D2"/>
    <w:multiLevelType w:val="hybridMultilevel"/>
    <w:tmpl w:val="9DB4AD96"/>
    <w:lvl w:ilvl="0" w:tplc="0C090001">
      <w:start w:val="1"/>
      <w:numFmt w:val="bullet"/>
      <w:lvlText w:val=""/>
      <w:lvlJc w:val="left"/>
      <w:pPr>
        <w:ind w:left="1953" w:hanging="360"/>
      </w:pPr>
      <w:rPr>
        <w:rFonts w:ascii="Symbol" w:hAnsi="Symbol" w:hint="default"/>
      </w:rPr>
    </w:lvl>
    <w:lvl w:ilvl="1" w:tplc="0C090003" w:tentative="1">
      <w:start w:val="1"/>
      <w:numFmt w:val="bullet"/>
      <w:lvlText w:val="o"/>
      <w:lvlJc w:val="left"/>
      <w:pPr>
        <w:ind w:left="2673" w:hanging="360"/>
      </w:pPr>
      <w:rPr>
        <w:rFonts w:ascii="Courier New" w:hAnsi="Courier New" w:cs="Courier New" w:hint="default"/>
      </w:rPr>
    </w:lvl>
    <w:lvl w:ilvl="2" w:tplc="0C090005" w:tentative="1">
      <w:start w:val="1"/>
      <w:numFmt w:val="bullet"/>
      <w:lvlText w:val=""/>
      <w:lvlJc w:val="left"/>
      <w:pPr>
        <w:ind w:left="3393" w:hanging="360"/>
      </w:pPr>
      <w:rPr>
        <w:rFonts w:ascii="Wingdings" w:hAnsi="Wingdings" w:hint="default"/>
      </w:rPr>
    </w:lvl>
    <w:lvl w:ilvl="3" w:tplc="0C090001" w:tentative="1">
      <w:start w:val="1"/>
      <w:numFmt w:val="bullet"/>
      <w:lvlText w:val=""/>
      <w:lvlJc w:val="left"/>
      <w:pPr>
        <w:ind w:left="4113" w:hanging="360"/>
      </w:pPr>
      <w:rPr>
        <w:rFonts w:ascii="Symbol" w:hAnsi="Symbol" w:hint="default"/>
      </w:rPr>
    </w:lvl>
    <w:lvl w:ilvl="4" w:tplc="0C090003" w:tentative="1">
      <w:start w:val="1"/>
      <w:numFmt w:val="bullet"/>
      <w:lvlText w:val="o"/>
      <w:lvlJc w:val="left"/>
      <w:pPr>
        <w:ind w:left="4833" w:hanging="360"/>
      </w:pPr>
      <w:rPr>
        <w:rFonts w:ascii="Courier New" w:hAnsi="Courier New" w:cs="Courier New" w:hint="default"/>
      </w:rPr>
    </w:lvl>
    <w:lvl w:ilvl="5" w:tplc="0C090005" w:tentative="1">
      <w:start w:val="1"/>
      <w:numFmt w:val="bullet"/>
      <w:lvlText w:val=""/>
      <w:lvlJc w:val="left"/>
      <w:pPr>
        <w:ind w:left="5553" w:hanging="360"/>
      </w:pPr>
      <w:rPr>
        <w:rFonts w:ascii="Wingdings" w:hAnsi="Wingdings" w:hint="default"/>
      </w:rPr>
    </w:lvl>
    <w:lvl w:ilvl="6" w:tplc="0C090001" w:tentative="1">
      <w:start w:val="1"/>
      <w:numFmt w:val="bullet"/>
      <w:lvlText w:val=""/>
      <w:lvlJc w:val="left"/>
      <w:pPr>
        <w:ind w:left="6273" w:hanging="360"/>
      </w:pPr>
      <w:rPr>
        <w:rFonts w:ascii="Symbol" w:hAnsi="Symbol" w:hint="default"/>
      </w:rPr>
    </w:lvl>
    <w:lvl w:ilvl="7" w:tplc="0C090003" w:tentative="1">
      <w:start w:val="1"/>
      <w:numFmt w:val="bullet"/>
      <w:lvlText w:val="o"/>
      <w:lvlJc w:val="left"/>
      <w:pPr>
        <w:ind w:left="6993" w:hanging="360"/>
      </w:pPr>
      <w:rPr>
        <w:rFonts w:ascii="Courier New" w:hAnsi="Courier New" w:cs="Courier New" w:hint="default"/>
      </w:rPr>
    </w:lvl>
    <w:lvl w:ilvl="8" w:tplc="0C090005" w:tentative="1">
      <w:start w:val="1"/>
      <w:numFmt w:val="bullet"/>
      <w:lvlText w:val=""/>
      <w:lvlJc w:val="left"/>
      <w:pPr>
        <w:ind w:left="7713" w:hanging="360"/>
      </w:pPr>
      <w:rPr>
        <w:rFonts w:ascii="Wingdings" w:hAnsi="Wingdings" w:hint="default"/>
      </w:rPr>
    </w:lvl>
  </w:abstractNum>
  <w:abstractNum w:abstractNumId="5" w15:restartNumberingAfterBreak="0">
    <w:nsid w:val="78D30CAC"/>
    <w:multiLevelType w:val="hybridMultilevel"/>
    <w:tmpl w:val="B6EE4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1A"/>
    <w:rsid w:val="00002252"/>
    <w:rsid w:val="00012244"/>
    <w:rsid w:val="00075999"/>
    <w:rsid w:val="000A7C27"/>
    <w:rsid w:val="000D1F03"/>
    <w:rsid w:val="000F3E54"/>
    <w:rsid w:val="001A5265"/>
    <w:rsid w:val="001C1C1A"/>
    <w:rsid w:val="001F08A0"/>
    <w:rsid w:val="001F4A77"/>
    <w:rsid w:val="002003BB"/>
    <w:rsid w:val="00273BD7"/>
    <w:rsid w:val="002B027C"/>
    <w:rsid w:val="002F35BA"/>
    <w:rsid w:val="00322781"/>
    <w:rsid w:val="003277CB"/>
    <w:rsid w:val="003C0EE2"/>
    <w:rsid w:val="005125CA"/>
    <w:rsid w:val="0062121B"/>
    <w:rsid w:val="00622EF7"/>
    <w:rsid w:val="006D57D1"/>
    <w:rsid w:val="006E01BD"/>
    <w:rsid w:val="006E3D4A"/>
    <w:rsid w:val="00704890"/>
    <w:rsid w:val="00740560"/>
    <w:rsid w:val="00763231"/>
    <w:rsid w:val="0077532C"/>
    <w:rsid w:val="007961F4"/>
    <w:rsid w:val="007A0739"/>
    <w:rsid w:val="00852122"/>
    <w:rsid w:val="00862E3A"/>
    <w:rsid w:val="008E50AC"/>
    <w:rsid w:val="008F0F53"/>
    <w:rsid w:val="009336B3"/>
    <w:rsid w:val="009561F9"/>
    <w:rsid w:val="00962AB8"/>
    <w:rsid w:val="009C0669"/>
    <w:rsid w:val="009D303A"/>
    <w:rsid w:val="00AA4740"/>
    <w:rsid w:val="00B1176A"/>
    <w:rsid w:val="00B45FDF"/>
    <w:rsid w:val="00B5653D"/>
    <w:rsid w:val="00BF2764"/>
    <w:rsid w:val="00C8506A"/>
    <w:rsid w:val="00C91D40"/>
    <w:rsid w:val="00C953CF"/>
    <w:rsid w:val="00CA2896"/>
    <w:rsid w:val="00D532F2"/>
    <w:rsid w:val="00D87054"/>
    <w:rsid w:val="00DB22BD"/>
    <w:rsid w:val="00E0371D"/>
    <w:rsid w:val="00E57ECC"/>
    <w:rsid w:val="00EB6414"/>
    <w:rsid w:val="00ED3115"/>
    <w:rsid w:val="00EE3187"/>
    <w:rsid w:val="00F83B1F"/>
    <w:rsid w:val="00F916A6"/>
    <w:rsid w:val="00FA76F6"/>
    <w:rsid w:val="00FE0E82"/>
    <w:rsid w:val="00FF0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3B925C-938E-4A58-BD8B-C8C4B8C9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6D57D1"/>
    <w:pPr>
      <w:keepNext/>
      <w:keepLines/>
      <w:spacing w:after="120" w:line="360" w:lineRule="exact"/>
      <w:outlineLvl w:val="0"/>
    </w:pPr>
    <w:rPr>
      <w:rFonts w:ascii="Gill Sans MT Std Light" w:eastAsia="SimSun" w:hAnsi="Gill Sans MT Std Light" w:cs="Times New Roman"/>
      <w:sz w:val="32"/>
      <w:szCs w:val="32"/>
      <w:lang w:eastAsia="zh-CN"/>
    </w:rPr>
  </w:style>
  <w:style w:type="paragraph" w:styleId="Heading2">
    <w:name w:val="heading 2"/>
    <w:basedOn w:val="Normal"/>
    <w:next w:val="Normal"/>
    <w:link w:val="Heading2Char"/>
    <w:uiPriority w:val="9"/>
    <w:unhideWhenUsed/>
    <w:qFormat/>
    <w:rsid w:val="003277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C1A"/>
  </w:style>
  <w:style w:type="paragraph" w:styleId="Footer">
    <w:name w:val="footer"/>
    <w:basedOn w:val="Normal"/>
    <w:link w:val="FooterChar"/>
    <w:uiPriority w:val="99"/>
    <w:unhideWhenUsed/>
    <w:rsid w:val="001C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C1A"/>
  </w:style>
  <w:style w:type="character" w:customStyle="1" w:styleId="Heading1Char">
    <w:name w:val="Heading 1 Char"/>
    <w:basedOn w:val="DefaultParagraphFont"/>
    <w:link w:val="Heading1"/>
    <w:uiPriority w:val="9"/>
    <w:rsid w:val="006D57D1"/>
    <w:rPr>
      <w:rFonts w:ascii="Gill Sans MT Std Light" w:eastAsia="SimSun" w:hAnsi="Gill Sans MT Std Light" w:cs="Times New Roman"/>
      <w:sz w:val="32"/>
      <w:szCs w:val="32"/>
      <w:lang w:eastAsia="zh-CN"/>
    </w:rPr>
  </w:style>
  <w:style w:type="paragraph" w:styleId="ListParagraph">
    <w:name w:val="List Paragraph"/>
    <w:basedOn w:val="Normal"/>
    <w:uiPriority w:val="34"/>
    <w:qFormat/>
    <w:rsid w:val="006D57D1"/>
    <w:pPr>
      <w:spacing w:after="200" w:line="276" w:lineRule="auto"/>
      <w:ind w:left="720"/>
      <w:contextualSpacing/>
    </w:pPr>
  </w:style>
  <w:style w:type="table" w:styleId="TableGrid">
    <w:name w:val="Table Grid"/>
    <w:basedOn w:val="TableNormal"/>
    <w:uiPriority w:val="59"/>
    <w:rsid w:val="00FE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E82"/>
    <w:rPr>
      <w:rFonts w:ascii="Segoe UI" w:hAnsi="Segoe UI" w:cs="Segoe UI"/>
      <w:sz w:val="18"/>
      <w:szCs w:val="18"/>
    </w:rPr>
  </w:style>
  <w:style w:type="character" w:customStyle="1" w:styleId="Heading2Char">
    <w:name w:val="Heading 2 Char"/>
    <w:basedOn w:val="DefaultParagraphFont"/>
    <w:link w:val="Heading2"/>
    <w:uiPriority w:val="9"/>
    <w:rsid w:val="003277CB"/>
    <w:rPr>
      <w:rFonts w:asciiTheme="majorHAnsi" w:eastAsiaTheme="majorEastAsia" w:hAnsiTheme="majorHAnsi" w:cstheme="majorBidi"/>
      <w:color w:val="2E74B5" w:themeColor="accent1" w:themeShade="BF"/>
      <w:sz w:val="26"/>
      <w:szCs w:val="26"/>
    </w:rPr>
  </w:style>
  <w:style w:type="paragraph" w:customStyle="1" w:styleId="definition">
    <w:name w:val="definition"/>
    <w:basedOn w:val="Normal"/>
    <w:rsid w:val="003277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3277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759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rastructure.gov.au/roads/vehicle_regulation/bulletin/vsb1/index.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rastructure.gov.au/roads/motor/desig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rastructure.gov.au/vehicles/administrators_circulars/index.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17E01-CCB4-45F2-BDC9-260E5695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Kate</dc:creator>
  <cp:keywords/>
  <dc:description/>
  <cp:lastModifiedBy>Cooper, Malcolm</cp:lastModifiedBy>
  <cp:revision>22</cp:revision>
  <cp:lastPrinted>2017-06-28T02:06:00Z</cp:lastPrinted>
  <dcterms:created xsi:type="dcterms:W3CDTF">2017-06-28T00:34:00Z</dcterms:created>
  <dcterms:modified xsi:type="dcterms:W3CDTF">2017-08-02T06:09:00Z</dcterms:modified>
</cp:coreProperties>
</file>