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2A7" w:rsidRDefault="0019756F" w:rsidP="0019756F">
      <w:pPr>
        <w:spacing w:before="120"/>
        <w:rPr>
          <w:rFonts w:ascii="Gill Sans MT" w:hAnsi="Gill Sans MT"/>
          <w:lang w:val="en-GB"/>
        </w:rPr>
      </w:pPr>
      <w:r w:rsidRPr="0019756F">
        <w:rPr>
          <w:rFonts w:ascii="Gill Sans MT" w:hAnsi="Gill Sans MT"/>
          <w:lang w:val="en-GB"/>
        </w:rPr>
        <w:t>This information bulletin details the requirements for flat-towing a motor vehicle that is connected to the towing vehicle by a triangular frame commonly known as an A-frame.</w:t>
      </w:r>
      <w:r w:rsidR="00C80D03">
        <w:rPr>
          <w:rFonts w:ascii="Gill Sans MT" w:hAnsi="Gill Sans MT"/>
          <w:lang w:val="en-GB"/>
        </w:rPr>
        <w:t xml:space="preserve">  </w:t>
      </w:r>
    </w:p>
    <w:p w:rsidR="000B32A7" w:rsidRDefault="000B32A7" w:rsidP="0019756F">
      <w:pPr>
        <w:spacing w:before="120"/>
        <w:rPr>
          <w:rFonts w:ascii="Gill Sans MT" w:hAnsi="Gill Sans MT"/>
          <w:lang w:val="en-GB"/>
        </w:rPr>
      </w:pPr>
      <w:r>
        <w:rPr>
          <w:rFonts w:ascii="Gill Sans MT" w:hAnsi="Gill Sans MT"/>
          <w:lang w:val="en-GB"/>
        </w:rPr>
        <w:t>At all times the regulatory requirements take precedence over the information provided here.</w:t>
      </w:r>
    </w:p>
    <w:p w:rsidR="000B32A7" w:rsidRDefault="00C80D03" w:rsidP="0019756F">
      <w:pPr>
        <w:spacing w:before="120"/>
        <w:rPr>
          <w:rFonts w:ascii="Gill Sans MT" w:hAnsi="Gill Sans MT"/>
          <w:lang w:val="en-GB"/>
        </w:rPr>
      </w:pPr>
      <w:r>
        <w:rPr>
          <w:rFonts w:ascii="Gill Sans MT" w:hAnsi="Gill Sans MT"/>
          <w:lang w:val="en-GB"/>
        </w:rPr>
        <w:t>An A-frame is a triangular frame that connects the towed vehicle to the towing vehicle</w:t>
      </w:r>
      <w:r w:rsidR="002175E4">
        <w:rPr>
          <w:rFonts w:ascii="Gill Sans MT" w:hAnsi="Gill Sans MT"/>
          <w:lang w:val="en-GB"/>
        </w:rPr>
        <w:t xml:space="preserve"> and</w:t>
      </w:r>
      <w:r w:rsidR="002175E4" w:rsidRPr="002175E4">
        <w:rPr>
          <w:rFonts w:ascii="Gill Sans MT" w:hAnsi="Gill Sans MT"/>
          <w:lang w:val="en-GB"/>
        </w:rPr>
        <w:t xml:space="preserve"> </w:t>
      </w:r>
      <w:r w:rsidR="002175E4">
        <w:rPr>
          <w:rFonts w:ascii="Gill Sans MT" w:hAnsi="Gill Sans MT"/>
          <w:lang w:val="en-GB"/>
        </w:rPr>
        <w:t>is used to tow without lifting the towed vehicle</w:t>
      </w:r>
      <w:r>
        <w:rPr>
          <w:rFonts w:ascii="Gill Sans MT" w:hAnsi="Gill Sans MT"/>
          <w:lang w:val="en-GB"/>
        </w:rPr>
        <w:t>.</w:t>
      </w:r>
      <w:r w:rsidR="000B32A7">
        <w:rPr>
          <w:rFonts w:ascii="Gill Sans MT" w:hAnsi="Gill Sans MT"/>
          <w:lang w:val="en-GB"/>
        </w:rPr>
        <w:t xml:space="preserve">  </w:t>
      </w:r>
    </w:p>
    <w:p w:rsidR="000B32A7" w:rsidRDefault="000B32A7" w:rsidP="0019756F">
      <w:pPr>
        <w:spacing w:before="120"/>
        <w:rPr>
          <w:rFonts w:ascii="Gill Sans MT" w:hAnsi="Gill Sans MT"/>
          <w:lang w:val="en-GB"/>
        </w:rPr>
      </w:pPr>
      <w:r>
        <w:rPr>
          <w:rFonts w:ascii="Gill Sans MT" w:hAnsi="Gill Sans MT"/>
          <w:lang w:val="en-GB"/>
        </w:rPr>
        <w:t>Towing more than one vehicle at time is not permitted</w:t>
      </w:r>
      <w:r w:rsidR="0023188D">
        <w:rPr>
          <w:rFonts w:ascii="Gill Sans MT" w:hAnsi="Gill Sans MT"/>
          <w:lang w:val="en-GB"/>
        </w:rPr>
        <w:t>.</w:t>
      </w:r>
    </w:p>
    <w:p w:rsidR="0023188D" w:rsidRPr="0019756F" w:rsidRDefault="0023188D" w:rsidP="0019756F">
      <w:pPr>
        <w:spacing w:before="120"/>
        <w:rPr>
          <w:rFonts w:ascii="Gill Sans MT" w:hAnsi="Gill Sans MT"/>
          <w:lang w:val="en-GB"/>
        </w:rPr>
      </w:pPr>
      <w:r>
        <w:rPr>
          <w:rFonts w:ascii="Gill Sans MT" w:hAnsi="Gill Sans MT"/>
          <w:lang w:val="en-GB"/>
        </w:rPr>
        <w:t xml:space="preserve">The use of “Dolly, Gypsy or Buddy” trailers is not permitted unless moving a disabled </w:t>
      </w:r>
      <w:r w:rsidR="002442C4">
        <w:rPr>
          <w:rFonts w:ascii="Gill Sans MT" w:hAnsi="Gill Sans MT"/>
          <w:lang w:val="en-GB"/>
        </w:rPr>
        <w:t xml:space="preserve">motor </w:t>
      </w:r>
      <w:r>
        <w:rPr>
          <w:rFonts w:ascii="Gill Sans MT" w:hAnsi="Gill Sans MT"/>
          <w:lang w:val="en-GB"/>
        </w:rPr>
        <w:t>vehicle to</w:t>
      </w:r>
      <w:r w:rsidR="00193495">
        <w:rPr>
          <w:rFonts w:ascii="Gill Sans MT" w:hAnsi="Gill Sans MT"/>
          <w:lang w:val="en-GB"/>
        </w:rPr>
        <w:t xml:space="preserve"> the nearest safe place</w:t>
      </w:r>
      <w:r>
        <w:rPr>
          <w:rFonts w:ascii="Gill Sans MT" w:hAnsi="Gill Sans MT"/>
          <w:lang w:val="en-GB"/>
        </w:rPr>
        <w:t>.</w:t>
      </w:r>
    </w:p>
    <w:p w:rsidR="0019756F" w:rsidRPr="0019756F" w:rsidRDefault="0019756F" w:rsidP="0019756F">
      <w:pPr>
        <w:keepNext/>
        <w:keepLines/>
        <w:suppressAutoHyphens/>
        <w:outlineLvl w:val="1"/>
        <w:rPr>
          <w:rFonts w:asciiTheme="majorHAnsi" w:eastAsiaTheme="majorEastAsia" w:hAnsiTheme="majorHAnsi" w:cstheme="majorBidi"/>
          <w:color w:val="005295"/>
          <w:sz w:val="36"/>
          <w:szCs w:val="26"/>
        </w:rPr>
      </w:pPr>
      <w:r w:rsidRPr="0019756F">
        <w:rPr>
          <w:rFonts w:asciiTheme="majorHAnsi" w:eastAsiaTheme="majorEastAsia" w:hAnsiTheme="majorHAnsi" w:cstheme="majorBidi"/>
          <w:color w:val="005295"/>
          <w:sz w:val="36"/>
          <w:szCs w:val="26"/>
        </w:rPr>
        <w:t xml:space="preserve">Towing Capacity of Towing Vehicle; </w:t>
      </w:r>
    </w:p>
    <w:p w:rsidR="0019756F" w:rsidRPr="0019756F" w:rsidRDefault="0019756F" w:rsidP="0019756F">
      <w:pPr>
        <w:spacing w:before="120"/>
        <w:rPr>
          <w:rFonts w:ascii="Gill Sans MT" w:hAnsi="Gill Sans MT"/>
          <w:lang w:val="en-GB"/>
        </w:rPr>
      </w:pPr>
      <w:r w:rsidRPr="0019756F">
        <w:rPr>
          <w:rFonts w:ascii="Gill Sans MT" w:hAnsi="Gill Sans MT"/>
          <w:lang w:val="en-GB"/>
        </w:rPr>
        <w:t>The loaded mass of the towed vehicle must not exceed the towing capacity of any component in the combination including;</w:t>
      </w:r>
    </w:p>
    <w:p w:rsidR="0019756F" w:rsidRPr="0019756F" w:rsidRDefault="0019756F" w:rsidP="0019756F">
      <w:pPr>
        <w:numPr>
          <w:ilvl w:val="0"/>
          <w:numId w:val="9"/>
        </w:numPr>
        <w:spacing w:before="0" w:after="0" w:line="280" w:lineRule="exact"/>
        <w:contextualSpacing/>
        <w:rPr>
          <w:rFonts w:ascii="Gill Sans MT" w:hAnsi="Gill Sans MT"/>
          <w:lang w:val="en-GB"/>
        </w:rPr>
      </w:pPr>
      <w:r w:rsidRPr="0019756F">
        <w:rPr>
          <w:rFonts w:ascii="Gill Sans MT" w:hAnsi="Gill Sans MT"/>
          <w:lang w:val="en-GB"/>
        </w:rPr>
        <w:t>The towing capacity of the towing vehicle as specified by the vehicle manufacturer</w:t>
      </w:r>
      <w:r w:rsidR="002175E4">
        <w:rPr>
          <w:rFonts w:ascii="Gill Sans MT" w:hAnsi="Gill Sans MT"/>
          <w:lang w:val="en-GB"/>
        </w:rPr>
        <w:t>.</w:t>
      </w:r>
      <w:r w:rsidRPr="0019756F">
        <w:rPr>
          <w:rFonts w:ascii="Gill Sans MT" w:hAnsi="Gill Sans MT"/>
          <w:lang w:val="en-GB"/>
        </w:rPr>
        <w:t xml:space="preserve"> </w:t>
      </w:r>
    </w:p>
    <w:p w:rsidR="0019756F" w:rsidRPr="0019756F" w:rsidRDefault="0019756F" w:rsidP="0019756F">
      <w:pPr>
        <w:numPr>
          <w:ilvl w:val="0"/>
          <w:numId w:val="9"/>
        </w:numPr>
        <w:spacing w:before="0" w:after="0" w:line="280" w:lineRule="exact"/>
        <w:contextualSpacing/>
        <w:rPr>
          <w:rFonts w:ascii="Gill Sans MT" w:hAnsi="Gill Sans MT"/>
          <w:lang w:val="en-GB"/>
        </w:rPr>
      </w:pPr>
      <w:r w:rsidRPr="0019756F">
        <w:rPr>
          <w:rFonts w:ascii="Gill Sans MT" w:hAnsi="Gill Sans MT"/>
          <w:lang w:val="en-GB"/>
        </w:rPr>
        <w:t>The rated capacity of the tow bar</w:t>
      </w:r>
      <w:r w:rsidR="002175E4">
        <w:rPr>
          <w:rFonts w:ascii="Gill Sans MT" w:hAnsi="Gill Sans MT"/>
          <w:lang w:val="en-GB"/>
        </w:rPr>
        <w:t>.</w:t>
      </w:r>
    </w:p>
    <w:p w:rsidR="0019756F" w:rsidRPr="0019756F" w:rsidRDefault="0019756F" w:rsidP="0019756F">
      <w:pPr>
        <w:numPr>
          <w:ilvl w:val="0"/>
          <w:numId w:val="9"/>
        </w:numPr>
        <w:spacing w:before="0" w:after="0" w:line="280" w:lineRule="exact"/>
        <w:contextualSpacing/>
        <w:rPr>
          <w:rFonts w:ascii="Gill Sans MT" w:hAnsi="Gill Sans MT"/>
          <w:lang w:val="en-GB"/>
        </w:rPr>
      </w:pPr>
      <w:r w:rsidRPr="0019756F">
        <w:rPr>
          <w:rFonts w:ascii="Gill Sans MT" w:hAnsi="Gill Sans MT"/>
          <w:lang w:val="en-GB"/>
        </w:rPr>
        <w:t>The rated capacity of the tow coupling</w:t>
      </w:r>
      <w:r w:rsidR="002175E4">
        <w:rPr>
          <w:rFonts w:ascii="Gill Sans MT" w:hAnsi="Gill Sans MT"/>
          <w:lang w:val="en-GB"/>
        </w:rPr>
        <w:t>.</w:t>
      </w:r>
    </w:p>
    <w:p w:rsidR="0019756F" w:rsidRPr="0019756F" w:rsidRDefault="0019756F" w:rsidP="0019756F">
      <w:pPr>
        <w:numPr>
          <w:ilvl w:val="0"/>
          <w:numId w:val="9"/>
        </w:numPr>
        <w:spacing w:before="120"/>
        <w:ind w:left="714" w:hanging="357"/>
        <w:contextualSpacing/>
        <w:rPr>
          <w:rFonts w:ascii="Gill Sans MT" w:hAnsi="Gill Sans MT"/>
          <w:lang w:val="en-GB"/>
        </w:rPr>
      </w:pPr>
      <w:r w:rsidRPr="0019756F">
        <w:rPr>
          <w:rFonts w:ascii="Gill Sans MT" w:hAnsi="Gill Sans MT"/>
          <w:lang w:val="en-GB"/>
        </w:rPr>
        <w:t>The rated capacity of the “A”-frame and connection hardware.</w:t>
      </w:r>
    </w:p>
    <w:p w:rsidR="0019756F" w:rsidRPr="0019756F" w:rsidRDefault="0019756F" w:rsidP="0019756F">
      <w:pPr>
        <w:rPr>
          <w:rFonts w:ascii="Gill Sans MT" w:hAnsi="Gill Sans MT"/>
          <w:lang w:val="en-GB"/>
        </w:rPr>
      </w:pPr>
      <w:r w:rsidRPr="0019756F">
        <w:rPr>
          <w:rFonts w:ascii="Gill Sans MT" w:hAnsi="Gill Sans MT"/>
          <w:lang w:val="en-GB"/>
        </w:rPr>
        <w:t>Having regard to the above limits the combination shall have a towed mass of at least 3.5:1.  This means the mass of the towing vehicle is 3.5 times the mass of the loaded towed vehicle.  This ratio is to provide adequate levels of vehicle stability, handling and braking performance.</w:t>
      </w:r>
    </w:p>
    <w:p w:rsidR="0019756F" w:rsidRPr="0019756F" w:rsidRDefault="0019756F" w:rsidP="0019756F">
      <w:pPr>
        <w:spacing w:before="120"/>
        <w:rPr>
          <w:rFonts w:ascii="Gill Sans MT" w:hAnsi="Gill Sans MT"/>
          <w:lang w:val="en-GB"/>
        </w:rPr>
      </w:pPr>
      <w:r w:rsidRPr="0019756F">
        <w:rPr>
          <w:rFonts w:ascii="Gill Sans MT" w:hAnsi="Gill Sans MT"/>
          <w:lang w:val="en-GB"/>
        </w:rPr>
        <w:t>Many vehicle manufacturers specify a maximum un-</w:t>
      </w:r>
      <w:r w:rsidR="007E5A43">
        <w:rPr>
          <w:rFonts w:ascii="Gill Sans MT" w:hAnsi="Gill Sans MT"/>
          <w:lang w:val="en-GB"/>
        </w:rPr>
        <w:t>braked towing capacity</w:t>
      </w:r>
      <w:r w:rsidRPr="0019756F">
        <w:rPr>
          <w:rFonts w:ascii="Gill Sans MT" w:hAnsi="Gill Sans MT"/>
          <w:lang w:val="en-GB"/>
        </w:rPr>
        <w:t xml:space="preserve">.  This means regardless of the above 3.5:1 ratio if the towed vehicle’s mass is greater than </w:t>
      </w:r>
      <w:r w:rsidR="007E5A43">
        <w:rPr>
          <w:rFonts w:ascii="Gill Sans MT" w:hAnsi="Gill Sans MT"/>
          <w:lang w:val="en-GB"/>
        </w:rPr>
        <w:t>the towing vehicles manufacturers un-braked towing capacity</w:t>
      </w:r>
      <w:r w:rsidRPr="0019756F">
        <w:rPr>
          <w:rFonts w:ascii="Gill Sans MT" w:hAnsi="Gill Sans MT"/>
          <w:lang w:val="en-GB"/>
        </w:rPr>
        <w:t xml:space="preserve"> the brakes of the towed vehicle must be operational whilst being towed.</w:t>
      </w:r>
    </w:p>
    <w:p w:rsidR="0019756F" w:rsidRPr="0019756F" w:rsidRDefault="0019756F" w:rsidP="0019756F">
      <w:pPr>
        <w:keepNext/>
        <w:keepLines/>
        <w:suppressAutoHyphens/>
        <w:spacing w:line="440" w:lineRule="exact"/>
        <w:outlineLvl w:val="1"/>
        <w:rPr>
          <w:rFonts w:asciiTheme="majorHAnsi" w:eastAsiaTheme="majorEastAsia" w:hAnsiTheme="majorHAnsi" w:cstheme="majorBidi"/>
          <w:color w:val="005295"/>
          <w:sz w:val="36"/>
          <w:szCs w:val="26"/>
          <w:lang w:val="en-GB"/>
        </w:rPr>
      </w:pPr>
      <w:r w:rsidRPr="0019756F">
        <w:rPr>
          <w:rFonts w:asciiTheme="majorHAnsi" w:eastAsiaTheme="majorEastAsia" w:hAnsiTheme="majorHAnsi" w:cstheme="majorBidi"/>
          <w:color w:val="005295"/>
          <w:sz w:val="36"/>
          <w:szCs w:val="26"/>
          <w:lang w:val="en-GB"/>
        </w:rPr>
        <w:t>Dimension Requirements;</w:t>
      </w:r>
    </w:p>
    <w:p w:rsidR="0019756F" w:rsidRPr="0019756F" w:rsidRDefault="0019756F" w:rsidP="0019756F">
      <w:pPr>
        <w:spacing w:before="120"/>
        <w:rPr>
          <w:rFonts w:ascii="Gill Sans MT" w:hAnsi="Gill Sans MT"/>
          <w:lang w:val="en-GB"/>
        </w:rPr>
      </w:pPr>
      <w:r w:rsidRPr="0019756F">
        <w:rPr>
          <w:rFonts w:ascii="Gill Sans MT" w:hAnsi="Gill Sans MT"/>
          <w:lang w:val="en-GB"/>
        </w:rPr>
        <w:t>The combination of towing vehicle and towed vehicle must not exceed 19 metres in length.</w:t>
      </w:r>
    </w:p>
    <w:p w:rsidR="0019756F" w:rsidRPr="0019756F" w:rsidRDefault="0019756F" w:rsidP="0019756F">
      <w:pPr>
        <w:spacing w:before="120"/>
        <w:rPr>
          <w:rFonts w:ascii="Gill Sans MT" w:hAnsi="Gill Sans MT"/>
          <w:lang w:val="en-GB"/>
        </w:rPr>
      </w:pPr>
      <w:r w:rsidRPr="0019756F">
        <w:rPr>
          <w:rFonts w:ascii="Gill Sans MT" w:hAnsi="Gill Sans MT"/>
          <w:lang w:val="en-GB"/>
        </w:rPr>
        <w:t>The distance between vehicles must not exceed 4 metres.</w:t>
      </w:r>
    </w:p>
    <w:p w:rsidR="002175E4" w:rsidRDefault="0019756F" w:rsidP="0019756F">
      <w:pPr>
        <w:spacing w:before="120"/>
        <w:rPr>
          <w:noProof/>
          <w:lang w:eastAsia="en-AU"/>
        </w:rPr>
      </w:pPr>
      <w:r w:rsidRPr="0019756F">
        <w:rPr>
          <w:rFonts w:ascii="Gill Sans MT" w:hAnsi="Gill Sans MT"/>
          <w:lang w:val="en-GB"/>
        </w:rPr>
        <w:t>If the distance between the vehicles exceeds 2 metres a distinctive brightly coloured warning device at least 300mm square must be fitted at the mid-way point of the A-frame and visible from either side.</w:t>
      </w:r>
      <w:r w:rsidR="002175E4" w:rsidRPr="002175E4">
        <w:rPr>
          <w:noProof/>
          <w:lang w:eastAsia="en-AU"/>
        </w:rPr>
        <w:t xml:space="preserve"> </w:t>
      </w:r>
    </w:p>
    <w:p w:rsidR="006D7CAE" w:rsidRDefault="006D7CAE" w:rsidP="006D7CAE">
      <w:pPr>
        <w:pStyle w:val="Heading2"/>
        <w:spacing w:before="240" w:line="240" w:lineRule="auto"/>
        <w:rPr>
          <w:lang w:val="en-GB"/>
        </w:rPr>
      </w:pPr>
      <w:r>
        <w:rPr>
          <w:lang w:val="en-GB"/>
        </w:rPr>
        <w:t>Lighting Requirements;</w:t>
      </w:r>
    </w:p>
    <w:p w:rsidR="006D7CAE" w:rsidRDefault="006D7CAE" w:rsidP="00027F6D">
      <w:pPr>
        <w:suppressAutoHyphens/>
        <w:spacing w:before="120" w:after="60"/>
        <w:rPr>
          <w:lang w:val="en-GB"/>
        </w:rPr>
      </w:pPr>
      <w:r>
        <w:rPr>
          <w:lang w:val="en-GB"/>
        </w:rPr>
        <w:t xml:space="preserve">The following lights </w:t>
      </w:r>
      <w:r w:rsidR="00ED1F6A">
        <w:rPr>
          <w:lang w:val="en-GB"/>
        </w:rPr>
        <w:t xml:space="preserve">must be </w:t>
      </w:r>
      <w:r>
        <w:rPr>
          <w:lang w:val="en-GB"/>
        </w:rPr>
        <w:t xml:space="preserve">fitted to the rear of the towed vehicle </w:t>
      </w:r>
      <w:r w:rsidR="00ED1F6A">
        <w:rPr>
          <w:lang w:val="en-GB"/>
        </w:rPr>
        <w:t>and</w:t>
      </w:r>
      <w:r>
        <w:rPr>
          <w:lang w:val="en-GB"/>
        </w:rPr>
        <w:t xml:space="preserve"> operational whilst under tow, securely fitting a separate light bar is acceptable in place of the towed vehicle</w:t>
      </w:r>
      <w:r w:rsidR="00ED1F6A">
        <w:rPr>
          <w:lang w:val="en-GB"/>
        </w:rPr>
        <w:t>s</w:t>
      </w:r>
      <w:r>
        <w:rPr>
          <w:lang w:val="en-GB"/>
        </w:rPr>
        <w:t xml:space="preserve"> originally fitted lights.</w:t>
      </w:r>
    </w:p>
    <w:p w:rsidR="006D7CAE" w:rsidRDefault="006D7CAE" w:rsidP="006D7CAE">
      <w:pPr>
        <w:pStyle w:val="ListParagraph"/>
        <w:numPr>
          <w:ilvl w:val="0"/>
          <w:numId w:val="15"/>
        </w:numPr>
        <w:suppressAutoHyphens/>
        <w:spacing w:before="60" w:after="60"/>
        <w:ind w:left="714" w:hanging="357"/>
        <w:rPr>
          <w:lang w:val="en-GB"/>
        </w:rPr>
      </w:pPr>
      <w:r>
        <w:rPr>
          <w:lang w:val="en-GB"/>
        </w:rPr>
        <w:t>An amber turn signal indicator on each side,</w:t>
      </w:r>
    </w:p>
    <w:p w:rsidR="006D7CAE" w:rsidRDefault="00ED1F6A" w:rsidP="006D7CAE">
      <w:pPr>
        <w:pStyle w:val="ListParagraph"/>
        <w:numPr>
          <w:ilvl w:val="0"/>
          <w:numId w:val="15"/>
        </w:numPr>
        <w:suppressAutoHyphens/>
        <w:spacing w:before="60" w:after="60"/>
        <w:ind w:left="714" w:hanging="357"/>
        <w:rPr>
          <w:lang w:val="en-GB"/>
        </w:rPr>
      </w:pPr>
      <w:r>
        <w:rPr>
          <w:lang w:val="en-GB"/>
        </w:rPr>
        <w:t>A red stop light each side</w:t>
      </w:r>
      <w:r w:rsidR="006D7CAE">
        <w:rPr>
          <w:lang w:val="en-GB"/>
        </w:rPr>
        <w:t>,</w:t>
      </w:r>
    </w:p>
    <w:p w:rsidR="006D7CAE" w:rsidRDefault="00ED1F6A" w:rsidP="006D7CAE">
      <w:pPr>
        <w:pStyle w:val="ListParagraph"/>
        <w:numPr>
          <w:ilvl w:val="0"/>
          <w:numId w:val="15"/>
        </w:numPr>
        <w:suppressAutoHyphens/>
        <w:spacing w:before="60" w:after="60"/>
        <w:ind w:left="714" w:hanging="357"/>
        <w:rPr>
          <w:lang w:val="en-GB"/>
        </w:rPr>
      </w:pPr>
      <w:r>
        <w:rPr>
          <w:lang w:val="en-GB"/>
        </w:rPr>
        <w:t>A</w:t>
      </w:r>
      <w:r w:rsidR="006D7CAE">
        <w:rPr>
          <w:lang w:val="en-GB"/>
        </w:rPr>
        <w:t xml:space="preserve"> red tail light</w:t>
      </w:r>
      <w:r>
        <w:rPr>
          <w:lang w:val="en-GB"/>
        </w:rPr>
        <w:t xml:space="preserve"> each side</w:t>
      </w:r>
      <w:r w:rsidR="006D7CAE">
        <w:rPr>
          <w:lang w:val="en-GB"/>
        </w:rPr>
        <w:t xml:space="preserve">, </w:t>
      </w:r>
    </w:p>
    <w:p w:rsidR="006D7CAE" w:rsidRDefault="006D7CAE" w:rsidP="006D7CAE">
      <w:pPr>
        <w:pStyle w:val="ListParagraph"/>
        <w:numPr>
          <w:ilvl w:val="0"/>
          <w:numId w:val="15"/>
        </w:numPr>
        <w:suppressAutoHyphens/>
        <w:spacing w:before="60" w:after="60"/>
        <w:ind w:left="714" w:hanging="357"/>
        <w:rPr>
          <w:lang w:val="en-GB"/>
        </w:rPr>
      </w:pPr>
      <w:r>
        <w:rPr>
          <w:lang w:val="en-GB"/>
        </w:rPr>
        <w:t>A number plate light to illuminate the rear registration plate.</w:t>
      </w:r>
    </w:p>
    <w:p w:rsidR="00D93419" w:rsidRPr="00D93419" w:rsidRDefault="00D93419" w:rsidP="00D93419">
      <w:pPr>
        <w:suppressAutoHyphens/>
        <w:spacing w:before="60" w:after="60"/>
        <w:rPr>
          <w:lang w:val="en-GB"/>
        </w:rPr>
      </w:pPr>
      <w:r>
        <w:rPr>
          <w:lang w:val="en-GB"/>
        </w:rPr>
        <w:t>The above lights may be separate assemblies or within a single lamp assembly fitted to each side.</w:t>
      </w:r>
    </w:p>
    <w:p w:rsidR="006D7CAE" w:rsidRPr="00A709D6" w:rsidRDefault="006D7CAE" w:rsidP="00A709D6">
      <w:pPr>
        <w:rPr>
          <w:lang w:val="en-GB"/>
        </w:rPr>
      </w:pPr>
      <w:r>
        <w:rPr>
          <w:lang w:val="en-GB"/>
        </w:rPr>
        <w:br w:type="page"/>
      </w:r>
    </w:p>
    <w:p w:rsidR="0019756F" w:rsidRPr="0019756F" w:rsidRDefault="0019756F" w:rsidP="0019756F">
      <w:pPr>
        <w:keepNext/>
        <w:keepLines/>
        <w:suppressAutoHyphens/>
        <w:outlineLvl w:val="1"/>
        <w:rPr>
          <w:rFonts w:asciiTheme="majorHAnsi" w:eastAsiaTheme="majorEastAsia" w:hAnsiTheme="majorHAnsi" w:cstheme="majorBidi"/>
          <w:color w:val="005295"/>
          <w:sz w:val="36"/>
          <w:szCs w:val="26"/>
          <w:lang w:val="en-GB"/>
        </w:rPr>
      </w:pPr>
      <w:r w:rsidRPr="0019756F">
        <w:rPr>
          <w:rFonts w:asciiTheme="majorHAnsi" w:eastAsiaTheme="majorEastAsia" w:hAnsiTheme="majorHAnsi" w:cstheme="majorBidi"/>
          <w:color w:val="005295"/>
          <w:sz w:val="36"/>
          <w:szCs w:val="26"/>
          <w:lang w:val="en-GB"/>
        </w:rPr>
        <w:lastRenderedPageBreak/>
        <w:t>Certification;</w:t>
      </w:r>
    </w:p>
    <w:p w:rsidR="0019756F" w:rsidRPr="0019756F" w:rsidRDefault="0019756F" w:rsidP="0019756F">
      <w:pPr>
        <w:spacing w:before="120"/>
        <w:rPr>
          <w:rFonts w:ascii="Gill Sans MT" w:hAnsi="Gill Sans MT"/>
          <w:lang w:val="en-GB"/>
        </w:rPr>
      </w:pPr>
      <w:r w:rsidRPr="0019756F">
        <w:rPr>
          <w:rFonts w:ascii="Gill Sans MT" w:hAnsi="Gill Sans MT"/>
          <w:lang w:val="en-GB"/>
        </w:rPr>
        <w:t xml:space="preserve">An A-frame must meet the requirements of </w:t>
      </w:r>
      <w:hyperlink r:id="rId8" w:history="1">
        <w:r w:rsidRPr="0032795F">
          <w:rPr>
            <w:rStyle w:val="Hyperlink"/>
            <w:rFonts w:ascii="Gill Sans MT" w:hAnsi="Gill Sans MT"/>
            <w:lang w:val="en-GB"/>
          </w:rPr>
          <w:t>Australian Design Rule</w:t>
        </w:r>
      </w:hyperlink>
      <w:r>
        <w:rPr>
          <w:rStyle w:val="Hyperlink"/>
          <w:rFonts w:ascii="Gill Sans MT" w:hAnsi="Gill Sans MT"/>
          <w:lang w:val="en-GB"/>
        </w:rPr>
        <w:t xml:space="preserve"> </w:t>
      </w:r>
      <w:r w:rsidRPr="0019756F">
        <w:rPr>
          <w:rFonts w:ascii="Gill Sans MT" w:hAnsi="Gill Sans MT"/>
          <w:lang w:val="en-GB"/>
        </w:rPr>
        <w:t>62 (ADR62).</w:t>
      </w:r>
    </w:p>
    <w:p w:rsidR="0019756F" w:rsidRPr="0019756F" w:rsidRDefault="0019756F" w:rsidP="0019756F">
      <w:pPr>
        <w:spacing w:before="120"/>
        <w:rPr>
          <w:rFonts w:ascii="Gill Sans MT" w:hAnsi="Gill Sans MT"/>
          <w:lang w:val="en-GB"/>
        </w:rPr>
      </w:pPr>
      <w:r w:rsidRPr="0019756F">
        <w:rPr>
          <w:rFonts w:ascii="Gill Sans MT" w:hAnsi="Gill Sans MT"/>
          <w:lang w:val="en-GB"/>
        </w:rPr>
        <w:t>The frame must be marked with the following;</w:t>
      </w:r>
    </w:p>
    <w:p w:rsidR="0019756F" w:rsidRPr="0019756F" w:rsidRDefault="0019756F" w:rsidP="00A709D6">
      <w:pPr>
        <w:spacing w:before="120" w:after="60"/>
        <w:rPr>
          <w:rFonts w:ascii="Gill Sans MT" w:hAnsi="Gill Sans MT"/>
          <w:lang w:val="en-GB"/>
        </w:rPr>
      </w:pPr>
      <w:r w:rsidRPr="0019756F">
        <w:rPr>
          <w:rFonts w:ascii="Gill Sans MT" w:hAnsi="Gill Sans MT"/>
          <w:lang w:val="en-GB"/>
        </w:rPr>
        <w:t xml:space="preserve">If it is a proprietary item; </w:t>
      </w:r>
    </w:p>
    <w:p w:rsidR="0019756F" w:rsidRPr="0019756F" w:rsidRDefault="0019756F" w:rsidP="0019756F">
      <w:pPr>
        <w:numPr>
          <w:ilvl w:val="0"/>
          <w:numId w:val="13"/>
        </w:numPr>
        <w:spacing w:before="0" w:after="0" w:line="280" w:lineRule="exact"/>
        <w:contextualSpacing/>
        <w:rPr>
          <w:rFonts w:ascii="Gill Sans MT" w:hAnsi="Gill Sans MT"/>
          <w:lang w:val="en-GB"/>
        </w:rPr>
      </w:pPr>
      <w:r w:rsidRPr="0019756F">
        <w:rPr>
          <w:rFonts w:ascii="Gill Sans MT" w:hAnsi="Gill Sans MT"/>
          <w:lang w:val="en-GB"/>
        </w:rPr>
        <w:t>Manufacturers name or Trade Mark and</w:t>
      </w:r>
    </w:p>
    <w:p w:rsidR="0019756F" w:rsidRPr="0019756F" w:rsidRDefault="0019756F" w:rsidP="0019756F">
      <w:pPr>
        <w:numPr>
          <w:ilvl w:val="0"/>
          <w:numId w:val="13"/>
        </w:numPr>
        <w:spacing w:before="0" w:after="0" w:line="280" w:lineRule="exact"/>
        <w:contextualSpacing/>
        <w:rPr>
          <w:rFonts w:ascii="Gill Sans MT" w:hAnsi="Gill Sans MT"/>
          <w:lang w:val="en-GB"/>
        </w:rPr>
      </w:pPr>
      <w:r w:rsidRPr="0019756F">
        <w:rPr>
          <w:rFonts w:ascii="Gill Sans MT" w:hAnsi="Gill Sans MT"/>
          <w:lang w:val="en-GB"/>
        </w:rPr>
        <w:t xml:space="preserve">Make and Model of vehicle it is to be connected </w:t>
      </w:r>
      <w:r w:rsidR="00431E28">
        <w:rPr>
          <w:rFonts w:ascii="Gill Sans MT" w:hAnsi="Gill Sans MT"/>
          <w:lang w:val="en-GB"/>
        </w:rPr>
        <w:t xml:space="preserve">to </w:t>
      </w:r>
      <w:r w:rsidRPr="0019756F">
        <w:rPr>
          <w:rFonts w:ascii="Gill Sans MT" w:hAnsi="Gill Sans MT"/>
          <w:lang w:val="en-GB"/>
        </w:rPr>
        <w:t xml:space="preserve">and  </w:t>
      </w:r>
    </w:p>
    <w:p w:rsidR="009B4937" w:rsidRDefault="0019756F" w:rsidP="0019756F">
      <w:pPr>
        <w:numPr>
          <w:ilvl w:val="0"/>
          <w:numId w:val="13"/>
        </w:numPr>
        <w:spacing w:before="0" w:after="200" w:line="280" w:lineRule="exact"/>
        <w:ind w:left="714" w:hanging="357"/>
        <w:contextualSpacing/>
        <w:rPr>
          <w:rFonts w:ascii="Gill Sans MT" w:hAnsi="Gill Sans MT"/>
          <w:lang w:val="en-GB"/>
        </w:rPr>
      </w:pPr>
      <w:r w:rsidRPr="0019756F">
        <w:rPr>
          <w:rFonts w:ascii="Gill Sans MT" w:hAnsi="Gill Sans MT"/>
          <w:lang w:val="en-GB"/>
        </w:rPr>
        <w:t>Rated capacity of the frame and connection hardware.</w:t>
      </w:r>
    </w:p>
    <w:p w:rsidR="0019756F" w:rsidRPr="0019756F" w:rsidRDefault="0019756F" w:rsidP="00A709D6">
      <w:pPr>
        <w:pStyle w:val="Heading2"/>
        <w:spacing w:before="120" w:line="240" w:lineRule="auto"/>
        <w:rPr>
          <w:lang w:val="en-GB"/>
        </w:rPr>
      </w:pPr>
      <w:r w:rsidRPr="0019756F">
        <w:rPr>
          <w:lang w:val="en-GB"/>
        </w:rPr>
        <w:t>Custom or Homemade A-frame</w:t>
      </w:r>
      <w:r w:rsidR="00F77A89">
        <w:rPr>
          <w:lang w:val="en-GB"/>
        </w:rPr>
        <w:t>s</w:t>
      </w:r>
      <w:r w:rsidRPr="0019756F">
        <w:rPr>
          <w:lang w:val="en-GB"/>
        </w:rPr>
        <w:t>;</w:t>
      </w:r>
    </w:p>
    <w:p w:rsidR="009B4937" w:rsidRPr="0019756F" w:rsidRDefault="009B4937" w:rsidP="00A709D6">
      <w:pPr>
        <w:spacing w:before="120" w:after="60"/>
        <w:rPr>
          <w:rFonts w:ascii="Gill Sans MT" w:hAnsi="Gill Sans MT"/>
          <w:lang w:val="en-GB"/>
        </w:rPr>
      </w:pPr>
      <w:r w:rsidRPr="0019756F">
        <w:rPr>
          <w:rFonts w:ascii="Gill Sans MT" w:hAnsi="Gill Sans MT"/>
          <w:lang w:val="en-GB"/>
        </w:rPr>
        <w:t>The frame must be;</w:t>
      </w:r>
    </w:p>
    <w:p w:rsidR="00FC3835" w:rsidRDefault="00FC3835" w:rsidP="00FC3835">
      <w:pPr>
        <w:numPr>
          <w:ilvl w:val="0"/>
          <w:numId w:val="13"/>
        </w:numPr>
        <w:spacing w:before="120"/>
        <w:ind w:left="714" w:hanging="357"/>
        <w:contextualSpacing/>
        <w:rPr>
          <w:rFonts w:ascii="Gill Sans MT" w:hAnsi="Gill Sans MT"/>
          <w:lang w:val="en-GB"/>
        </w:rPr>
      </w:pPr>
      <w:r>
        <w:rPr>
          <w:rFonts w:ascii="Gill Sans MT" w:hAnsi="Gill Sans MT"/>
          <w:lang w:val="en-GB"/>
        </w:rPr>
        <w:t xml:space="preserve">Certified </w:t>
      </w:r>
      <w:r w:rsidRPr="0019756F">
        <w:rPr>
          <w:rFonts w:ascii="Gill Sans MT" w:hAnsi="Gill Sans MT"/>
          <w:lang w:val="en-GB"/>
        </w:rPr>
        <w:t>by an</w:t>
      </w:r>
      <w:hyperlink r:id="rId9" w:history="1">
        <w:r w:rsidRPr="00FC3835">
          <w:rPr>
            <w:rStyle w:val="Hyperlink"/>
            <w:rFonts w:ascii="Gill Sans MT" w:hAnsi="Gill Sans MT"/>
            <w:lang w:val="en-GB"/>
          </w:rPr>
          <w:t xml:space="preserve"> Approved Vehicle Certifier</w:t>
        </w:r>
      </w:hyperlink>
      <w:r w:rsidRPr="0019756F">
        <w:rPr>
          <w:rFonts w:ascii="Gill Sans MT" w:hAnsi="Gill Sans MT"/>
          <w:lang w:val="en-GB"/>
        </w:rPr>
        <w:t>,</w:t>
      </w:r>
      <w:r>
        <w:rPr>
          <w:rFonts w:ascii="Gill Sans MT" w:hAnsi="Gill Sans MT"/>
          <w:lang w:val="en-GB"/>
        </w:rPr>
        <w:t xml:space="preserve"> (AVC)</w:t>
      </w:r>
    </w:p>
    <w:p w:rsidR="00FC3835" w:rsidRPr="0019756F" w:rsidRDefault="00FC3835" w:rsidP="00FC3835">
      <w:pPr>
        <w:numPr>
          <w:ilvl w:val="1"/>
          <w:numId w:val="13"/>
        </w:numPr>
        <w:spacing w:before="120"/>
        <w:contextualSpacing/>
        <w:rPr>
          <w:rFonts w:ascii="Gill Sans MT" w:hAnsi="Gill Sans MT"/>
          <w:lang w:val="en-GB"/>
        </w:rPr>
      </w:pPr>
      <w:r>
        <w:rPr>
          <w:rFonts w:ascii="Gill Sans MT" w:hAnsi="Gill Sans MT"/>
          <w:lang w:val="en-GB"/>
        </w:rPr>
        <w:t>The AVC is to provide the Department with their report so a Modification Plate can be produced,</w:t>
      </w:r>
    </w:p>
    <w:p w:rsidR="0019756F" w:rsidRPr="0019756F" w:rsidRDefault="0019756F" w:rsidP="0019756F">
      <w:pPr>
        <w:numPr>
          <w:ilvl w:val="0"/>
          <w:numId w:val="13"/>
        </w:numPr>
        <w:spacing w:before="0" w:after="0" w:line="280" w:lineRule="exact"/>
        <w:contextualSpacing/>
        <w:rPr>
          <w:rFonts w:ascii="Gill Sans MT" w:hAnsi="Gill Sans MT"/>
          <w:lang w:val="en-GB"/>
        </w:rPr>
      </w:pPr>
      <w:r w:rsidRPr="0019756F">
        <w:rPr>
          <w:rFonts w:ascii="Gill Sans MT" w:hAnsi="Gill Sans MT"/>
          <w:lang w:val="en-GB"/>
        </w:rPr>
        <w:t>Fitted with a Modification Plate,</w:t>
      </w:r>
    </w:p>
    <w:p w:rsidR="0019756F" w:rsidRPr="0019756F" w:rsidRDefault="009B4937" w:rsidP="0019756F">
      <w:pPr>
        <w:numPr>
          <w:ilvl w:val="0"/>
          <w:numId w:val="13"/>
        </w:numPr>
        <w:spacing w:before="0" w:after="0" w:line="280" w:lineRule="exact"/>
        <w:contextualSpacing/>
        <w:rPr>
          <w:rFonts w:ascii="Gill Sans MT" w:hAnsi="Gill Sans MT"/>
          <w:lang w:val="en-GB"/>
        </w:rPr>
      </w:pPr>
      <w:r>
        <w:rPr>
          <w:rFonts w:ascii="Gill Sans MT" w:hAnsi="Gill Sans MT"/>
          <w:lang w:val="en-GB"/>
        </w:rPr>
        <w:t xml:space="preserve">Stamped with the </w:t>
      </w:r>
      <w:r w:rsidR="0019756F" w:rsidRPr="0019756F">
        <w:rPr>
          <w:rFonts w:ascii="Gill Sans MT" w:hAnsi="Gill Sans MT"/>
          <w:lang w:val="en-GB"/>
        </w:rPr>
        <w:t>Vehicle Identification Number (VIN) of the towed vehicle</w:t>
      </w:r>
      <w:r>
        <w:rPr>
          <w:rFonts w:ascii="Gill Sans MT" w:hAnsi="Gill Sans MT"/>
          <w:lang w:val="en-GB"/>
        </w:rPr>
        <w:t xml:space="preserve"> and</w:t>
      </w:r>
    </w:p>
    <w:p w:rsidR="0019756F" w:rsidRPr="0019756F" w:rsidRDefault="0019756F" w:rsidP="0019756F">
      <w:pPr>
        <w:numPr>
          <w:ilvl w:val="0"/>
          <w:numId w:val="13"/>
        </w:numPr>
        <w:spacing w:before="0" w:after="0" w:line="280" w:lineRule="exact"/>
        <w:contextualSpacing/>
        <w:rPr>
          <w:rFonts w:ascii="Gill Sans MT" w:hAnsi="Gill Sans MT"/>
          <w:lang w:val="en-GB"/>
        </w:rPr>
      </w:pPr>
      <w:r w:rsidRPr="0019756F">
        <w:rPr>
          <w:rFonts w:ascii="Gill Sans MT" w:hAnsi="Gill Sans MT"/>
          <w:lang w:val="en-GB"/>
        </w:rPr>
        <w:t>The Manufacturers name</w:t>
      </w:r>
      <w:r w:rsidR="009B4937">
        <w:rPr>
          <w:rFonts w:ascii="Gill Sans MT" w:hAnsi="Gill Sans MT"/>
          <w:lang w:val="en-GB"/>
        </w:rPr>
        <w:t xml:space="preserve"> and</w:t>
      </w:r>
    </w:p>
    <w:p w:rsidR="0019756F" w:rsidRPr="0019756F" w:rsidRDefault="0019756F" w:rsidP="00315703">
      <w:pPr>
        <w:numPr>
          <w:ilvl w:val="0"/>
          <w:numId w:val="13"/>
        </w:numPr>
        <w:spacing w:before="0"/>
        <w:ind w:left="714" w:hanging="357"/>
        <w:contextualSpacing/>
        <w:rPr>
          <w:rFonts w:ascii="Gill Sans MT" w:hAnsi="Gill Sans MT"/>
          <w:lang w:val="en-GB"/>
        </w:rPr>
      </w:pPr>
      <w:r w:rsidRPr="0019756F">
        <w:rPr>
          <w:rFonts w:ascii="Gill Sans MT" w:hAnsi="Gill Sans MT"/>
          <w:lang w:val="en-GB"/>
        </w:rPr>
        <w:t>Rated capacity of the frame and connection hardware.</w:t>
      </w:r>
    </w:p>
    <w:p w:rsidR="000B32A7" w:rsidRDefault="00904895" w:rsidP="00315703">
      <w:pPr>
        <w:rPr>
          <w:rFonts w:ascii="Gill Sans MT" w:hAnsi="Gill Sans MT"/>
          <w:lang w:val="en-GB"/>
        </w:rPr>
      </w:pPr>
      <w:r>
        <w:rPr>
          <w:rFonts w:ascii="Gill Sans MT" w:hAnsi="Gill Sans MT"/>
          <w:lang w:val="en-GB"/>
        </w:rPr>
        <w:t>NOTE: a custom or homemade A</w:t>
      </w:r>
      <w:r w:rsidR="0019756F" w:rsidRPr="0019756F">
        <w:rPr>
          <w:rFonts w:ascii="Gill Sans MT" w:hAnsi="Gill Sans MT"/>
          <w:lang w:val="en-GB"/>
        </w:rPr>
        <w:t>-frame cannot be changed from the certified vehicle to another vehicle unless re-certified for the other vehicle.</w:t>
      </w:r>
    </w:p>
    <w:p w:rsidR="002175E4" w:rsidRPr="002175E4" w:rsidRDefault="0019756F" w:rsidP="00A709D6">
      <w:pPr>
        <w:keepNext/>
        <w:keepLines/>
        <w:suppressAutoHyphens/>
        <w:spacing w:before="120"/>
        <w:outlineLvl w:val="1"/>
        <w:rPr>
          <w:rFonts w:asciiTheme="majorHAnsi" w:eastAsiaTheme="majorEastAsia" w:hAnsiTheme="majorHAnsi" w:cstheme="majorBidi"/>
          <w:color w:val="005295"/>
          <w:sz w:val="36"/>
          <w:szCs w:val="26"/>
          <w:lang w:val="en-GB"/>
        </w:rPr>
      </w:pPr>
      <w:r w:rsidRPr="0019756F">
        <w:rPr>
          <w:rFonts w:asciiTheme="majorHAnsi" w:eastAsiaTheme="majorEastAsia" w:hAnsiTheme="majorHAnsi" w:cstheme="majorBidi"/>
          <w:color w:val="005295"/>
          <w:sz w:val="36"/>
          <w:szCs w:val="26"/>
          <w:lang w:val="en-GB"/>
        </w:rPr>
        <w:t>Safety Chains and Shackles;</w:t>
      </w:r>
    </w:p>
    <w:p w:rsidR="0019756F" w:rsidRPr="0019756F" w:rsidRDefault="0019756F" w:rsidP="00D12E2D">
      <w:pPr>
        <w:suppressAutoHyphens/>
        <w:spacing w:before="120"/>
        <w:rPr>
          <w:lang w:val="en-GB"/>
        </w:rPr>
      </w:pPr>
      <w:r w:rsidRPr="0019756F">
        <w:rPr>
          <w:lang w:val="en-GB"/>
        </w:rPr>
        <w:t xml:space="preserve">ADR 62 specifies the standard required for </w:t>
      </w:r>
      <w:r w:rsidR="00904895">
        <w:rPr>
          <w:lang w:val="en-GB"/>
        </w:rPr>
        <w:t>safety chains that are</w:t>
      </w:r>
      <w:r w:rsidRPr="0019756F">
        <w:rPr>
          <w:lang w:val="en-GB"/>
        </w:rPr>
        <w:t xml:space="preserve"> used to secure a trailer to a tow vehicle. Use the following table as a guide for the sizes acceptable;</w:t>
      </w:r>
    </w:p>
    <w:p w:rsidR="00366FF3" w:rsidRPr="00366FF3" w:rsidRDefault="00366FF3" w:rsidP="00D12E2D">
      <w:pPr>
        <w:suppressAutoHyphens/>
        <w:spacing w:before="120"/>
        <w:rPr>
          <w:noProof/>
          <w:lang w:eastAsia="en-AU"/>
        </w:rPr>
      </w:pPr>
      <w:r w:rsidRPr="00366FF3">
        <w:rPr>
          <w:noProof/>
          <w:lang w:eastAsia="en-AU"/>
        </w:rPr>
        <w:t>Safety chains may be attached to the towbar attachment points with a bow, D or pin shackles. As they are considered integral with the towbar, safety chain attachment points on the towbar that include a pin shackle or bolt for attaching the chain are subject to performance requirements as per ADR62/01 or 02 – Mechanical Couplings between Vehicles.</w:t>
      </w:r>
    </w:p>
    <w:p w:rsidR="00366FF3" w:rsidRPr="00366FF3" w:rsidRDefault="00366FF3" w:rsidP="00D12E2D">
      <w:pPr>
        <w:suppressAutoHyphens/>
        <w:spacing w:before="120"/>
        <w:rPr>
          <w:noProof/>
          <w:lang w:eastAsia="en-AU"/>
        </w:rPr>
      </w:pPr>
      <w:r w:rsidRPr="00366FF3">
        <w:rPr>
          <w:noProof/>
          <w:lang w:eastAsia="en-AU"/>
        </w:rPr>
        <w:t>Shackles used to attach safety chains to towbar attachment points should at a minimum exceed the required rating of the safety chain, as determined by the ATM of the road trailer. Additionally, the shackle should be fit for purpose and compatible with the safety chain in terms of strength and size.</w:t>
      </w:r>
    </w:p>
    <w:p w:rsidR="00366FF3" w:rsidRPr="00366FF3" w:rsidRDefault="00366FF3" w:rsidP="00D12E2D">
      <w:pPr>
        <w:suppressAutoHyphens/>
        <w:spacing w:before="120"/>
        <w:rPr>
          <w:noProof/>
          <w:lang w:eastAsia="en-AU"/>
        </w:rPr>
      </w:pPr>
      <w:r w:rsidRPr="00366FF3">
        <w:rPr>
          <w:noProof/>
          <w:lang w:eastAsia="en-AU"/>
        </w:rPr>
        <w:t>This may be fulfilled by:</w:t>
      </w:r>
    </w:p>
    <w:p w:rsidR="00366FF3" w:rsidRPr="00366FF3" w:rsidRDefault="00366FF3" w:rsidP="00D12E2D">
      <w:pPr>
        <w:suppressAutoHyphens/>
        <w:spacing w:before="120"/>
        <w:rPr>
          <w:noProof/>
          <w:lang w:eastAsia="en-AU"/>
        </w:rPr>
      </w:pPr>
      <w:r w:rsidRPr="00366FF3">
        <w:rPr>
          <w:noProof/>
          <w:lang w:eastAsia="en-AU"/>
        </w:rPr>
        <w:t>a) The use of a shackle that is compatible with the safety chain and complying with AS2741. In this case, the shackle must have the appropriate markings, as identified below:</w:t>
      </w:r>
    </w:p>
    <w:p w:rsidR="00366FF3" w:rsidRPr="00366FF3" w:rsidRDefault="00366FF3" w:rsidP="009D5456">
      <w:pPr>
        <w:numPr>
          <w:ilvl w:val="0"/>
          <w:numId w:val="16"/>
        </w:numPr>
        <w:suppressAutoHyphens/>
        <w:spacing w:before="60" w:after="60"/>
        <w:ind w:left="357" w:hanging="357"/>
        <w:rPr>
          <w:noProof/>
          <w:lang w:eastAsia="en-AU"/>
        </w:rPr>
      </w:pPr>
      <w:r w:rsidRPr="00366FF3">
        <w:rPr>
          <w:noProof/>
          <w:lang w:eastAsia="en-AU"/>
        </w:rPr>
        <w:t>Manufacturers Identification, and</w:t>
      </w:r>
    </w:p>
    <w:p w:rsidR="00366FF3" w:rsidRPr="00366FF3" w:rsidRDefault="00366FF3" w:rsidP="009D5456">
      <w:pPr>
        <w:numPr>
          <w:ilvl w:val="0"/>
          <w:numId w:val="16"/>
        </w:numPr>
        <w:suppressAutoHyphens/>
        <w:spacing w:before="60" w:after="60"/>
        <w:ind w:left="357" w:hanging="357"/>
        <w:rPr>
          <w:noProof/>
          <w:lang w:eastAsia="en-AU"/>
        </w:rPr>
      </w:pPr>
      <w:r w:rsidRPr="00366FF3">
        <w:rPr>
          <w:noProof/>
          <w:lang w:eastAsia="en-AU"/>
        </w:rPr>
        <w:t>Quality or Grade as M or 4, or S or 6, and</w:t>
      </w:r>
    </w:p>
    <w:p w:rsidR="00366FF3" w:rsidRPr="00366FF3" w:rsidRDefault="00366FF3" w:rsidP="009D5456">
      <w:pPr>
        <w:numPr>
          <w:ilvl w:val="0"/>
          <w:numId w:val="16"/>
        </w:numPr>
        <w:suppressAutoHyphens/>
        <w:spacing w:before="60" w:after="60"/>
        <w:ind w:left="357" w:hanging="357"/>
        <w:rPr>
          <w:noProof/>
          <w:lang w:eastAsia="en-AU"/>
        </w:rPr>
      </w:pPr>
      <w:r w:rsidRPr="00366FF3">
        <w:rPr>
          <w:noProof/>
          <w:lang w:eastAsia="en-AU"/>
        </w:rPr>
        <w:t>Working Load Limit (WLL), the maximum load that may be applied to the shackle,</w:t>
      </w:r>
    </w:p>
    <w:p w:rsidR="00366FF3" w:rsidRPr="00366FF3" w:rsidRDefault="00366FF3" w:rsidP="009D5456">
      <w:pPr>
        <w:numPr>
          <w:ilvl w:val="0"/>
          <w:numId w:val="16"/>
        </w:numPr>
        <w:suppressAutoHyphens/>
        <w:spacing w:before="60" w:after="60"/>
        <w:ind w:left="357" w:hanging="357"/>
        <w:rPr>
          <w:noProof/>
          <w:lang w:eastAsia="en-AU"/>
        </w:rPr>
      </w:pPr>
      <w:r w:rsidRPr="00366FF3">
        <w:rPr>
          <w:noProof/>
          <w:lang w:eastAsia="en-AU"/>
        </w:rPr>
        <w:t>Identification marking to correlate the shackle to test certificate.</w:t>
      </w:r>
    </w:p>
    <w:p w:rsidR="00366FF3" w:rsidRDefault="00366FF3" w:rsidP="00366FF3">
      <w:pPr>
        <w:suppressAutoHyphens/>
        <w:spacing w:before="0" w:after="0"/>
        <w:rPr>
          <w:noProof/>
          <w:lang w:eastAsia="en-AU"/>
        </w:rPr>
      </w:pPr>
    </w:p>
    <w:p w:rsidR="00366FF3" w:rsidRDefault="00366FF3" w:rsidP="00366FF3">
      <w:pPr>
        <w:suppressAutoHyphens/>
        <w:spacing w:before="0" w:after="0"/>
        <w:rPr>
          <w:noProof/>
          <w:lang w:eastAsia="en-AU"/>
        </w:rPr>
      </w:pPr>
    </w:p>
    <w:p w:rsidR="00366FF3" w:rsidRDefault="00366FF3" w:rsidP="00366FF3">
      <w:pPr>
        <w:suppressAutoHyphens/>
        <w:spacing w:before="0" w:after="0"/>
        <w:rPr>
          <w:noProof/>
          <w:lang w:eastAsia="en-AU"/>
        </w:rPr>
      </w:pPr>
    </w:p>
    <w:p w:rsidR="009D5456" w:rsidRDefault="009D5456" w:rsidP="00366FF3">
      <w:pPr>
        <w:suppressAutoHyphens/>
        <w:spacing w:before="0" w:after="0"/>
        <w:rPr>
          <w:noProof/>
          <w:lang w:eastAsia="en-AU"/>
        </w:rPr>
      </w:pPr>
    </w:p>
    <w:p w:rsidR="00366FF3" w:rsidRPr="00366FF3" w:rsidRDefault="00366FF3" w:rsidP="00366FF3">
      <w:pPr>
        <w:suppressAutoHyphens/>
        <w:spacing w:before="0" w:after="0"/>
        <w:rPr>
          <w:noProof/>
          <w:lang w:eastAsia="en-AU"/>
        </w:rPr>
      </w:pPr>
    </w:p>
    <w:p w:rsidR="00366FF3" w:rsidRPr="00366FF3" w:rsidRDefault="00366FF3" w:rsidP="00366FF3">
      <w:pPr>
        <w:suppressAutoHyphens/>
        <w:spacing w:before="0" w:after="0"/>
        <w:rPr>
          <w:b/>
          <w:noProof/>
          <w:lang w:eastAsia="en-AU"/>
        </w:rPr>
      </w:pPr>
      <w:r w:rsidRPr="00366FF3">
        <w:rPr>
          <w:b/>
          <w:noProof/>
          <w:lang w:eastAsia="en-AU"/>
        </w:rPr>
        <w:t>Shackle Selection:</w:t>
      </w:r>
    </w:p>
    <w:tbl>
      <w:tblPr>
        <w:tblStyle w:val="TableGrid"/>
        <w:tblW w:w="10490" w:type="dxa"/>
        <w:tblInd w:w="-147" w:type="dxa"/>
        <w:tblLayout w:type="fixed"/>
        <w:tblLook w:val="04A0" w:firstRow="1" w:lastRow="0" w:firstColumn="1" w:lastColumn="0" w:noHBand="0" w:noVBand="1"/>
      </w:tblPr>
      <w:tblGrid>
        <w:gridCol w:w="1701"/>
        <w:gridCol w:w="1418"/>
        <w:gridCol w:w="1134"/>
        <w:gridCol w:w="2126"/>
        <w:gridCol w:w="1985"/>
        <w:gridCol w:w="2126"/>
      </w:tblGrid>
      <w:tr w:rsidR="00366FF3" w:rsidRPr="00366FF3" w:rsidTr="00FC58B8">
        <w:trPr>
          <w:trHeight w:val="301"/>
        </w:trPr>
        <w:tc>
          <w:tcPr>
            <w:tcW w:w="1701" w:type="dxa"/>
            <w:vMerge w:val="restart"/>
            <w:shd w:val="clear" w:color="auto" w:fill="0033CC"/>
          </w:tcPr>
          <w:p w:rsidR="00366FF3" w:rsidRPr="00FC3835" w:rsidRDefault="00366FF3" w:rsidP="00366FF3">
            <w:pPr>
              <w:suppressAutoHyphens/>
              <w:spacing w:before="0" w:after="0"/>
              <w:rPr>
                <w:rFonts w:ascii="Calibri" w:hAnsi="Calibri"/>
                <w:noProof/>
                <w:color w:val="FFFFFF" w:themeColor="background1"/>
                <w:lang w:eastAsia="en-AU"/>
              </w:rPr>
            </w:pPr>
            <w:r w:rsidRPr="00FC3835">
              <w:rPr>
                <w:rFonts w:ascii="Calibri" w:hAnsi="Calibri"/>
                <w:noProof/>
                <w:color w:val="FFFFFF" w:themeColor="background1"/>
                <w:lang w:eastAsia="en-AU"/>
              </w:rPr>
              <w:t>Trailer ATM (kg)</w:t>
            </w:r>
          </w:p>
        </w:tc>
        <w:tc>
          <w:tcPr>
            <w:tcW w:w="1418" w:type="dxa"/>
            <w:vMerge w:val="restart"/>
            <w:shd w:val="clear" w:color="auto" w:fill="0033CC"/>
          </w:tcPr>
          <w:p w:rsidR="00366FF3" w:rsidRPr="00FC3835" w:rsidRDefault="00366FF3" w:rsidP="00366FF3">
            <w:pPr>
              <w:suppressAutoHyphens/>
              <w:spacing w:before="0" w:after="0"/>
              <w:rPr>
                <w:rFonts w:ascii="Calibri" w:hAnsi="Calibri"/>
                <w:noProof/>
                <w:color w:val="FFFFFF" w:themeColor="background1"/>
                <w:lang w:eastAsia="en-AU"/>
              </w:rPr>
            </w:pPr>
            <w:r w:rsidRPr="00FC3835">
              <w:rPr>
                <w:rFonts w:ascii="Calibri" w:hAnsi="Calibri"/>
                <w:noProof/>
                <w:color w:val="FFFFFF" w:themeColor="background1"/>
                <w:lang w:eastAsia="en-AU"/>
              </w:rPr>
              <w:t>Chain Size Classification AS4177.4 -2004</w:t>
            </w:r>
          </w:p>
        </w:tc>
        <w:tc>
          <w:tcPr>
            <w:tcW w:w="1134" w:type="dxa"/>
            <w:vMerge w:val="restart"/>
            <w:shd w:val="clear" w:color="auto" w:fill="0033CC"/>
          </w:tcPr>
          <w:p w:rsidR="00366FF3" w:rsidRPr="00FC3835" w:rsidRDefault="00366FF3" w:rsidP="00366FF3">
            <w:pPr>
              <w:suppressAutoHyphens/>
              <w:spacing w:before="0" w:after="0"/>
              <w:rPr>
                <w:rFonts w:ascii="Calibri" w:hAnsi="Calibri"/>
                <w:noProof/>
                <w:color w:val="FFFFFF" w:themeColor="background1"/>
                <w:lang w:eastAsia="en-AU"/>
              </w:rPr>
            </w:pPr>
            <w:r w:rsidRPr="00FC3835">
              <w:rPr>
                <w:rFonts w:ascii="Calibri" w:hAnsi="Calibri"/>
                <w:noProof/>
                <w:color w:val="FFFFFF" w:themeColor="background1"/>
                <w:lang w:eastAsia="en-AU"/>
              </w:rPr>
              <w:t>Chain Marking AS4177.4 - 2004</w:t>
            </w:r>
          </w:p>
        </w:tc>
        <w:tc>
          <w:tcPr>
            <w:tcW w:w="6237" w:type="dxa"/>
            <w:gridSpan w:val="3"/>
            <w:shd w:val="clear" w:color="auto" w:fill="0033CC"/>
          </w:tcPr>
          <w:p w:rsidR="00366FF3" w:rsidRPr="00FC3835" w:rsidRDefault="00366FF3" w:rsidP="00366FF3">
            <w:pPr>
              <w:suppressAutoHyphens/>
              <w:spacing w:before="0" w:after="0"/>
              <w:rPr>
                <w:rFonts w:ascii="Calibri" w:hAnsi="Calibri"/>
                <w:noProof/>
                <w:color w:val="FFFFFF" w:themeColor="background1"/>
                <w:lang w:eastAsia="en-AU"/>
              </w:rPr>
            </w:pPr>
            <w:r w:rsidRPr="00FC3835">
              <w:rPr>
                <w:rFonts w:ascii="Calibri" w:hAnsi="Calibri"/>
                <w:noProof/>
                <w:color w:val="FFFFFF" w:themeColor="background1"/>
                <w:lang w:eastAsia="en-AU"/>
              </w:rPr>
              <w:t>Minimum size of Shackles (Body diameter not pin size).</w:t>
            </w:r>
          </w:p>
          <w:p w:rsidR="00366FF3" w:rsidRPr="00FC3835" w:rsidRDefault="00366FF3" w:rsidP="00FC3835">
            <w:pPr>
              <w:suppressAutoHyphens/>
              <w:spacing w:before="0" w:after="0"/>
              <w:rPr>
                <w:rFonts w:ascii="Calibri" w:hAnsi="Calibri"/>
                <w:noProof/>
                <w:color w:val="FFFFFF" w:themeColor="background1"/>
                <w:lang w:eastAsia="en-AU"/>
              </w:rPr>
            </w:pPr>
            <w:r w:rsidRPr="00FC3835">
              <w:rPr>
                <w:rFonts w:ascii="Calibri" w:hAnsi="Calibri"/>
                <w:noProof/>
                <w:color w:val="FFFFFF" w:themeColor="background1"/>
                <w:lang w:eastAsia="en-AU"/>
              </w:rPr>
              <w:t>For Bow or D-shackles complying with AS2741</w:t>
            </w:r>
          </w:p>
        </w:tc>
      </w:tr>
      <w:tr w:rsidR="00FC58B8" w:rsidRPr="00366FF3" w:rsidTr="00FC58B8">
        <w:trPr>
          <w:trHeight w:val="672"/>
        </w:trPr>
        <w:tc>
          <w:tcPr>
            <w:tcW w:w="1701" w:type="dxa"/>
            <w:vMerge/>
            <w:shd w:val="clear" w:color="auto" w:fill="0033CC"/>
          </w:tcPr>
          <w:p w:rsidR="00366FF3" w:rsidRPr="00FC3835" w:rsidRDefault="00366FF3" w:rsidP="00366FF3">
            <w:pPr>
              <w:suppressAutoHyphens/>
              <w:spacing w:before="0" w:after="0"/>
              <w:rPr>
                <w:rFonts w:ascii="Calibri" w:hAnsi="Calibri"/>
                <w:noProof/>
                <w:color w:val="FFFFFF" w:themeColor="background1"/>
                <w:lang w:eastAsia="en-AU"/>
              </w:rPr>
            </w:pPr>
          </w:p>
        </w:tc>
        <w:tc>
          <w:tcPr>
            <w:tcW w:w="1418" w:type="dxa"/>
            <w:vMerge/>
            <w:shd w:val="clear" w:color="auto" w:fill="0033CC"/>
          </w:tcPr>
          <w:p w:rsidR="00366FF3" w:rsidRPr="00FC3835" w:rsidRDefault="00366FF3" w:rsidP="00366FF3">
            <w:pPr>
              <w:suppressAutoHyphens/>
              <w:spacing w:before="0" w:after="0"/>
              <w:rPr>
                <w:rFonts w:ascii="Calibri" w:hAnsi="Calibri"/>
                <w:noProof/>
                <w:color w:val="FFFFFF" w:themeColor="background1"/>
                <w:lang w:eastAsia="en-AU"/>
              </w:rPr>
            </w:pPr>
          </w:p>
        </w:tc>
        <w:tc>
          <w:tcPr>
            <w:tcW w:w="1134" w:type="dxa"/>
            <w:vMerge/>
            <w:shd w:val="clear" w:color="auto" w:fill="0033CC"/>
          </w:tcPr>
          <w:p w:rsidR="00366FF3" w:rsidRPr="00FC3835" w:rsidRDefault="00366FF3" w:rsidP="00366FF3">
            <w:pPr>
              <w:suppressAutoHyphens/>
              <w:spacing w:before="0" w:after="0"/>
              <w:rPr>
                <w:rFonts w:ascii="Calibri" w:hAnsi="Calibri"/>
                <w:noProof/>
                <w:color w:val="FFFFFF" w:themeColor="background1"/>
                <w:lang w:eastAsia="en-AU"/>
              </w:rPr>
            </w:pPr>
          </w:p>
        </w:tc>
        <w:tc>
          <w:tcPr>
            <w:tcW w:w="2126" w:type="dxa"/>
            <w:shd w:val="clear" w:color="auto" w:fill="0033CC"/>
          </w:tcPr>
          <w:p w:rsidR="00366FF3" w:rsidRPr="00FC3835" w:rsidRDefault="00366FF3" w:rsidP="00366FF3">
            <w:pPr>
              <w:suppressAutoHyphens/>
              <w:spacing w:before="0" w:after="0"/>
              <w:jc w:val="center"/>
              <w:rPr>
                <w:rFonts w:ascii="Calibri" w:hAnsi="Calibri"/>
                <w:noProof/>
                <w:color w:val="FFFFFF" w:themeColor="background1"/>
                <w:lang w:eastAsia="en-AU"/>
              </w:rPr>
            </w:pPr>
            <w:r w:rsidRPr="00FC3835">
              <w:rPr>
                <w:rFonts w:ascii="Calibri" w:hAnsi="Calibri"/>
                <w:noProof/>
                <w:color w:val="FFFFFF" w:themeColor="background1"/>
                <w:lang w:eastAsia="en-AU"/>
              </w:rPr>
              <w:t>Grade M (or4) D Shackle</w:t>
            </w:r>
          </w:p>
        </w:tc>
        <w:tc>
          <w:tcPr>
            <w:tcW w:w="1985" w:type="dxa"/>
            <w:shd w:val="clear" w:color="auto" w:fill="0033CC"/>
          </w:tcPr>
          <w:p w:rsidR="00366FF3" w:rsidRPr="00FC3835" w:rsidRDefault="00366FF3" w:rsidP="00366FF3">
            <w:pPr>
              <w:suppressAutoHyphens/>
              <w:spacing w:before="0" w:after="0"/>
              <w:rPr>
                <w:rFonts w:ascii="Calibri" w:hAnsi="Calibri"/>
                <w:noProof/>
                <w:color w:val="FFFFFF" w:themeColor="background1"/>
                <w:lang w:eastAsia="en-AU"/>
              </w:rPr>
            </w:pPr>
            <w:r w:rsidRPr="00FC3835">
              <w:rPr>
                <w:rFonts w:ascii="Calibri" w:hAnsi="Calibri"/>
                <w:noProof/>
                <w:color w:val="FFFFFF" w:themeColor="background1"/>
                <w:lang w:eastAsia="en-AU"/>
              </w:rPr>
              <w:t>Grade S (or 6) D Shackle</w:t>
            </w:r>
          </w:p>
        </w:tc>
        <w:tc>
          <w:tcPr>
            <w:tcW w:w="2126" w:type="dxa"/>
            <w:shd w:val="clear" w:color="auto" w:fill="0033CC"/>
          </w:tcPr>
          <w:p w:rsidR="00366FF3" w:rsidRPr="00FC3835" w:rsidRDefault="00366FF3" w:rsidP="00366FF3">
            <w:pPr>
              <w:suppressAutoHyphens/>
              <w:spacing w:before="0" w:after="0"/>
              <w:rPr>
                <w:rFonts w:ascii="Calibri" w:hAnsi="Calibri"/>
                <w:noProof/>
                <w:color w:val="FFFFFF" w:themeColor="background1"/>
                <w:lang w:eastAsia="en-AU"/>
              </w:rPr>
            </w:pPr>
            <w:r w:rsidRPr="00FC3835">
              <w:rPr>
                <w:rFonts w:ascii="Calibri" w:hAnsi="Calibri"/>
                <w:noProof/>
                <w:color w:val="FFFFFF" w:themeColor="background1"/>
                <w:lang w:eastAsia="en-AU"/>
              </w:rPr>
              <w:t>Grade S (or 6)</w:t>
            </w:r>
          </w:p>
          <w:p w:rsidR="00366FF3" w:rsidRPr="00FC3835" w:rsidRDefault="00366FF3" w:rsidP="00366FF3">
            <w:pPr>
              <w:suppressAutoHyphens/>
              <w:spacing w:before="0" w:after="0"/>
              <w:rPr>
                <w:rFonts w:ascii="Calibri" w:hAnsi="Calibri"/>
                <w:noProof/>
                <w:color w:val="FFFFFF" w:themeColor="background1"/>
                <w:lang w:eastAsia="en-AU"/>
              </w:rPr>
            </w:pPr>
            <w:r w:rsidRPr="00FC3835">
              <w:rPr>
                <w:rFonts w:ascii="Calibri" w:hAnsi="Calibri"/>
                <w:noProof/>
                <w:color w:val="FFFFFF" w:themeColor="background1"/>
                <w:lang w:eastAsia="en-AU"/>
              </w:rPr>
              <w:t>Bow Shackle</w:t>
            </w:r>
          </w:p>
        </w:tc>
      </w:tr>
      <w:tr w:rsidR="00FC58B8" w:rsidRPr="00366FF3" w:rsidTr="00FC58B8">
        <w:tc>
          <w:tcPr>
            <w:tcW w:w="1701" w:type="dxa"/>
            <w:shd w:val="clear" w:color="auto" w:fill="D5DCE4" w:themeFill="text2" w:themeFillTint="33"/>
          </w:tcPr>
          <w:p w:rsidR="00366FF3" w:rsidRPr="00FC3835" w:rsidRDefault="00366FF3" w:rsidP="00366FF3">
            <w:pPr>
              <w:suppressAutoHyphens/>
              <w:spacing w:before="0" w:after="0"/>
              <w:ind w:left="-108" w:right="-109"/>
              <w:rPr>
                <w:rFonts w:ascii="Calibri" w:hAnsi="Calibri"/>
                <w:b/>
                <w:noProof/>
                <w:lang w:eastAsia="en-AU"/>
              </w:rPr>
            </w:pPr>
            <w:r w:rsidRPr="00FC3835">
              <w:rPr>
                <w:rFonts w:ascii="Calibri" w:hAnsi="Calibri"/>
                <w:b/>
                <w:noProof/>
                <w:lang w:eastAsia="en-AU"/>
              </w:rPr>
              <w:t>Up to 1000Kg</w:t>
            </w:r>
          </w:p>
        </w:tc>
        <w:tc>
          <w:tcPr>
            <w:tcW w:w="1418" w:type="dxa"/>
            <w:shd w:val="clear" w:color="auto" w:fill="D5DCE4" w:themeFill="text2" w:themeFillTint="33"/>
          </w:tcPr>
          <w:p w:rsidR="00366FF3" w:rsidRPr="00FC3835" w:rsidRDefault="00366FF3" w:rsidP="00366FF3">
            <w:pPr>
              <w:suppressAutoHyphens/>
              <w:spacing w:before="0" w:after="0"/>
              <w:ind w:left="-107"/>
              <w:rPr>
                <w:rFonts w:ascii="Calibri" w:hAnsi="Calibri"/>
                <w:b/>
                <w:noProof/>
                <w:lang w:eastAsia="en-AU"/>
              </w:rPr>
            </w:pPr>
            <w:r w:rsidRPr="00FC3835">
              <w:rPr>
                <w:rFonts w:ascii="Calibri" w:hAnsi="Calibri"/>
                <w:b/>
                <w:noProof/>
                <w:lang w:eastAsia="en-AU"/>
              </w:rPr>
              <w:t>1000</w:t>
            </w:r>
          </w:p>
        </w:tc>
        <w:tc>
          <w:tcPr>
            <w:tcW w:w="1134" w:type="dxa"/>
            <w:shd w:val="clear" w:color="auto" w:fill="D5DCE4" w:themeFill="text2" w:themeFillTint="33"/>
          </w:tcPr>
          <w:p w:rsidR="00366FF3" w:rsidRPr="00FC3835" w:rsidRDefault="00366FF3" w:rsidP="00366FF3">
            <w:pPr>
              <w:suppressAutoHyphens/>
              <w:spacing w:before="0" w:after="0"/>
              <w:rPr>
                <w:rFonts w:ascii="Calibri" w:hAnsi="Calibri"/>
                <w:b/>
                <w:noProof/>
                <w:lang w:eastAsia="en-AU"/>
              </w:rPr>
            </w:pPr>
            <w:r w:rsidRPr="00FC3835">
              <w:rPr>
                <w:rFonts w:ascii="Calibri" w:hAnsi="Calibri"/>
                <w:b/>
                <w:noProof/>
                <w:lang w:eastAsia="en-AU"/>
              </w:rPr>
              <w:t>4177-10</w:t>
            </w:r>
          </w:p>
        </w:tc>
        <w:tc>
          <w:tcPr>
            <w:tcW w:w="2126" w:type="dxa"/>
            <w:shd w:val="clear" w:color="auto" w:fill="D5DCE4" w:themeFill="text2" w:themeFillTint="33"/>
          </w:tcPr>
          <w:p w:rsidR="00366FF3" w:rsidRPr="00FC3835" w:rsidRDefault="00366FF3" w:rsidP="004C6A7B">
            <w:pPr>
              <w:suppressAutoHyphens/>
              <w:spacing w:before="0" w:after="0"/>
              <w:ind w:left="-108"/>
              <w:rPr>
                <w:rFonts w:ascii="Calibri" w:hAnsi="Calibri"/>
                <w:b/>
                <w:noProof/>
                <w:lang w:eastAsia="en-AU"/>
              </w:rPr>
            </w:pPr>
            <w:r w:rsidRPr="00FC3835">
              <w:rPr>
                <w:rFonts w:ascii="Calibri" w:hAnsi="Calibri"/>
                <w:b/>
                <w:noProof/>
                <w:lang w:eastAsia="en-AU"/>
              </w:rPr>
              <w:t xml:space="preserve">6mm </w:t>
            </w:r>
            <w:r w:rsidR="0049759C">
              <w:rPr>
                <w:rFonts w:ascii="Calibri" w:hAnsi="Calibri"/>
                <w:b/>
                <w:noProof/>
                <w:lang w:eastAsia="en-AU"/>
              </w:rPr>
              <w:t xml:space="preserve">  </w:t>
            </w:r>
            <w:r w:rsidRPr="00FC3835">
              <w:rPr>
                <w:rFonts w:ascii="Calibri" w:hAnsi="Calibri"/>
                <w:b/>
                <w:noProof/>
                <w:lang w:eastAsia="en-AU"/>
              </w:rPr>
              <w:t xml:space="preserve"> WLL 250kg</w:t>
            </w:r>
          </w:p>
        </w:tc>
        <w:tc>
          <w:tcPr>
            <w:tcW w:w="1985" w:type="dxa"/>
            <w:shd w:val="clear" w:color="auto" w:fill="D5DCE4" w:themeFill="text2" w:themeFillTint="33"/>
          </w:tcPr>
          <w:p w:rsidR="00366FF3" w:rsidRPr="00FC3835" w:rsidRDefault="00366FF3" w:rsidP="004C6A7B">
            <w:pPr>
              <w:suppressAutoHyphens/>
              <w:spacing w:before="0" w:after="0"/>
              <w:ind w:left="-107" w:right="-109"/>
              <w:rPr>
                <w:rFonts w:ascii="Calibri" w:hAnsi="Calibri"/>
                <w:b/>
                <w:noProof/>
                <w:lang w:eastAsia="en-AU"/>
              </w:rPr>
            </w:pPr>
            <w:r w:rsidRPr="00FC3835">
              <w:rPr>
                <w:rFonts w:ascii="Calibri" w:hAnsi="Calibri"/>
                <w:b/>
                <w:noProof/>
                <w:lang w:eastAsia="en-AU"/>
              </w:rPr>
              <w:t xml:space="preserve">6mm </w:t>
            </w:r>
            <w:r w:rsidR="0049759C">
              <w:rPr>
                <w:rFonts w:ascii="Calibri" w:hAnsi="Calibri"/>
                <w:b/>
                <w:noProof/>
                <w:lang w:eastAsia="en-AU"/>
              </w:rPr>
              <w:t xml:space="preserve"> </w:t>
            </w:r>
            <w:r w:rsidRPr="00FC3835">
              <w:rPr>
                <w:rFonts w:ascii="Calibri" w:hAnsi="Calibri"/>
                <w:b/>
                <w:noProof/>
                <w:lang w:eastAsia="en-AU"/>
              </w:rPr>
              <w:t xml:space="preserve"> WLL 250kg</w:t>
            </w:r>
          </w:p>
        </w:tc>
        <w:tc>
          <w:tcPr>
            <w:tcW w:w="2126" w:type="dxa"/>
            <w:shd w:val="clear" w:color="auto" w:fill="D5DCE4" w:themeFill="text2" w:themeFillTint="33"/>
          </w:tcPr>
          <w:p w:rsidR="00366FF3" w:rsidRPr="00FC3835" w:rsidRDefault="00366FF3" w:rsidP="00FC58B8">
            <w:pPr>
              <w:suppressAutoHyphens/>
              <w:spacing w:before="0" w:after="0"/>
              <w:ind w:left="-107" w:right="-108"/>
              <w:rPr>
                <w:rFonts w:ascii="Calibri" w:hAnsi="Calibri"/>
                <w:b/>
                <w:noProof/>
                <w:lang w:eastAsia="en-AU"/>
              </w:rPr>
            </w:pPr>
            <w:r w:rsidRPr="00FC3835">
              <w:rPr>
                <w:rFonts w:ascii="Calibri" w:hAnsi="Calibri"/>
                <w:b/>
                <w:noProof/>
                <w:lang w:eastAsia="en-AU"/>
              </w:rPr>
              <w:t xml:space="preserve">5mm </w:t>
            </w:r>
            <w:r w:rsidR="0049759C">
              <w:rPr>
                <w:rFonts w:ascii="Calibri" w:hAnsi="Calibri"/>
                <w:b/>
                <w:noProof/>
                <w:lang w:eastAsia="en-AU"/>
              </w:rPr>
              <w:t xml:space="preserve">  </w:t>
            </w:r>
            <w:r w:rsidRPr="00FC3835">
              <w:rPr>
                <w:rFonts w:ascii="Calibri" w:hAnsi="Calibri"/>
                <w:b/>
                <w:noProof/>
                <w:lang w:eastAsia="en-AU"/>
              </w:rPr>
              <w:t>WLL 250kg</w:t>
            </w:r>
          </w:p>
        </w:tc>
      </w:tr>
      <w:tr w:rsidR="00366FF3" w:rsidRPr="00366FF3" w:rsidTr="00FC58B8">
        <w:tc>
          <w:tcPr>
            <w:tcW w:w="1701" w:type="dxa"/>
          </w:tcPr>
          <w:p w:rsidR="00366FF3" w:rsidRPr="00FC3835" w:rsidRDefault="00366FF3" w:rsidP="00366FF3">
            <w:pPr>
              <w:suppressAutoHyphens/>
              <w:spacing w:before="0" w:after="0"/>
              <w:ind w:left="-108" w:right="-109"/>
              <w:rPr>
                <w:rFonts w:ascii="Calibri" w:hAnsi="Calibri"/>
                <w:b/>
                <w:noProof/>
                <w:lang w:eastAsia="en-AU"/>
              </w:rPr>
            </w:pPr>
            <w:r w:rsidRPr="00FC3835">
              <w:rPr>
                <w:rFonts w:ascii="Calibri" w:hAnsi="Calibri"/>
                <w:b/>
                <w:noProof/>
                <w:lang w:eastAsia="en-AU"/>
              </w:rPr>
              <w:t>1001 to 1600Kg</w:t>
            </w:r>
          </w:p>
        </w:tc>
        <w:tc>
          <w:tcPr>
            <w:tcW w:w="1418" w:type="dxa"/>
          </w:tcPr>
          <w:p w:rsidR="00366FF3" w:rsidRPr="00FC3835" w:rsidRDefault="00366FF3" w:rsidP="00366FF3">
            <w:pPr>
              <w:suppressAutoHyphens/>
              <w:spacing w:before="0" w:after="0"/>
              <w:ind w:left="-107"/>
              <w:rPr>
                <w:rFonts w:ascii="Calibri" w:hAnsi="Calibri"/>
                <w:b/>
                <w:noProof/>
                <w:lang w:eastAsia="en-AU"/>
              </w:rPr>
            </w:pPr>
            <w:r w:rsidRPr="00FC3835">
              <w:rPr>
                <w:rFonts w:ascii="Calibri" w:hAnsi="Calibri"/>
                <w:b/>
                <w:noProof/>
                <w:lang w:eastAsia="en-AU"/>
              </w:rPr>
              <w:t>1600</w:t>
            </w:r>
          </w:p>
        </w:tc>
        <w:tc>
          <w:tcPr>
            <w:tcW w:w="1134" w:type="dxa"/>
          </w:tcPr>
          <w:p w:rsidR="00366FF3" w:rsidRPr="00FC3835" w:rsidRDefault="00366FF3" w:rsidP="00366FF3">
            <w:pPr>
              <w:suppressAutoHyphens/>
              <w:spacing w:before="0" w:after="0"/>
              <w:rPr>
                <w:rFonts w:ascii="Calibri" w:hAnsi="Calibri"/>
                <w:b/>
                <w:noProof/>
                <w:lang w:eastAsia="en-AU"/>
              </w:rPr>
            </w:pPr>
            <w:r w:rsidRPr="00FC3835">
              <w:rPr>
                <w:rFonts w:ascii="Calibri" w:hAnsi="Calibri"/>
                <w:b/>
                <w:noProof/>
                <w:lang w:eastAsia="en-AU"/>
              </w:rPr>
              <w:t>4177-16</w:t>
            </w:r>
          </w:p>
        </w:tc>
        <w:tc>
          <w:tcPr>
            <w:tcW w:w="2126" w:type="dxa"/>
          </w:tcPr>
          <w:p w:rsidR="00366FF3" w:rsidRPr="00FC3835" w:rsidRDefault="00366FF3" w:rsidP="004C6A7B">
            <w:pPr>
              <w:suppressAutoHyphens/>
              <w:spacing w:before="0" w:after="0"/>
              <w:ind w:left="-108"/>
              <w:rPr>
                <w:rFonts w:ascii="Calibri" w:hAnsi="Calibri"/>
                <w:b/>
                <w:noProof/>
                <w:lang w:eastAsia="en-AU"/>
              </w:rPr>
            </w:pPr>
            <w:r w:rsidRPr="00FC3835">
              <w:rPr>
                <w:rFonts w:ascii="Calibri" w:hAnsi="Calibri"/>
                <w:b/>
                <w:noProof/>
                <w:lang w:eastAsia="en-AU"/>
              </w:rPr>
              <w:t xml:space="preserve">10mm </w:t>
            </w:r>
            <w:r w:rsidR="0049759C">
              <w:rPr>
                <w:rFonts w:ascii="Calibri" w:hAnsi="Calibri"/>
                <w:b/>
                <w:noProof/>
                <w:lang w:eastAsia="en-AU"/>
              </w:rPr>
              <w:t xml:space="preserve"> </w:t>
            </w:r>
            <w:r w:rsidRPr="00FC3835">
              <w:rPr>
                <w:rFonts w:ascii="Calibri" w:hAnsi="Calibri"/>
                <w:b/>
                <w:noProof/>
                <w:lang w:eastAsia="en-AU"/>
              </w:rPr>
              <w:t>WLL 400kg</w:t>
            </w:r>
          </w:p>
        </w:tc>
        <w:tc>
          <w:tcPr>
            <w:tcW w:w="1985" w:type="dxa"/>
          </w:tcPr>
          <w:p w:rsidR="00366FF3" w:rsidRPr="00FC3835" w:rsidRDefault="00366FF3" w:rsidP="004C6A7B">
            <w:pPr>
              <w:suppressAutoHyphens/>
              <w:spacing w:before="0" w:after="0"/>
              <w:ind w:left="-107" w:right="-109"/>
              <w:rPr>
                <w:rFonts w:ascii="Calibri" w:hAnsi="Calibri"/>
                <w:b/>
                <w:noProof/>
                <w:lang w:eastAsia="en-AU"/>
              </w:rPr>
            </w:pPr>
            <w:r w:rsidRPr="00FC3835">
              <w:rPr>
                <w:rFonts w:ascii="Calibri" w:hAnsi="Calibri"/>
                <w:b/>
                <w:noProof/>
                <w:lang w:eastAsia="en-AU"/>
              </w:rPr>
              <w:t xml:space="preserve">6mm </w:t>
            </w:r>
            <w:r w:rsidR="0049759C">
              <w:rPr>
                <w:rFonts w:ascii="Calibri" w:hAnsi="Calibri"/>
                <w:b/>
                <w:noProof/>
                <w:lang w:eastAsia="en-AU"/>
              </w:rPr>
              <w:t xml:space="preserve"> </w:t>
            </w:r>
            <w:r w:rsidRPr="00FC3835">
              <w:rPr>
                <w:rFonts w:ascii="Calibri" w:hAnsi="Calibri"/>
                <w:b/>
                <w:noProof/>
                <w:lang w:eastAsia="en-AU"/>
              </w:rPr>
              <w:t xml:space="preserve"> WLL 400kg</w:t>
            </w:r>
          </w:p>
        </w:tc>
        <w:tc>
          <w:tcPr>
            <w:tcW w:w="2126" w:type="dxa"/>
          </w:tcPr>
          <w:p w:rsidR="00366FF3" w:rsidRPr="00FC3835" w:rsidRDefault="00366FF3" w:rsidP="00FC58B8">
            <w:pPr>
              <w:suppressAutoHyphens/>
              <w:spacing w:before="0" w:after="0"/>
              <w:ind w:left="-107" w:right="-108"/>
              <w:rPr>
                <w:rFonts w:ascii="Calibri" w:hAnsi="Calibri"/>
                <w:b/>
                <w:noProof/>
                <w:lang w:eastAsia="en-AU"/>
              </w:rPr>
            </w:pPr>
            <w:r w:rsidRPr="00FC3835">
              <w:rPr>
                <w:rFonts w:ascii="Calibri" w:hAnsi="Calibri"/>
                <w:b/>
                <w:noProof/>
                <w:lang w:eastAsia="en-AU"/>
              </w:rPr>
              <w:t>6mm</w:t>
            </w:r>
            <w:r w:rsidR="0049759C">
              <w:rPr>
                <w:rFonts w:ascii="Calibri" w:hAnsi="Calibri"/>
                <w:b/>
                <w:noProof/>
                <w:lang w:eastAsia="en-AU"/>
              </w:rPr>
              <w:t xml:space="preserve">  </w:t>
            </w:r>
            <w:r w:rsidRPr="00FC3835">
              <w:rPr>
                <w:rFonts w:ascii="Calibri" w:hAnsi="Calibri"/>
                <w:b/>
                <w:noProof/>
                <w:lang w:eastAsia="en-AU"/>
              </w:rPr>
              <w:t xml:space="preserve"> WLL 400kg</w:t>
            </w:r>
          </w:p>
        </w:tc>
      </w:tr>
      <w:tr w:rsidR="00FC58B8" w:rsidRPr="00366FF3" w:rsidTr="00FC58B8">
        <w:tc>
          <w:tcPr>
            <w:tcW w:w="1701" w:type="dxa"/>
            <w:shd w:val="clear" w:color="auto" w:fill="D5DCE4" w:themeFill="text2" w:themeFillTint="33"/>
          </w:tcPr>
          <w:p w:rsidR="00366FF3" w:rsidRPr="00FC3835" w:rsidRDefault="00366FF3" w:rsidP="00366FF3">
            <w:pPr>
              <w:suppressAutoHyphens/>
              <w:spacing w:before="0" w:after="0"/>
              <w:ind w:left="-108" w:right="-109"/>
              <w:rPr>
                <w:rFonts w:ascii="Calibri" w:hAnsi="Calibri"/>
                <w:b/>
                <w:noProof/>
                <w:lang w:eastAsia="en-AU"/>
              </w:rPr>
            </w:pPr>
            <w:r w:rsidRPr="00FC3835">
              <w:rPr>
                <w:rFonts w:ascii="Calibri" w:hAnsi="Calibri"/>
                <w:b/>
                <w:noProof/>
                <w:lang w:eastAsia="en-AU"/>
              </w:rPr>
              <w:t>1601 to 2500Kg</w:t>
            </w:r>
          </w:p>
        </w:tc>
        <w:tc>
          <w:tcPr>
            <w:tcW w:w="1418" w:type="dxa"/>
            <w:shd w:val="clear" w:color="auto" w:fill="D5DCE4" w:themeFill="text2" w:themeFillTint="33"/>
          </w:tcPr>
          <w:p w:rsidR="00366FF3" w:rsidRPr="00FC3835" w:rsidRDefault="00366FF3" w:rsidP="00366FF3">
            <w:pPr>
              <w:suppressAutoHyphens/>
              <w:spacing w:before="0" w:after="0"/>
              <w:ind w:left="-107"/>
              <w:rPr>
                <w:rFonts w:ascii="Calibri" w:hAnsi="Calibri"/>
                <w:b/>
                <w:noProof/>
                <w:lang w:eastAsia="en-AU"/>
              </w:rPr>
            </w:pPr>
            <w:r w:rsidRPr="00FC3835">
              <w:rPr>
                <w:rFonts w:ascii="Calibri" w:hAnsi="Calibri"/>
                <w:b/>
                <w:noProof/>
                <w:lang w:eastAsia="en-AU"/>
              </w:rPr>
              <w:t>2500</w:t>
            </w:r>
          </w:p>
        </w:tc>
        <w:tc>
          <w:tcPr>
            <w:tcW w:w="1134" w:type="dxa"/>
            <w:shd w:val="clear" w:color="auto" w:fill="D5DCE4" w:themeFill="text2" w:themeFillTint="33"/>
          </w:tcPr>
          <w:p w:rsidR="00366FF3" w:rsidRPr="00FC3835" w:rsidRDefault="00366FF3" w:rsidP="00366FF3">
            <w:pPr>
              <w:suppressAutoHyphens/>
              <w:spacing w:before="0" w:after="0"/>
              <w:rPr>
                <w:rFonts w:ascii="Calibri" w:hAnsi="Calibri"/>
                <w:b/>
                <w:noProof/>
                <w:lang w:eastAsia="en-AU"/>
              </w:rPr>
            </w:pPr>
            <w:r w:rsidRPr="00FC3835">
              <w:rPr>
                <w:rFonts w:ascii="Calibri" w:hAnsi="Calibri"/>
                <w:b/>
                <w:noProof/>
                <w:lang w:eastAsia="en-AU"/>
              </w:rPr>
              <w:t>4177-25</w:t>
            </w:r>
          </w:p>
        </w:tc>
        <w:tc>
          <w:tcPr>
            <w:tcW w:w="2126" w:type="dxa"/>
            <w:shd w:val="clear" w:color="auto" w:fill="D5DCE4" w:themeFill="text2" w:themeFillTint="33"/>
          </w:tcPr>
          <w:p w:rsidR="00366FF3" w:rsidRPr="00FC3835" w:rsidRDefault="00366FF3" w:rsidP="004C6A7B">
            <w:pPr>
              <w:suppressAutoHyphens/>
              <w:spacing w:before="0" w:after="0"/>
              <w:ind w:left="-108"/>
              <w:rPr>
                <w:rFonts w:ascii="Calibri" w:hAnsi="Calibri"/>
                <w:b/>
                <w:noProof/>
                <w:lang w:eastAsia="en-AU"/>
              </w:rPr>
            </w:pPr>
            <w:r w:rsidRPr="00FC3835">
              <w:rPr>
                <w:rFonts w:ascii="Calibri" w:hAnsi="Calibri"/>
                <w:b/>
                <w:noProof/>
                <w:lang w:eastAsia="en-AU"/>
              </w:rPr>
              <w:t>13mm  WLL 625kg</w:t>
            </w:r>
          </w:p>
        </w:tc>
        <w:tc>
          <w:tcPr>
            <w:tcW w:w="1985" w:type="dxa"/>
            <w:shd w:val="clear" w:color="auto" w:fill="D5DCE4" w:themeFill="text2" w:themeFillTint="33"/>
          </w:tcPr>
          <w:p w:rsidR="00366FF3" w:rsidRPr="00FC3835" w:rsidRDefault="00366FF3" w:rsidP="004C6A7B">
            <w:pPr>
              <w:suppressAutoHyphens/>
              <w:spacing w:before="0" w:after="0"/>
              <w:ind w:left="-107" w:right="-109"/>
              <w:rPr>
                <w:rFonts w:ascii="Calibri" w:hAnsi="Calibri"/>
                <w:b/>
                <w:noProof/>
                <w:lang w:eastAsia="en-AU"/>
              </w:rPr>
            </w:pPr>
            <w:r w:rsidRPr="00FC3835">
              <w:rPr>
                <w:rFonts w:ascii="Calibri" w:hAnsi="Calibri"/>
                <w:b/>
                <w:noProof/>
                <w:lang w:eastAsia="en-AU"/>
              </w:rPr>
              <w:t xml:space="preserve">8mm  </w:t>
            </w:r>
            <w:r w:rsidR="0049759C">
              <w:rPr>
                <w:rFonts w:ascii="Calibri" w:hAnsi="Calibri"/>
                <w:b/>
                <w:noProof/>
                <w:lang w:eastAsia="en-AU"/>
              </w:rPr>
              <w:t xml:space="preserve"> </w:t>
            </w:r>
            <w:r w:rsidRPr="00FC3835">
              <w:rPr>
                <w:rFonts w:ascii="Calibri" w:hAnsi="Calibri"/>
                <w:b/>
                <w:noProof/>
                <w:lang w:eastAsia="en-AU"/>
              </w:rPr>
              <w:t>WLL 625kg</w:t>
            </w:r>
          </w:p>
        </w:tc>
        <w:tc>
          <w:tcPr>
            <w:tcW w:w="2126" w:type="dxa"/>
            <w:shd w:val="clear" w:color="auto" w:fill="D5DCE4" w:themeFill="text2" w:themeFillTint="33"/>
          </w:tcPr>
          <w:p w:rsidR="00366FF3" w:rsidRPr="00FC3835" w:rsidRDefault="00366FF3" w:rsidP="00FC58B8">
            <w:pPr>
              <w:suppressAutoHyphens/>
              <w:spacing w:before="0" w:after="0"/>
              <w:ind w:left="-107" w:right="-108"/>
              <w:rPr>
                <w:rFonts w:ascii="Calibri" w:hAnsi="Calibri"/>
                <w:b/>
                <w:noProof/>
                <w:lang w:eastAsia="en-AU"/>
              </w:rPr>
            </w:pPr>
            <w:r w:rsidRPr="00FC3835">
              <w:rPr>
                <w:rFonts w:ascii="Calibri" w:hAnsi="Calibri"/>
                <w:b/>
                <w:noProof/>
                <w:lang w:eastAsia="en-AU"/>
              </w:rPr>
              <w:t xml:space="preserve">8mm  </w:t>
            </w:r>
            <w:r w:rsidR="0049759C">
              <w:rPr>
                <w:rFonts w:ascii="Calibri" w:hAnsi="Calibri"/>
                <w:b/>
                <w:noProof/>
                <w:lang w:eastAsia="en-AU"/>
              </w:rPr>
              <w:t xml:space="preserve"> </w:t>
            </w:r>
            <w:bookmarkStart w:id="0" w:name="_GoBack"/>
            <w:bookmarkEnd w:id="0"/>
            <w:r w:rsidRPr="00FC3835">
              <w:rPr>
                <w:rFonts w:ascii="Calibri" w:hAnsi="Calibri"/>
                <w:b/>
                <w:noProof/>
                <w:lang w:eastAsia="en-AU"/>
              </w:rPr>
              <w:t>WLL 625kg</w:t>
            </w:r>
          </w:p>
        </w:tc>
      </w:tr>
      <w:tr w:rsidR="00366FF3" w:rsidRPr="00366FF3" w:rsidTr="00FC58B8">
        <w:tc>
          <w:tcPr>
            <w:tcW w:w="1701" w:type="dxa"/>
          </w:tcPr>
          <w:p w:rsidR="00366FF3" w:rsidRPr="00FC3835" w:rsidRDefault="00366FF3" w:rsidP="00366FF3">
            <w:pPr>
              <w:suppressAutoHyphens/>
              <w:spacing w:before="0" w:after="0"/>
              <w:ind w:left="-108" w:right="-109"/>
              <w:rPr>
                <w:rFonts w:ascii="Calibri" w:hAnsi="Calibri"/>
                <w:b/>
                <w:noProof/>
                <w:lang w:eastAsia="en-AU"/>
              </w:rPr>
            </w:pPr>
            <w:r w:rsidRPr="00FC3835">
              <w:rPr>
                <w:rFonts w:ascii="Calibri" w:hAnsi="Calibri"/>
                <w:b/>
                <w:noProof/>
                <w:lang w:eastAsia="en-AU"/>
              </w:rPr>
              <w:t>2501 to 3500Kg</w:t>
            </w:r>
          </w:p>
        </w:tc>
        <w:tc>
          <w:tcPr>
            <w:tcW w:w="1418" w:type="dxa"/>
          </w:tcPr>
          <w:p w:rsidR="00366FF3" w:rsidRPr="00FC3835" w:rsidRDefault="00366FF3" w:rsidP="00366FF3">
            <w:pPr>
              <w:suppressAutoHyphens/>
              <w:spacing w:before="0" w:after="0"/>
              <w:ind w:left="-107"/>
              <w:rPr>
                <w:rFonts w:ascii="Calibri" w:hAnsi="Calibri"/>
                <w:b/>
                <w:noProof/>
                <w:lang w:eastAsia="en-AU"/>
              </w:rPr>
            </w:pPr>
            <w:r w:rsidRPr="00FC3835">
              <w:rPr>
                <w:rFonts w:ascii="Calibri" w:hAnsi="Calibri"/>
                <w:b/>
                <w:noProof/>
                <w:lang w:eastAsia="en-AU"/>
              </w:rPr>
              <w:t>3500</w:t>
            </w:r>
          </w:p>
        </w:tc>
        <w:tc>
          <w:tcPr>
            <w:tcW w:w="1134" w:type="dxa"/>
          </w:tcPr>
          <w:p w:rsidR="00366FF3" w:rsidRPr="00FC3835" w:rsidRDefault="00366FF3" w:rsidP="00366FF3">
            <w:pPr>
              <w:suppressAutoHyphens/>
              <w:spacing w:before="0" w:after="0"/>
              <w:rPr>
                <w:rFonts w:ascii="Calibri" w:hAnsi="Calibri"/>
                <w:b/>
                <w:noProof/>
                <w:lang w:eastAsia="en-AU"/>
              </w:rPr>
            </w:pPr>
            <w:r w:rsidRPr="00FC3835">
              <w:rPr>
                <w:rFonts w:ascii="Calibri" w:hAnsi="Calibri"/>
                <w:b/>
                <w:noProof/>
                <w:lang w:eastAsia="en-AU"/>
              </w:rPr>
              <w:t>4177-35</w:t>
            </w:r>
          </w:p>
        </w:tc>
        <w:tc>
          <w:tcPr>
            <w:tcW w:w="2126" w:type="dxa"/>
          </w:tcPr>
          <w:p w:rsidR="00366FF3" w:rsidRPr="00FC3835" w:rsidRDefault="00366FF3" w:rsidP="004C6A7B">
            <w:pPr>
              <w:suppressAutoHyphens/>
              <w:spacing w:before="0" w:after="0"/>
              <w:ind w:left="-108"/>
              <w:rPr>
                <w:rFonts w:ascii="Calibri" w:hAnsi="Calibri"/>
                <w:b/>
                <w:noProof/>
                <w:lang w:eastAsia="en-AU"/>
              </w:rPr>
            </w:pPr>
            <w:r w:rsidRPr="00FC3835">
              <w:rPr>
                <w:rFonts w:ascii="Calibri" w:hAnsi="Calibri"/>
                <w:b/>
                <w:noProof/>
                <w:lang w:eastAsia="en-AU"/>
              </w:rPr>
              <w:t>16mm  WLL 875kg</w:t>
            </w:r>
          </w:p>
        </w:tc>
        <w:tc>
          <w:tcPr>
            <w:tcW w:w="1985" w:type="dxa"/>
          </w:tcPr>
          <w:p w:rsidR="00366FF3" w:rsidRPr="00FC3835" w:rsidRDefault="00366FF3" w:rsidP="004C6A7B">
            <w:pPr>
              <w:suppressAutoHyphens/>
              <w:spacing w:before="0" w:after="0"/>
              <w:ind w:left="-107" w:right="-109"/>
              <w:rPr>
                <w:rFonts w:ascii="Calibri" w:hAnsi="Calibri"/>
                <w:b/>
                <w:noProof/>
                <w:lang w:eastAsia="en-AU"/>
              </w:rPr>
            </w:pPr>
            <w:r w:rsidRPr="00FC3835">
              <w:rPr>
                <w:rFonts w:ascii="Calibri" w:hAnsi="Calibri"/>
                <w:b/>
                <w:noProof/>
                <w:lang w:eastAsia="en-AU"/>
              </w:rPr>
              <w:t>10mm</w:t>
            </w:r>
            <w:r w:rsidR="0049759C">
              <w:rPr>
                <w:rFonts w:ascii="Calibri" w:hAnsi="Calibri"/>
                <w:b/>
                <w:noProof/>
                <w:lang w:eastAsia="en-AU"/>
              </w:rPr>
              <w:t xml:space="preserve">  </w:t>
            </w:r>
            <w:r w:rsidRPr="00FC3835">
              <w:rPr>
                <w:rFonts w:ascii="Calibri" w:hAnsi="Calibri"/>
                <w:b/>
                <w:noProof/>
                <w:lang w:eastAsia="en-AU"/>
              </w:rPr>
              <w:t>WLL 875kg</w:t>
            </w:r>
          </w:p>
        </w:tc>
        <w:tc>
          <w:tcPr>
            <w:tcW w:w="2126" w:type="dxa"/>
          </w:tcPr>
          <w:p w:rsidR="00366FF3" w:rsidRPr="00FC3835" w:rsidRDefault="00366FF3" w:rsidP="00FC58B8">
            <w:pPr>
              <w:suppressAutoHyphens/>
              <w:spacing w:before="0" w:after="0"/>
              <w:ind w:left="-107" w:right="-108"/>
              <w:rPr>
                <w:rFonts w:ascii="Calibri" w:hAnsi="Calibri"/>
                <w:b/>
                <w:noProof/>
                <w:lang w:eastAsia="en-AU"/>
              </w:rPr>
            </w:pPr>
            <w:r w:rsidRPr="00FC3835">
              <w:rPr>
                <w:rFonts w:ascii="Calibri" w:hAnsi="Calibri"/>
                <w:b/>
                <w:noProof/>
                <w:lang w:eastAsia="en-AU"/>
              </w:rPr>
              <w:t xml:space="preserve">10mm </w:t>
            </w:r>
            <w:r w:rsidR="0049759C">
              <w:rPr>
                <w:rFonts w:ascii="Calibri" w:hAnsi="Calibri"/>
                <w:b/>
                <w:noProof/>
                <w:lang w:eastAsia="en-AU"/>
              </w:rPr>
              <w:t xml:space="preserve"> </w:t>
            </w:r>
            <w:r w:rsidRPr="00FC3835">
              <w:rPr>
                <w:rFonts w:ascii="Calibri" w:hAnsi="Calibri"/>
                <w:b/>
                <w:noProof/>
                <w:lang w:eastAsia="en-AU"/>
              </w:rPr>
              <w:t>WLL 875kg</w:t>
            </w:r>
          </w:p>
        </w:tc>
      </w:tr>
    </w:tbl>
    <w:p w:rsidR="00366FF3" w:rsidRPr="00366FF3" w:rsidRDefault="00366FF3" w:rsidP="00366FF3">
      <w:pPr>
        <w:suppressAutoHyphens/>
        <w:spacing w:before="0" w:after="0"/>
        <w:rPr>
          <w:noProof/>
          <w:lang w:eastAsia="en-AU"/>
        </w:rPr>
      </w:pPr>
    </w:p>
    <w:p w:rsidR="00366FF3" w:rsidRPr="00366FF3" w:rsidRDefault="00366FF3" w:rsidP="00366FF3">
      <w:pPr>
        <w:suppressAutoHyphens/>
        <w:spacing w:before="0" w:after="0"/>
        <w:rPr>
          <w:noProof/>
          <w:lang w:eastAsia="en-AU"/>
        </w:rPr>
      </w:pPr>
      <w:r w:rsidRPr="00366FF3">
        <w:rPr>
          <w:noProof/>
          <w:lang w:eastAsia="en-AU"/>
        </w:rPr>
        <w:t>b) Alternatively the use of a shackle that is compatible with the safety chain</w:t>
      </w:r>
      <w:r w:rsidRPr="00366FF3">
        <w:rPr>
          <w:b/>
          <w:noProof/>
          <w:lang w:eastAsia="en-AU"/>
        </w:rPr>
        <w:t xml:space="preserve"> </w:t>
      </w:r>
      <w:r w:rsidRPr="00366FF3">
        <w:rPr>
          <w:noProof/>
          <w:lang w:eastAsia="en-AU"/>
        </w:rPr>
        <w:t>and</w:t>
      </w:r>
      <w:r w:rsidRPr="00366FF3">
        <w:rPr>
          <w:b/>
          <w:noProof/>
          <w:lang w:eastAsia="en-AU"/>
        </w:rPr>
        <w:t xml:space="preserve"> </w:t>
      </w:r>
      <w:r w:rsidRPr="00366FF3">
        <w:rPr>
          <w:noProof/>
          <w:lang w:eastAsia="en-AU"/>
        </w:rPr>
        <w:t xml:space="preserve">is of a reputable brand. In this case the shackle will have appropriate markings to show the brand and or part identification sufficient to trace its brand and strength back to the original manufacturer. </w:t>
      </w:r>
    </w:p>
    <w:p w:rsidR="00366FF3" w:rsidRPr="00366FF3" w:rsidRDefault="00366FF3" w:rsidP="00366FF3">
      <w:pPr>
        <w:suppressAutoHyphens/>
        <w:spacing w:before="0" w:after="0"/>
        <w:rPr>
          <w:noProof/>
          <w:lang w:eastAsia="en-AU"/>
        </w:rPr>
      </w:pPr>
      <w:r w:rsidRPr="00366FF3">
        <w:rPr>
          <w:noProof/>
          <w:lang w:eastAsia="en-AU"/>
        </w:rPr>
        <w:t xml:space="preserve">The original document produced by the Australian Government and further information can be found here: </w:t>
      </w:r>
      <w:hyperlink r:id="rId10" w:history="1">
        <w:r w:rsidRPr="00366FF3">
          <w:rPr>
            <w:rStyle w:val="Hyperlink"/>
            <w:noProof/>
            <w:lang w:eastAsia="en-AU"/>
          </w:rPr>
          <w:t>https://infrastructure.gov.au/vehicles/administrators_circulars/index.aspx</w:t>
        </w:r>
      </w:hyperlink>
    </w:p>
    <w:p w:rsidR="0019756F" w:rsidRDefault="0019756F" w:rsidP="00A709D6">
      <w:pPr>
        <w:suppressAutoHyphens/>
        <w:spacing w:before="0" w:after="0"/>
        <w:rPr>
          <w:lang w:val="en-GB"/>
        </w:rPr>
      </w:pPr>
    </w:p>
    <w:p w:rsidR="0019756F" w:rsidRDefault="0019756F" w:rsidP="00A709D6">
      <w:pPr>
        <w:pStyle w:val="Heading2"/>
        <w:spacing w:before="120" w:after="60" w:line="240" w:lineRule="auto"/>
        <w:rPr>
          <w:lang w:val="en-GB"/>
        </w:rPr>
      </w:pPr>
      <w:r>
        <w:rPr>
          <w:lang w:val="en-GB"/>
        </w:rPr>
        <w:t>Web Links;</w:t>
      </w:r>
    </w:p>
    <w:p w:rsidR="0019756F" w:rsidRDefault="0019756F" w:rsidP="0019756F">
      <w:pPr>
        <w:spacing w:before="120"/>
        <w:rPr>
          <w:rFonts w:ascii="Gill Sans MT" w:hAnsi="Gill Sans MT"/>
          <w:lang w:val="en-GB"/>
        </w:rPr>
      </w:pPr>
      <w:r>
        <w:rPr>
          <w:rFonts w:ascii="Gill Sans MT" w:hAnsi="Gill Sans MT"/>
          <w:lang w:val="en-GB"/>
        </w:rPr>
        <w:t xml:space="preserve">AVC’s can be located at the following link; </w:t>
      </w:r>
      <w:hyperlink r:id="rId11" w:history="1">
        <w:r w:rsidRPr="003E41AE">
          <w:rPr>
            <w:rStyle w:val="Hyperlink"/>
            <w:rFonts w:ascii="Gill Sans MT" w:hAnsi="Gill Sans MT"/>
            <w:lang w:val="en-GB"/>
          </w:rPr>
          <w:t>http://www.transport.tas.gov.au/vehicles/vehicle_inspections</w:t>
        </w:r>
      </w:hyperlink>
      <w:r>
        <w:rPr>
          <w:rFonts w:ascii="Gill Sans MT" w:hAnsi="Gill Sans MT"/>
          <w:lang w:val="en-GB"/>
        </w:rPr>
        <w:t xml:space="preserve"> </w:t>
      </w:r>
    </w:p>
    <w:p w:rsidR="0019756F" w:rsidRDefault="0019756F" w:rsidP="0019756F">
      <w:pPr>
        <w:spacing w:before="120"/>
        <w:rPr>
          <w:rFonts w:ascii="Gill Sans MT" w:hAnsi="Gill Sans MT"/>
          <w:lang w:val="en-GB"/>
        </w:rPr>
      </w:pPr>
      <w:r>
        <w:rPr>
          <w:rFonts w:ascii="Gill Sans MT" w:hAnsi="Gill Sans MT"/>
          <w:lang w:val="en-GB"/>
        </w:rPr>
        <w:t xml:space="preserve">The </w:t>
      </w:r>
      <w:hyperlink r:id="rId12" w:history="1">
        <w:r w:rsidRPr="0032795F">
          <w:rPr>
            <w:rStyle w:val="Hyperlink"/>
            <w:rFonts w:ascii="Gill Sans MT" w:hAnsi="Gill Sans MT"/>
            <w:lang w:val="en-GB"/>
          </w:rPr>
          <w:t>Australian Standards</w:t>
        </w:r>
      </w:hyperlink>
      <w:r>
        <w:rPr>
          <w:rFonts w:ascii="Gill Sans MT" w:hAnsi="Gill Sans MT"/>
          <w:lang w:val="en-GB"/>
        </w:rPr>
        <w:t xml:space="preserve"> can be purchased from;</w:t>
      </w:r>
      <w:r w:rsidRPr="004D13CF">
        <w:t xml:space="preserve"> </w:t>
      </w:r>
      <w:hyperlink r:id="rId13" w:history="1">
        <w:r w:rsidRPr="005B7B13">
          <w:rPr>
            <w:rStyle w:val="Hyperlink"/>
            <w:rFonts w:ascii="Gill Sans MT" w:hAnsi="Gill Sans MT"/>
            <w:lang w:val="en-GB"/>
          </w:rPr>
          <w:t>infostore.saiglobal.com/</w:t>
        </w:r>
      </w:hyperlink>
      <w:r>
        <w:rPr>
          <w:rFonts w:ascii="Gill Sans MT" w:hAnsi="Gill Sans MT"/>
          <w:lang w:val="en-GB"/>
        </w:rPr>
        <w:t xml:space="preserve"> </w:t>
      </w:r>
    </w:p>
    <w:p w:rsidR="0019756F" w:rsidRDefault="0019756F" w:rsidP="0019756F">
      <w:pPr>
        <w:autoSpaceDE w:val="0"/>
        <w:autoSpaceDN w:val="0"/>
        <w:adjustRightInd w:val="0"/>
        <w:spacing w:before="120"/>
        <w:rPr>
          <w:rFonts w:ascii="Gill Sans MT" w:hAnsi="Gill Sans MT" w:cs="Arial"/>
        </w:rPr>
      </w:pPr>
      <w:r w:rsidRPr="00B423E3">
        <w:rPr>
          <w:rFonts w:ascii="Gill Sans MT" w:hAnsi="Gill Sans MT" w:cs="Arial"/>
        </w:rPr>
        <w:t xml:space="preserve">The </w:t>
      </w:r>
      <w:hyperlink r:id="rId14" w:history="1">
        <w:r w:rsidRPr="0032795F">
          <w:rPr>
            <w:rStyle w:val="Hyperlink"/>
            <w:rFonts w:ascii="Gill Sans MT" w:hAnsi="Gill Sans MT" w:cs="Arial"/>
          </w:rPr>
          <w:t>ADRs</w:t>
        </w:r>
      </w:hyperlink>
      <w:r w:rsidRPr="00B423E3">
        <w:rPr>
          <w:rFonts w:ascii="Gill Sans MT" w:hAnsi="Gill Sans MT" w:cs="Arial"/>
        </w:rPr>
        <w:t xml:space="preserve"> can be</w:t>
      </w:r>
      <w:r>
        <w:rPr>
          <w:rFonts w:ascii="Gill Sans MT" w:hAnsi="Gill Sans MT" w:cs="Arial"/>
        </w:rPr>
        <w:t xml:space="preserve"> accessed at the following; </w:t>
      </w:r>
      <w:hyperlink r:id="rId15" w:history="1">
        <w:r w:rsidRPr="005B7B13">
          <w:rPr>
            <w:rStyle w:val="Hyperlink"/>
            <w:rFonts w:ascii="Gill Sans MT" w:hAnsi="Gill Sans MT" w:cs="Arial"/>
          </w:rPr>
          <w:t>www.infrastructure.gov.au/roads/motor/design/adr_online.aspx</w:t>
        </w:r>
      </w:hyperlink>
    </w:p>
    <w:p w:rsidR="00A709D6" w:rsidRDefault="00A709D6" w:rsidP="0019756F">
      <w:pPr>
        <w:spacing w:before="120" w:line="280" w:lineRule="exact"/>
        <w:rPr>
          <w:b/>
        </w:rPr>
        <w:sectPr w:rsidR="00A709D6" w:rsidSect="00B4186E">
          <w:headerReference w:type="default" r:id="rId16"/>
          <w:footerReference w:type="default" r:id="rId17"/>
          <w:type w:val="continuous"/>
          <w:pgSz w:w="11906" w:h="16838" w:code="9"/>
          <w:pgMar w:top="1418" w:right="851" w:bottom="1134" w:left="851" w:header="709" w:footer="1928" w:gutter="0"/>
          <w:pgNumType w:start="1"/>
          <w:cols w:space="708"/>
          <w:docGrid w:linePitch="360"/>
        </w:sectPr>
      </w:pPr>
    </w:p>
    <w:p w:rsidR="00C63FFE" w:rsidRDefault="0019756F" w:rsidP="00FC3835">
      <w:pPr>
        <w:spacing w:after="0"/>
      </w:pPr>
      <w:r w:rsidRPr="0019756F">
        <w:rPr>
          <w:b/>
        </w:rPr>
        <w:t>For more information contact</w:t>
      </w:r>
      <w:proofErr w:type="gramStart"/>
      <w:r w:rsidRPr="0019756F">
        <w:rPr>
          <w:b/>
        </w:rPr>
        <w:t>:</w:t>
      </w:r>
      <w:proofErr w:type="gramEnd"/>
      <w:r w:rsidRPr="0019756F">
        <w:br/>
        <w:t xml:space="preserve">Department of State Growth </w:t>
      </w:r>
      <w:r w:rsidRPr="0019756F">
        <w:br/>
        <w:t>Vehicle Registration and Standards</w:t>
      </w:r>
      <w:r w:rsidRPr="0019756F">
        <w:br/>
        <w:t>GPO Box 536</w:t>
      </w:r>
      <w:r w:rsidRPr="0019756F">
        <w:br/>
        <w:t>Hobart TAS 7001</w:t>
      </w:r>
    </w:p>
    <w:p w:rsidR="00C63FFE" w:rsidRPr="0019756F" w:rsidRDefault="00C63FFE" w:rsidP="00FC3835">
      <w:pPr>
        <w:spacing w:before="0"/>
      </w:pPr>
      <w:r w:rsidRPr="0019756F">
        <w:t>Phone: (03) 03 6166 3263</w:t>
      </w:r>
      <w:r w:rsidRPr="0019756F">
        <w:br/>
        <w:t xml:space="preserve">Email: </w:t>
      </w:r>
      <w:hyperlink r:id="rId18" w:history="1">
        <w:r w:rsidRPr="0019756F">
          <w:rPr>
            <w:color w:val="0563C1" w:themeColor="hyperlink"/>
            <w:u w:val="single"/>
          </w:rPr>
          <w:t>vehicle.standards@stategrowth.tas.gov.au</w:t>
        </w:r>
      </w:hyperlink>
      <w:r w:rsidRPr="0019756F">
        <w:br/>
        <w:t xml:space="preserve">Web: </w:t>
      </w:r>
      <w:hyperlink r:id="rId19" w:history="1">
        <w:r w:rsidRPr="0019756F">
          <w:rPr>
            <w:color w:val="0563C1" w:themeColor="hyperlink"/>
            <w:u w:val="single"/>
          </w:rPr>
          <w:t>www.transport.tas.gov.au</w:t>
        </w:r>
      </w:hyperlink>
    </w:p>
    <w:sectPr w:rsidR="00C63FFE" w:rsidRPr="0019756F" w:rsidSect="00965C18">
      <w:type w:val="continuous"/>
      <w:pgSz w:w="11906" w:h="16838" w:code="9"/>
      <w:pgMar w:top="1418" w:right="851" w:bottom="1134" w:left="851" w:header="709" w:footer="1976"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0C0" w:rsidRDefault="00B620C0">
      <w:pPr>
        <w:spacing w:before="0" w:after="0"/>
      </w:pPr>
      <w:r>
        <w:separator/>
      </w:r>
    </w:p>
  </w:endnote>
  <w:endnote w:type="continuationSeparator" w:id="0">
    <w:p w:rsidR="00B620C0" w:rsidRDefault="00B620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Times New Roman"/>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36" w:rsidRDefault="007F0167">
    <w:pPr>
      <w:pStyle w:val="Footer"/>
    </w:pPr>
    <w:r>
      <w:rPr>
        <w:noProof/>
        <w:lang w:eastAsia="en-AU"/>
      </w:rPr>
      <w:drawing>
        <wp:anchor distT="0" distB="0" distL="114300" distR="114300" simplePos="0" relativeHeight="251663360" behindDoc="1" locked="0" layoutInCell="1" allowOverlap="1" wp14:anchorId="59207B5B" wp14:editId="4E293410">
          <wp:simplePos x="0" y="0"/>
          <wp:positionH relativeFrom="page">
            <wp:posOffset>0</wp:posOffset>
          </wp:positionH>
          <wp:positionV relativeFrom="paragraph">
            <wp:posOffset>104775</wp:posOffset>
          </wp:positionV>
          <wp:extent cx="7539990" cy="1526540"/>
          <wp:effectExtent l="0" t="0" r="3810" b="0"/>
          <wp:wrapNone/>
          <wp:docPr id="11" name="Picture 11" descr="\\W2K12FILE1\Group\Corp Services\Corporate Communication\Graphic design\Logos and logo guidelines\Logos\TAS GOV\Basewave\DSG Base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2K12FILE1\Group\Corp Services\Corporate Communication\Graphic design\Logos and logo guidelines\Logos\TAS GOV\Basewave\DSG Basewav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9990"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0C0" w:rsidRDefault="00B620C0">
      <w:pPr>
        <w:spacing w:before="0" w:after="0"/>
      </w:pPr>
      <w:r>
        <w:separator/>
      </w:r>
    </w:p>
  </w:footnote>
  <w:footnote w:type="continuationSeparator" w:id="0">
    <w:p w:rsidR="00B620C0" w:rsidRDefault="00B620C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F2E" w:rsidRPr="007F0167" w:rsidRDefault="00741508" w:rsidP="007F0167">
    <w:pPr>
      <w:pStyle w:val="Header"/>
    </w:pPr>
    <w:r>
      <w:rPr>
        <w:rFonts w:ascii="Times New Roman" w:hAnsi="Times New Roman" w:cs="Times New Roman"/>
        <w:noProof/>
        <w:color w:val="auto"/>
        <w:sz w:val="24"/>
        <w:szCs w:val="24"/>
        <w:lang w:eastAsia="en-AU"/>
      </w:rPr>
      <mc:AlternateContent>
        <mc:Choice Requires="wps">
          <w:drawing>
            <wp:anchor distT="0" distB="0" distL="114300" distR="114300" simplePos="0" relativeHeight="251659264" behindDoc="0" locked="0" layoutInCell="1" allowOverlap="1" wp14:anchorId="67EE38BB" wp14:editId="390339A6">
              <wp:simplePos x="0" y="0"/>
              <wp:positionH relativeFrom="margin">
                <wp:posOffset>69215</wp:posOffset>
              </wp:positionH>
              <wp:positionV relativeFrom="paragraph">
                <wp:posOffset>-212090</wp:posOffset>
              </wp:positionV>
              <wp:extent cx="1584960" cy="6286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4960" cy="628650"/>
                      </a:xfrm>
                      <a:prstGeom prst="rect">
                        <a:avLst/>
                      </a:prstGeom>
                      <a:noFill/>
                      <a:ln w="6350">
                        <a:noFill/>
                      </a:ln>
                      <a:effectLst/>
                    </wps:spPr>
                    <wps:txbx>
                      <w:txbxContent>
                        <w:p w:rsidR="007F0167" w:rsidRDefault="007F0167" w:rsidP="007F0167">
                          <w:pPr>
                            <w:pStyle w:val="Subtitle"/>
                          </w:pPr>
                          <w:r>
                            <w:t xml:space="preserve">Information sheet, </w:t>
                          </w:r>
                          <w:r>
                            <w:br/>
                          </w:r>
                          <w:r w:rsidR="00C80D03">
                            <w:t>V</w:t>
                          </w:r>
                          <w:r w:rsidR="000B6DC6">
                            <w:t>2</w:t>
                          </w:r>
                          <w:r w:rsidR="00C80D03">
                            <w:t xml:space="preserve"> </w:t>
                          </w:r>
                          <w:r w:rsidR="000B6DC6">
                            <w:t>August</w:t>
                          </w:r>
                          <w:r w:rsidR="007E5A43">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E38BB" id="_x0000_t202" coordsize="21600,21600" o:spt="202" path="m,l,21600r21600,l21600,xe">
              <v:stroke joinstyle="miter"/>
              <v:path gradientshapeok="t" o:connecttype="rect"/>
            </v:shapetype>
            <v:shape id="Text Box 6" o:spid="_x0000_s1026" type="#_x0000_t202" style="position:absolute;margin-left:5.45pt;margin-top:-16.7pt;width:124.8pt;height: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" filled="f" stroked="f" strokeweight=".5pt">
              <v:path arrowok="t"/>
              <v:textbox>
                <w:txbxContent>
                  <w:p w:rsidR="007F0167" w:rsidRDefault="007F0167" w:rsidP="007F0167">
                    <w:pPr>
                      <w:pStyle w:val="Subtitle"/>
                    </w:pPr>
                    <w:r>
                      <w:t xml:space="preserve">Information sheet, </w:t>
                    </w:r>
                    <w:r>
                      <w:br/>
                    </w:r>
                    <w:r w:rsidR="00C80D03">
                      <w:t>V</w:t>
                    </w:r>
                    <w:r w:rsidR="000B6DC6">
                      <w:t>2</w:t>
                    </w:r>
                    <w:r w:rsidR="00C80D03">
                      <w:t xml:space="preserve"> </w:t>
                    </w:r>
                    <w:r w:rsidR="000B6DC6">
                      <w:t>August</w:t>
                    </w:r>
                    <w:r w:rsidR="007E5A43">
                      <w:t xml:space="preserve"> 2017</w:t>
                    </w:r>
                  </w:p>
                </w:txbxContent>
              </v:textbox>
              <w10:wrap anchorx="margin"/>
            </v:shape>
          </w:pict>
        </mc:Fallback>
      </mc:AlternateContent>
    </w:r>
    <w:r w:rsidR="0019756F">
      <w:rPr>
        <w:rFonts w:ascii="Times New Roman" w:hAnsi="Times New Roman" w:cs="Times New Roman"/>
        <w:noProof/>
        <w:color w:val="auto"/>
        <w:sz w:val="24"/>
        <w:szCs w:val="24"/>
        <w:lang w:eastAsia="en-AU"/>
      </w:rPr>
      <mc:AlternateContent>
        <mc:Choice Requires="wps">
          <w:drawing>
            <wp:anchor distT="0" distB="0" distL="114300" distR="114300" simplePos="0" relativeHeight="251661312" behindDoc="0" locked="0" layoutInCell="1" allowOverlap="1" wp14:anchorId="309A8939" wp14:editId="338F1F0F">
              <wp:simplePos x="0" y="0"/>
              <wp:positionH relativeFrom="page">
                <wp:posOffset>3131820</wp:posOffset>
              </wp:positionH>
              <wp:positionV relativeFrom="paragraph">
                <wp:posOffset>-396875</wp:posOffset>
              </wp:positionV>
              <wp:extent cx="4312920" cy="883920"/>
              <wp:effectExtent l="0" t="0" r="1143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883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F0167" w:rsidRPr="00BA0E62" w:rsidRDefault="00F03F07" w:rsidP="007F0167">
                          <w:pPr>
                            <w:pStyle w:val="Title"/>
                            <w:jc w:val="both"/>
                            <w:rPr>
                              <w:sz w:val="72"/>
                              <w:szCs w:val="72"/>
                            </w:rPr>
                          </w:pPr>
                          <w:r>
                            <w:rPr>
                              <w:sz w:val="72"/>
                              <w:szCs w:val="72"/>
                            </w:rPr>
                            <w:t xml:space="preserve">     </w:t>
                          </w:r>
                          <w:r w:rsidR="0019756F" w:rsidRPr="00F03F07">
                            <w:rPr>
                              <w:color w:val="222A35" w:themeColor="text2" w:themeShade="80"/>
                              <w:sz w:val="72"/>
                              <w:szCs w:val="72"/>
                            </w:rPr>
                            <w:t>A-Frame Towing</w:t>
                          </w:r>
                        </w:p>
                        <w:p w:rsidR="007F0167" w:rsidRDefault="007F0167" w:rsidP="007F0167">
                          <w:pPr>
                            <w:jc w:val="right"/>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A8939" id="Text Box 1" o:spid="_x0000_s1027" type="#_x0000_t202" style="position:absolute;margin-left:246.6pt;margin-top:-31.25pt;width:339.6pt;height:69.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y1yrAIAALAFAAAOAAAAZHJzL2Uyb0RvYy54bWysVG1vmzAQ/j5p/8Hyd8pLaA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" filled="f" stroked="f" strokeweight=".5pt">
              <v:textbox inset="0,0,0,0">
                <w:txbxContent>
                  <w:p w:rsidR="007F0167" w:rsidRPr="00BA0E62" w:rsidRDefault="00F03F07" w:rsidP="007F0167">
                    <w:pPr>
                      <w:pStyle w:val="Title"/>
                      <w:jc w:val="both"/>
                      <w:rPr>
                        <w:sz w:val="72"/>
                        <w:szCs w:val="72"/>
                      </w:rPr>
                    </w:pPr>
                    <w:r>
                      <w:rPr>
                        <w:sz w:val="72"/>
                        <w:szCs w:val="72"/>
                      </w:rPr>
                      <w:t xml:space="preserve">     </w:t>
                    </w:r>
                    <w:r w:rsidR="0019756F" w:rsidRPr="00F03F07">
                      <w:rPr>
                        <w:color w:val="222A35" w:themeColor="text2" w:themeShade="80"/>
                        <w:sz w:val="72"/>
                        <w:szCs w:val="72"/>
                      </w:rPr>
                      <w:t>A-Frame Towing</w:t>
                    </w:r>
                  </w:p>
                  <w:p w:rsidR="007F0167" w:rsidRDefault="007F0167" w:rsidP="007F0167">
                    <w:pPr>
                      <w:jc w:val="right"/>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02674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0EC53B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4D4F9C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4076D7"/>
    <w:multiLevelType w:val="multilevel"/>
    <w:tmpl w:val="9A948C84"/>
    <w:lvl w:ilvl="0">
      <w:start w:val="1"/>
      <w:numFmt w:val="decimal"/>
      <w:pStyle w:val="BulletNumbered"/>
      <w:lvlText w:val="%1."/>
      <w:lvlJc w:val="left"/>
      <w:pPr>
        <w:ind w:left="590" w:hanging="363"/>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AF716A"/>
    <w:multiLevelType w:val="hybridMultilevel"/>
    <w:tmpl w:val="7BE8E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76138C"/>
    <w:multiLevelType w:val="multilevel"/>
    <w:tmpl w:val="C2F23A90"/>
    <w:lvl w:ilvl="0">
      <w:start w:val="1"/>
      <w:numFmt w:val="bullet"/>
      <w:pStyle w:val="List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9806C9"/>
    <w:multiLevelType w:val="hybridMultilevel"/>
    <w:tmpl w:val="273A2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4F5657"/>
    <w:multiLevelType w:val="hybridMultilevel"/>
    <w:tmpl w:val="0B2852CA"/>
    <w:lvl w:ilvl="0" w:tplc="62826954">
      <w:start w:val="1"/>
      <w:numFmt w:val="bullet"/>
      <w:lvlText w:val=""/>
      <w:lvlJc w:val="right"/>
      <w:pPr>
        <w:ind w:left="720" w:hanging="360"/>
      </w:pPr>
      <w:rPr>
        <w:rFonts w:ascii="Wingdings" w:hAnsi="Wingdings" w:hint="default"/>
        <w:color w:val="00B050"/>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B46D1B"/>
    <w:multiLevelType w:val="hybridMultilevel"/>
    <w:tmpl w:val="6938060A"/>
    <w:lvl w:ilvl="0" w:tplc="03F41118">
      <w:start w:val="1"/>
      <w:numFmt w:val="bullet"/>
      <w:lvlText w:val=""/>
      <w:lvlJc w:val="left"/>
      <w:pPr>
        <w:ind w:left="567"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133B5"/>
    <w:multiLevelType w:val="hybridMultilevel"/>
    <w:tmpl w:val="B2E68DE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4B24AD2"/>
    <w:multiLevelType w:val="hybridMultilevel"/>
    <w:tmpl w:val="59688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F7115E"/>
    <w:multiLevelType w:val="hybridMultilevel"/>
    <w:tmpl w:val="F2CCFC18"/>
    <w:lvl w:ilvl="0" w:tplc="BB288320">
      <w:start w:val="1"/>
      <w:numFmt w:val="decimal"/>
      <w:lvlText w:val="%1."/>
      <w:lvlJc w:val="left"/>
      <w:pPr>
        <w:ind w:left="5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B26D7"/>
    <w:multiLevelType w:val="hybridMultilevel"/>
    <w:tmpl w:val="4B6E35DA"/>
    <w:lvl w:ilvl="0" w:tplc="E31AEA54">
      <w:start w:val="1"/>
      <w:numFmt w:val="bullet"/>
      <w:lvlText w:val="-"/>
      <w:lvlJc w:val="left"/>
      <w:pPr>
        <w:ind w:left="360" w:hanging="360"/>
      </w:pPr>
      <w:rPr>
        <w:rFonts w:ascii="Gill Sans MT" w:eastAsiaTheme="minorHAnsi" w:hAnsi="Gill Sans MT" w:cstheme="minorBidi"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BD212F5"/>
    <w:multiLevelType w:val="hybridMultilevel"/>
    <w:tmpl w:val="E3B41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CB12AF"/>
    <w:multiLevelType w:val="multilevel"/>
    <w:tmpl w:val="BBBC983E"/>
    <w:lvl w:ilvl="0">
      <w:start w:val="1"/>
      <w:numFmt w:val="bullet"/>
      <w:lvlText w:val=""/>
      <w:lvlJc w:val="left"/>
      <w:pPr>
        <w:ind w:left="720" w:hanging="49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C4393B"/>
    <w:multiLevelType w:val="hybridMultilevel"/>
    <w:tmpl w:val="81344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11"/>
  </w:num>
  <w:num w:numId="6">
    <w:abstractNumId w:val="0"/>
  </w:num>
  <w:num w:numId="7">
    <w:abstractNumId w:val="1"/>
  </w:num>
  <w:num w:numId="8">
    <w:abstractNumId w:val="14"/>
  </w:num>
  <w:num w:numId="9">
    <w:abstractNumId w:val="4"/>
  </w:num>
  <w:num w:numId="10">
    <w:abstractNumId w:val="9"/>
  </w:num>
  <w:num w:numId="11">
    <w:abstractNumId w:val="6"/>
  </w:num>
  <w:num w:numId="12">
    <w:abstractNumId w:val="10"/>
  </w:num>
  <w:num w:numId="13">
    <w:abstractNumId w:val="15"/>
  </w:num>
  <w:num w:numId="14">
    <w:abstractNumId w:val="7"/>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edit="readOnly"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AA"/>
    <w:rsid w:val="00001D90"/>
    <w:rsid w:val="000079AE"/>
    <w:rsid w:val="00021DB4"/>
    <w:rsid w:val="00023E01"/>
    <w:rsid w:val="00027F6D"/>
    <w:rsid w:val="00032AE9"/>
    <w:rsid w:val="0004025D"/>
    <w:rsid w:val="00076054"/>
    <w:rsid w:val="00096398"/>
    <w:rsid w:val="000A2FE0"/>
    <w:rsid w:val="000A3D1E"/>
    <w:rsid w:val="000B32A7"/>
    <w:rsid w:val="000B6DC6"/>
    <w:rsid w:val="000B7282"/>
    <w:rsid w:val="000C00A9"/>
    <w:rsid w:val="000D0C5D"/>
    <w:rsid w:val="000D1B42"/>
    <w:rsid w:val="000E6B84"/>
    <w:rsid w:val="000F6770"/>
    <w:rsid w:val="00102F72"/>
    <w:rsid w:val="00113D66"/>
    <w:rsid w:val="00140FE4"/>
    <w:rsid w:val="00143E16"/>
    <w:rsid w:val="0014698E"/>
    <w:rsid w:val="00153480"/>
    <w:rsid w:val="001705F1"/>
    <w:rsid w:val="00173B4E"/>
    <w:rsid w:val="00182466"/>
    <w:rsid w:val="00190CDB"/>
    <w:rsid w:val="00190FE5"/>
    <w:rsid w:val="00191B33"/>
    <w:rsid w:val="00193495"/>
    <w:rsid w:val="001952C5"/>
    <w:rsid w:val="00197312"/>
    <w:rsid w:val="0019756F"/>
    <w:rsid w:val="001A5FA6"/>
    <w:rsid w:val="001B40EC"/>
    <w:rsid w:val="001D31C3"/>
    <w:rsid w:val="001D5D11"/>
    <w:rsid w:val="001E5037"/>
    <w:rsid w:val="001F0167"/>
    <w:rsid w:val="00201B1C"/>
    <w:rsid w:val="002053F2"/>
    <w:rsid w:val="002175E4"/>
    <w:rsid w:val="0023188D"/>
    <w:rsid w:val="002442C4"/>
    <w:rsid w:val="002466FA"/>
    <w:rsid w:val="00255EDA"/>
    <w:rsid w:val="002737C8"/>
    <w:rsid w:val="00275BA7"/>
    <w:rsid w:val="002A0A2E"/>
    <w:rsid w:val="002B472B"/>
    <w:rsid w:val="002C39C9"/>
    <w:rsid w:val="002D2523"/>
    <w:rsid w:val="002D46E0"/>
    <w:rsid w:val="002D6A1B"/>
    <w:rsid w:val="003040EF"/>
    <w:rsid w:val="0031285D"/>
    <w:rsid w:val="00315703"/>
    <w:rsid w:val="0031732B"/>
    <w:rsid w:val="003205AD"/>
    <w:rsid w:val="0032795F"/>
    <w:rsid w:val="00335389"/>
    <w:rsid w:val="0033632F"/>
    <w:rsid w:val="00366FF3"/>
    <w:rsid w:val="0037765E"/>
    <w:rsid w:val="00383C77"/>
    <w:rsid w:val="00390DDA"/>
    <w:rsid w:val="00392FC9"/>
    <w:rsid w:val="003A2E5D"/>
    <w:rsid w:val="003C210F"/>
    <w:rsid w:val="003C5DF5"/>
    <w:rsid w:val="003D7F98"/>
    <w:rsid w:val="003F1066"/>
    <w:rsid w:val="003F2007"/>
    <w:rsid w:val="003F6291"/>
    <w:rsid w:val="004236F3"/>
    <w:rsid w:val="00431E28"/>
    <w:rsid w:val="00440166"/>
    <w:rsid w:val="00456A82"/>
    <w:rsid w:val="00464F08"/>
    <w:rsid w:val="00465B1F"/>
    <w:rsid w:val="00477FDE"/>
    <w:rsid w:val="00482B3B"/>
    <w:rsid w:val="004854BE"/>
    <w:rsid w:val="00490DDB"/>
    <w:rsid w:val="0049759C"/>
    <w:rsid w:val="004B2C78"/>
    <w:rsid w:val="004B398F"/>
    <w:rsid w:val="004B41B0"/>
    <w:rsid w:val="004B5C37"/>
    <w:rsid w:val="004C6A7B"/>
    <w:rsid w:val="004D13CF"/>
    <w:rsid w:val="004D301E"/>
    <w:rsid w:val="004D5089"/>
    <w:rsid w:val="004E51B4"/>
    <w:rsid w:val="004E78DD"/>
    <w:rsid w:val="004E7EF3"/>
    <w:rsid w:val="004F22A4"/>
    <w:rsid w:val="004F38C8"/>
    <w:rsid w:val="005103CC"/>
    <w:rsid w:val="00510946"/>
    <w:rsid w:val="00541C8F"/>
    <w:rsid w:val="00545CBF"/>
    <w:rsid w:val="00545D05"/>
    <w:rsid w:val="005518F6"/>
    <w:rsid w:val="00563BAA"/>
    <w:rsid w:val="00564D9E"/>
    <w:rsid w:val="005810C3"/>
    <w:rsid w:val="005A1DB7"/>
    <w:rsid w:val="005B0839"/>
    <w:rsid w:val="005C43AE"/>
    <w:rsid w:val="005E6B99"/>
    <w:rsid w:val="005F2713"/>
    <w:rsid w:val="0060241A"/>
    <w:rsid w:val="00602C6B"/>
    <w:rsid w:val="00603718"/>
    <w:rsid w:val="00615C5E"/>
    <w:rsid w:val="00622EE7"/>
    <w:rsid w:val="00623CE6"/>
    <w:rsid w:val="006340F8"/>
    <w:rsid w:val="00641A49"/>
    <w:rsid w:val="00645F6A"/>
    <w:rsid w:val="00647891"/>
    <w:rsid w:val="00680485"/>
    <w:rsid w:val="00683C6F"/>
    <w:rsid w:val="006A084C"/>
    <w:rsid w:val="006D21B8"/>
    <w:rsid w:val="006D466E"/>
    <w:rsid w:val="006D77AC"/>
    <w:rsid w:val="006D7CAE"/>
    <w:rsid w:val="006E217B"/>
    <w:rsid w:val="006E59F5"/>
    <w:rsid w:val="006E6A55"/>
    <w:rsid w:val="006E7CF5"/>
    <w:rsid w:val="006F0559"/>
    <w:rsid w:val="006F62C7"/>
    <w:rsid w:val="007042B3"/>
    <w:rsid w:val="00712F10"/>
    <w:rsid w:val="007160BF"/>
    <w:rsid w:val="00727FDB"/>
    <w:rsid w:val="007313F9"/>
    <w:rsid w:val="0074102B"/>
    <w:rsid w:val="00741508"/>
    <w:rsid w:val="00742F28"/>
    <w:rsid w:val="0074581C"/>
    <w:rsid w:val="00756D43"/>
    <w:rsid w:val="00757492"/>
    <w:rsid w:val="00765A2F"/>
    <w:rsid w:val="0077214E"/>
    <w:rsid w:val="00777816"/>
    <w:rsid w:val="007A1499"/>
    <w:rsid w:val="007C24B1"/>
    <w:rsid w:val="007D0ED5"/>
    <w:rsid w:val="007E5A43"/>
    <w:rsid w:val="007F0167"/>
    <w:rsid w:val="007F037A"/>
    <w:rsid w:val="00804127"/>
    <w:rsid w:val="00804472"/>
    <w:rsid w:val="0082465B"/>
    <w:rsid w:val="00825BC9"/>
    <w:rsid w:val="00826268"/>
    <w:rsid w:val="00826279"/>
    <w:rsid w:val="00846A5C"/>
    <w:rsid w:val="00856356"/>
    <w:rsid w:val="00884F7C"/>
    <w:rsid w:val="00890C60"/>
    <w:rsid w:val="008A1C18"/>
    <w:rsid w:val="008A48AD"/>
    <w:rsid w:val="008E6642"/>
    <w:rsid w:val="008F3FA8"/>
    <w:rsid w:val="008F75B7"/>
    <w:rsid w:val="00904895"/>
    <w:rsid w:val="009204C7"/>
    <w:rsid w:val="00941E5D"/>
    <w:rsid w:val="00943FD6"/>
    <w:rsid w:val="00955151"/>
    <w:rsid w:val="009553B4"/>
    <w:rsid w:val="00965C18"/>
    <w:rsid w:val="0096680E"/>
    <w:rsid w:val="00971E40"/>
    <w:rsid w:val="00973FFB"/>
    <w:rsid w:val="00976698"/>
    <w:rsid w:val="00987BC9"/>
    <w:rsid w:val="009A22FD"/>
    <w:rsid w:val="009B24AD"/>
    <w:rsid w:val="009B4937"/>
    <w:rsid w:val="009B6FCB"/>
    <w:rsid w:val="009C219F"/>
    <w:rsid w:val="009D0E80"/>
    <w:rsid w:val="009D2365"/>
    <w:rsid w:val="009D2EEA"/>
    <w:rsid w:val="009D4750"/>
    <w:rsid w:val="009D5456"/>
    <w:rsid w:val="009E1E34"/>
    <w:rsid w:val="009E6378"/>
    <w:rsid w:val="009F5E23"/>
    <w:rsid w:val="00A05362"/>
    <w:rsid w:val="00A05382"/>
    <w:rsid w:val="00A115E3"/>
    <w:rsid w:val="00A11827"/>
    <w:rsid w:val="00A26AAF"/>
    <w:rsid w:val="00A313CD"/>
    <w:rsid w:val="00A52564"/>
    <w:rsid w:val="00A709D6"/>
    <w:rsid w:val="00A7193D"/>
    <w:rsid w:val="00A803E4"/>
    <w:rsid w:val="00A8158A"/>
    <w:rsid w:val="00A93DCA"/>
    <w:rsid w:val="00AA1E5A"/>
    <w:rsid w:val="00AB384C"/>
    <w:rsid w:val="00AB6BB0"/>
    <w:rsid w:val="00AB7B96"/>
    <w:rsid w:val="00AE4E23"/>
    <w:rsid w:val="00AE5B43"/>
    <w:rsid w:val="00AF3A06"/>
    <w:rsid w:val="00B050DE"/>
    <w:rsid w:val="00B068BB"/>
    <w:rsid w:val="00B11351"/>
    <w:rsid w:val="00B121F3"/>
    <w:rsid w:val="00B12924"/>
    <w:rsid w:val="00B34925"/>
    <w:rsid w:val="00B356F9"/>
    <w:rsid w:val="00B4186E"/>
    <w:rsid w:val="00B620C0"/>
    <w:rsid w:val="00B63007"/>
    <w:rsid w:val="00B6683F"/>
    <w:rsid w:val="00B777B5"/>
    <w:rsid w:val="00B77CC3"/>
    <w:rsid w:val="00B81712"/>
    <w:rsid w:val="00B82F68"/>
    <w:rsid w:val="00BA0DED"/>
    <w:rsid w:val="00BA0E62"/>
    <w:rsid w:val="00BA354C"/>
    <w:rsid w:val="00BB09FA"/>
    <w:rsid w:val="00BB60A7"/>
    <w:rsid w:val="00BC244A"/>
    <w:rsid w:val="00BD40A0"/>
    <w:rsid w:val="00BD40BD"/>
    <w:rsid w:val="00BD5E4B"/>
    <w:rsid w:val="00BD7347"/>
    <w:rsid w:val="00C1109E"/>
    <w:rsid w:val="00C11DD7"/>
    <w:rsid w:val="00C25CE7"/>
    <w:rsid w:val="00C25F88"/>
    <w:rsid w:val="00C33455"/>
    <w:rsid w:val="00C36F2E"/>
    <w:rsid w:val="00C4367C"/>
    <w:rsid w:val="00C61B49"/>
    <w:rsid w:val="00C62B2D"/>
    <w:rsid w:val="00C63FFE"/>
    <w:rsid w:val="00C65A3D"/>
    <w:rsid w:val="00C665A1"/>
    <w:rsid w:val="00C73978"/>
    <w:rsid w:val="00C80D03"/>
    <w:rsid w:val="00C94644"/>
    <w:rsid w:val="00CA3E84"/>
    <w:rsid w:val="00CB27A9"/>
    <w:rsid w:val="00CC4954"/>
    <w:rsid w:val="00CC7E91"/>
    <w:rsid w:val="00CE58E1"/>
    <w:rsid w:val="00CE5DB4"/>
    <w:rsid w:val="00D06057"/>
    <w:rsid w:val="00D10081"/>
    <w:rsid w:val="00D1200B"/>
    <w:rsid w:val="00D12E2D"/>
    <w:rsid w:val="00D24ADC"/>
    <w:rsid w:val="00D2606E"/>
    <w:rsid w:val="00D72C51"/>
    <w:rsid w:val="00D76A3C"/>
    <w:rsid w:val="00D85ED3"/>
    <w:rsid w:val="00D867E0"/>
    <w:rsid w:val="00D93419"/>
    <w:rsid w:val="00D95BB0"/>
    <w:rsid w:val="00D96E9E"/>
    <w:rsid w:val="00DB6A6B"/>
    <w:rsid w:val="00DF0EE4"/>
    <w:rsid w:val="00E12881"/>
    <w:rsid w:val="00E4679D"/>
    <w:rsid w:val="00E576E0"/>
    <w:rsid w:val="00E64359"/>
    <w:rsid w:val="00E81919"/>
    <w:rsid w:val="00E93585"/>
    <w:rsid w:val="00EA190C"/>
    <w:rsid w:val="00EA5C5F"/>
    <w:rsid w:val="00EC2562"/>
    <w:rsid w:val="00ED1F6A"/>
    <w:rsid w:val="00ED4C17"/>
    <w:rsid w:val="00EF0AC7"/>
    <w:rsid w:val="00EF5A0C"/>
    <w:rsid w:val="00EF6FAA"/>
    <w:rsid w:val="00F03F07"/>
    <w:rsid w:val="00F0409A"/>
    <w:rsid w:val="00F2017B"/>
    <w:rsid w:val="00F220A1"/>
    <w:rsid w:val="00F343A7"/>
    <w:rsid w:val="00F56406"/>
    <w:rsid w:val="00F61323"/>
    <w:rsid w:val="00F73CB5"/>
    <w:rsid w:val="00F74936"/>
    <w:rsid w:val="00F77A89"/>
    <w:rsid w:val="00F80549"/>
    <w:rsid w:val="00F8346C"/>
    <w:rsid w:val="00F95B70"/>
    <w:rsid w:val="00FC3835"/>
    <w:rsid w:val="00FC3B9A"/>
    <w:rsid w:val="00FC58B8"/>
    <w:rsid w:val="00FC5C38"/>
    <w:rsid w:val="00FD141C"/>
    <w:rsid w:val="00FD1764"/>
    <w:rsid w:val="00FD34CE"/>
    <w:rsid w:val="00FE32EA"/>
    <w:rsid w:val="00FE5384"/>
    <w:rsid w:val="00FF6F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AAE66B-63F9-4179-9F6D-3E7E0AF7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sz w:val="22"/>
        <w:szCs w:val="22"/>
        <w:lang w:val="en-AU" w:eastAsia="en-US" w:bidi="ar-SA"/>
      </w:rPr>
    </w:rPrDefault>
    <w:pPrDefault>
      <w:pPr>
        <w:spacing w:before="240" w:after="120"/>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qFormat="1"/>
    <w:lsdException w:name="toc 2" w:locked="0" w:semiHidden="1" w:uiPriority="39"/>
    <w:lsdException w:name="toc 3" w:locked="0"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unhideWhenUsed="1"/>
    <w:lsdException w:name="annotation text" w:semiHidden="1"/>
    <w:lsdException w:name="header" w:semiHidden="1"/>
    <w:lsdException w:name="footer" w:locked="0" w:semiHidden="1" w:uiPriority="0"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unhideWhenUsed="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locked="0" w:semiHidden="1"/>
    <w:lsdException w:name="List" w:semiHidden="1"/>
    <w:lsdException w:name="List Bullet" w:locked="0" w:semiHidden="1" w:uiPriority="0"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10" w:qFormat="1"/>
    <w:lsdException w:name="Closing" w:semiHidden="1"/>
    <w:lsdException w:name="Signature" w:semiHidden="1"/>
    <w:lsdException w:name="Default Paragraph Font" w:locked="0" w:semiHidden="1" w:uiPriority="1" w:unhideWhenUsed="1"/>
    <w:lsdException w:name="Body Text" w:locked="0"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D867E0"/>
  </w:style>
  <w:style w:type="paragraph" w:styleId="Heading1">
    <w:name w:val="heading 1"/>
    <w:basedOn w:val="Normal"/>
    <w:next w:val="BodyText"/>
    <w:link w:val="Heading1Char"/>
    <w:qFormat/>
    <w:rsid w:val="002D46E0"/>
    <w:pPr>
      <w:keepNext/>
      <w:keepLines/>
      <w:spacing w:after="560" w:line="620" w:lineRule="exact"/>
      <w:outlineLvl w:val="0"/>
    </w:pPr>
    <w:rPr>
      <w:rFonts w:asciiTheme="majorHAnsi" w:eastAsiaTheme="majorEastAsia" w:hAnsiTheme="majorHAnsi" w:cstheme="majorBidi"/>
      <w:color w:val="005295"/>
      <w:sz w:val="56"/>
      <w:szCs w:val="32"/>
    </w:rPr>
  </w:style>
  <w:style w:type="paragraph" w:styleId="Heading2">
    <w:name w:val="heading 2"/>
    <w:basedOn w:val="Normal"/>
    <w:next w:val="BodyText"/>
    <w:link w:val="Heading2Char"/>
    <w:qFormat/>
    <w:rsid w:val="002D46E0"/>
    <w:pPr>
      <w:keepNext/>
      <w:keepLines/>
      <w:suppressAutoHyphens/>
      <w:spacing w:before="400" w:line="440" w:lineRule="exact"/>
      <w:outlineLvl w:val="1"/>
    </w:pPr>
    <w:rPr>
      <w:rFonts w:asciiTheme="majorHAnsi" w:eastAsiaTheme="majorEastAsia" w:hAnsiTheme="majorHAnsi" w:cstheme="majorBidi"/>
      <w:color w:val="005295"/>
      <w:sz w:val="36"/>
      <w:szCs w:val="26"/>
    </w:rPr>
  </w:style>
  <w:style w:type="paragraph" w:styleId="Heading3">
    <w:name w:val="heading 3"/>
    <w:basedOn w:val="Normal"/>
    <w:next w:val="BodyText"/>
    <w:link w:val="Heading3Char"/>
    <w:qFormat/>
    <w:rsid w:val="002D46E0"/>
    <w:pPr>
      <w:keepNext/>
      <w:keepLines/>
      <w:spacing w:before="400"/>
      <w:outlineLvl w:val="2"/>
    </w:pPr>
    <w:rPr>
      <w:rFonts w:asciiTheme="majorHAnsi" w:eastAsiaTheme="majorEastAsia" w:hAnsiTheme="majorHAnsi" w:cstheme="majorBidi"/>
      <w:color w:val="00529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7765E"/>
    <w:pPr>
      <w:suppressAutoHyphens/>
    </w:pPr>
  </w:style>
  <w:style w:type="character" w:customStyle="1" w:styleId="BodyTextChar">
    <w:name w:val="Body Text Char"/>
    <w:basedOn w:val="DefaultParagraphFont"/>
    <w:link w:val="BodyText"/>
    <w:rsid w:val="0037765E"/>
    <w:rPr>
      <w:color w:val="000000" w:themeColor="text1"/>
    </w:rPr>
  </w:style>
  <w:style w:type="paragraph" w:customStyle="1" w:styleId="BackPage">
    <w:name w:val="Back Page"/>
    <w:basedOn w:val="Normal"/>
    <w:qFormat/>
    <w:rsid w:val="002D46E0"/>
    <w:pPr>
      <w:suppressAutoHyphens/>
      <w:spacing w:after="113" w:line="310" w:lineRule="exact"/>
    </w:pPr>
  </w:style>
  <w:style w:type="paragraph" w:styleId="ListBullet">
    <w:name w:val="List Bullet"/>
    <w:aliases w:val="Bullet"/>
    <w:basedOn w:val="Normal"/>
    <w:qFormat/>
    <w:rsid w:val="002C39C9"/>
    <w:pPr>
      <w:numPr>
        <w:numId w:val="2"/>
      </w:numPr>
      <w:suppressAutoHyphens/>
    </w:pPr>
  </w:style>
  <w:style w:type="paragraph" w:customStyle="1" w:styleId="BulletNumbered">
    <w:name w:val="Bullet Numbered"/>
    <w:basedOn w:val="ListBullet"/>
    <w:qFormat/>
    <w:rsid w:val="00987BC9"/>
    <w:pPr>
      <w:numPr>
        <w:numId w:val="3"/>
      </w:numPr>
    </w:pPr>
  </w:style>
  <w:style w:type="paragraph" w:styleId="Footer">
    <w:name w:val="footer"/>
    <w:basedOn w:val="Normal"/>
    <w:link w:val="FooterChar"/>
    <w:qFormat/>
    <w:rsid w:val="002D46E0"/>
    <w:pPr>
      <w:tabs>
        <w:tab w:val="right" w:pos="10206"/>
      </w:tabs>
      <w:spacing w:line="280" w:lineRule="atLeast"/>
    </w:pPr>
    <w:rPr>
      <w:color w:val="646464"/>
    </w:rPr>
  </w:style>
  <w:style w:type="character" w:customStyle="1" w:styleId="FooterChar">
    <w:name w:val="Footer Char"/>
    <w:basedOn w:val="DefaultParagraphFont"/>
    <w:link w:val="Footer"/>
    <w:rsid w:val="00AF3A06"/>
    <w:rPr>
      <w:color w:val="646464"/>
    </w:rPr>
  </w:style>
  <w:style w:type="character" w:customStyle="1" w:styleId="Heading1Char">
    <w:name w:val="Heading 1 Char"/>
    <w:basedOn w:val="DefaultParagraphFont"/>
    <w:link w:val="Heading1"/>
    <w:rsid w:val="00AF3A06"/>
    <w:rPr>
      <w:rFonts w:asciiTheme="majorHAnsi" w:eastAsiaTheme="majorEastAsia" w:hAnsiTheme="majorHAnsi" w:cstheme="majorBidi"/>
      <w:color w:val="005295"/>
      <w:sz w:val="56"/>
      <w:szCs w:val="32"/>
    </w:rPr>
  </w:style>
  <w:style w:type="character" w:customStyle="1" w:styleId="Heading2Char">
    <w:name w:val="Heading 2 Char"/>
    <w:basedOn w:val="DefaultParagraphFont"/>
    <w:link w:val="Heading2"/>
    <w:rsid w:val="00AF3A06"/>
    <w:rPr>
      <w:rFonts w:asciiTheme="majorHAnsi" w:eastAsiaTheme="majorEastAsia" w:hAnsiTheme="majorHAnsi" w:cstheme="majorBidi"/>
      <w:color w:val="005295"/>
      <w:sz w:val="36"/>
      <w:szCs w:val="26"/>
    </w:rPr>
  </w:style>
  <w:style w:type="character" w:customStyle="1" w:styleId="Heading3Char">
    <w:name w:val="Heading 3 Char"/>
    <w:basedOn w:val="DefaultParagraphFont"/>
    <w:link w:val="Heading3"/>
    <w:rsid w:val="00AF3A06"/>
    <w:rPr>
      <w:rFonts w:asciiTheme="majorHAnsi" w:eastAsiaTheme="majorEastAsia" w:hAnsiTheme="majorHAnsi" w:cstheme="majorBidi"/>
      <w:color w:val="005295"/>
      <w:szCs w:val="24"/>
    </w:rPr>
  </w:style>
  <w:style w:type="paragraph" w:styleId="Subtitle">
    <w:name w:val="Subtitle"/>
    <w:aliases w:val="Full title"/>
    <w:basedOn w:val="Normal"/>
    <w:next w:val="BodyText"/>
    <w:link w:val="SubtitleChar"/>
    <w:uiPriority w:val="11"/>
    <w:qFormat/>
    <w:rsid w:val="000D0C5D"/>
    <w:pPr>
      <w:numPr>
        <w:ilvl w:val="1"/>
      </w:numPr>
      <w:suppressAutoHyphens/>
    </w:pPr>
    <w:rPr>
      <w:rFonts w:eastAsiaTheme="minorEastAsia"/>
      <w:sz w:val="24"/>
    </w:rPr>
  </w:style>
  <w:style w:type="character" w:customStyle="1" w:styleId="SubtitleChar">
    <w:name w:val="Subtitle Char"/>
    <w:aliases w:val="Full title Char"/>
    <w:basedOn w:val="DefaultParagraphFont"/>
    <w:link w:val="Subtitle"/>
    <w:uiPriority w:val="11"/>
    <w:rsid w:val="000D0C5D"/>
    <w:rPr>
      <w:rFonts w:eastAsiaTheme="minorEastAsia"/>
      <w:sz w:val="24"/>
    </w:rPr>
  </w:style>
  <w:style w:type="paragraph" w:styleId="Title">
    <w:name w:val="Title"/>
    <w:aliases w:val="Short Title"/>
    <w:basedOn w:val="Normal"/>
    <w:next w:val="BodyText"/>
    <w:link w:val="TitleChar"/>
    <w:uiPriority w:val="10"/>
    <w:qFormat/>
    <w:rsid w:val="00756D43"/>
    <w:pPr>
      <w:suppressAutoHyphens/>
      <w:spacing w:line="880" w:lineRule="exact"/>
    </w:pPr>
    <w:rPr>
      <w:rFonts w:asciiTheme="majorHAnsi" w:eastAsiaTheme="majorEastAsia" w:hAnsiTheme="majorHAnsi" w:cstheme="majorBidi"/>
      <w:sz w:val="80"/>
      <w:szCs w:val="56"/>
    </w:rPr>
  </w:style>
  <w:style w:type="character" w:customStyle="1" w:styleId="TitleChar">
    <w:name w:val="Title Char"/>
    <w:aliases w:val="Short Title Char"/>
    <w:basedOn w:val="DefaultParagraphFont"/>
    <w:link w:val="Title"/>
    <w:uiPriority w:val="10"/>
    <w:rsid w:val="00756D43"/>
    <w:rPr>
      <w:rFonts w:asciiTheme="majorHAnsi" w:eastAsiaTheme="majorEastAsia" w:hAnsiTheme="majorHAnsi" w:cstheme="majorBidi"/>
      <w:sz w:val="80"/>
      <w:szCs w:val="56"/>
    </w:rPr>
  </w:style>
  <w:style w:type="paragraph" w:styleId="Header">
    <w:name w:val="header"/>
    <w:basedOn w:val="Normal"/>
    <w:link w:val="HeaderChar"/>
    <w:uiPriority w:val="99"/>
    <w:semiHidden/>
    <w:locked/>
    <w:rsid w:val="004E78DD"/>
    <w:pPr>
      <w:tabs>
        <w:tab w:val="center" w:pos="4513"/>
        <w:tab w:val="right" w:pos="9026"/>
      </w:tabs>
    </w:pPr>
  </w:style>
  <w:style w:type="character" w:customStyle="1" w:styleId="HeaderChar">
    <w:name w:val="Header Char"/>
    <w:basedOn w:val="DefaultParagraphFont"/>
    <w:link w:val="Header"/>
    <w:uiPriority w:val="99"/>
    <w:semiHidden/>
    <w:rsid w:val="004E78DD"/>
  </w:style>
  <w:style w:type="character" w:styleId="PageNumber">
    <w:name w:val="page number"/>
    <w:basedOn w:val="DefaultParagraphFont"/>
    <w:uiPriority w:val="99"/>
    <w:semiHidden/>
    <w:locked/>
    <w:rsid w:val="004E78DD"/>
  </w:style>
  <w:style w:type="table" w:styleId="TableGrid">
    <w:name w:val="Table Grid"/>
    <w:basedOn w:val="TableNormal"/>
    <w:uiPriority w:val="39"/>
    <w:rsid w:val="008F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Italic"/>
    <w:basedOn w:val="Emphasis"/>
    <w:uiPriority w:val="1"/>
    <w:qFormat/>
    <w:rsid w:val="00EA190C"/>
    <w:rPr>
      <w:rFonts w:asciiTheme="minorHAnsi" w:hAnsiTheme="minorHAnsi"/>
      <w:i/>
      <w:iCs/>
      <w:sz w:val="22"/>
    </w:rPr>
  </w:style>
  <w:style w:type="character" w:customStyle="1" w:styleId="BodytextBold">
    <w:name w:val="Body text Bold"/>
    <w:basedOn w:val="Strong"/>
    <w:uiPriority w:val="1"/>
    <w:qFormat/>
    <w:rsid w:val="001705F1"/>
    <w:rPr>
      <w:rFonts w:asciiTheme="minorHAnsi" w:hAnsiTheme="minorHAnsi"/>
      <w:b/>
      <w:bCs/>
      <w:color w:val="000000" w:themeColor="text1"/>
      <w:sz w:val="22"/>
    </w:rPr>
  </w:style>
  <w:style w:type="character" w:styleId="Emphasis">
    <w:name w:val="Emphasis"/>
    <w:basedOn w:val="DefaultParagraphFont"/>
    <w:uiPriority w:val="20"/>
    <w:semiHidden/>
    <w:qFormat/>
    <w:locked/>
    <w:rsid w:val="00EA190C"/>
    <w:rPr>
      <w:i/>
      <w:iCs/>
    </w:rPr>
  </w:style>
  <w:style w:type="character" w:styleId="Strong">
    <w:name w:val="Strong"/>
    <w:basedOn w:val="DefaultParagraphFont"/>
    <w:uiPriority w:val="22"/>
    <w:semiHidden/>
    <w:qFormat/>
    <w:locked/>
    <w:rsid w:val="001705F1"/>
    <w:rPr>
      <w:b/>
      <w:bCs/>
    </w:rPr>
  </w:style>
  <w:style w:type="paragraph" w:styleId="TOCHeading">
    <w:name w:val="TOC Heading"/>
    <w:basedOn w:val="Heading1"/>
    <w:next w:val="Normal"/>
    <w:uiPriority w:val="39"/>
    <w:semiHidden/>
    <w:qFormat/>
    <w:rsid w:val="003C5DF5"/>
    <w:pPr>
      <w:spacing w:after="0" w:line="259" w:lineRule="auto"/>
      <w:outlineLvl w:val="9"/>
    </w:pPr>
    <w:rPr>
      <w:color w:val="2E74B5" w:themeColor="accent1" w:themeShade="BF"/>
      <w:sz w:val="32"/>
    </w:rPr>
  </w:style>
  <w:style w:type="paragraph" w:styleId="TOC1">
    <w:name w:val="toc 1"/>
    <w:basedOn w:val="Normal"/>
    <w:next w:val="Normal"/>
    <w:autoRedefine/>
    <w:uiPriority w:val="39"/>
    <w:semiHidden/>
    <w:qFormat/>
    <w:rsid w:val="005A1DB7"/>
    <w:pPr>
      <w:spacing w:after="100"/>
    </w:pPr>
    <w:rPr>
      <w:b/>
    </w:rPr>
  </w:style>
  <w:style w:type="paragraph" w:styleId="TOC2">
    <w:name w:val="toc 2"/>
    <w:basedOn w:val="Normal"/>
    <w:next w:val="Normal"/>
    <w:autoRedefine/>
    <w:uiPriority w:val="39"/>
    <w:semiHidden/>
    <w:rsid w:val="003C5DF5"/>
    <w:pPr>
      <w:spacing w:after="100"/>
      <w:ind w:left="220"/>
    </w:pPr>
  </w:style>
  <w:style w:type="paragraph" w:styleId="TOC3">
    <w:name w:val="toc 3"/>
    <w:basedOn w:val="Normal"/>
    <w:next w:val="Normal"/>
    <w:autoRedefine/>
    <w:uiPriority w:val="39"/>
    <w:semiHidden/>
    <w:rsid w:val="003C5DF5"/>
    <w:pPr>
      <w:spacing w:after="100"/>
      <w:ind w:left="440"/>
    </w:pPr>
  </w:style>
  <w:style w:type="character" w:customStyle="1" w:styleId="Instructions">
    <w:name w:val="Instructions"/>
    <w:basedOn w:val="CommentReference"/>
    <w:uiPriority w:val="1"/>
    <w:qFormat/>
    <w:rsid w:val="00FD1764"/>
    <w:rPr>
      <w:rFonts w:asciiTheme="minorHAnsi" w:hAnsiTheme="minorHAnsi"/>
      <w:vanish w:val="0"/>
      <w:color w:val="0070C0"/>
      <w:sz w:val="22"/>
      <w:szCs w:val="16"/>
      <w:u w:val="dotted"/>
    </w:rPr>
  </w:style>
  <w:style w:type="character" w:styleId="CommentReference">
    <w:name w:val="annotation reference"/>
    <w:basedOn w:val="DefaultParagraphFont"/>
    <w:uiPriority w:val="99"/>
    <w:semiHidden/>
    <w:locked/>
    <w:rsid w:val="00D1200B"/>
    <w:rPr>
      <w:sz w:val="16"/>
      <w:szCs w:val="16"/>
    </w:rPr>
  </w:style>
  <w:style w:type="character" w:styleId="Hyperlink">
    <w:name w:val="Hyperlink"/>
    <w:basedOn w:val="DefaultParagraphFont"/>
    <w:uiPriority w:val="99"/>
    <w:locked/>
    <w:rsid w:val="00742F28"/>
    <w:rPr>
      <w:color w:val="0563C1" w:themeColor="hyperlink"/>
      <w:u w:val="single"/>
    </w:rPr>
  </w:style>
  <w:style w:type="paragraph" w:customStyle="1" w:styleId="Tabletext">
    <w:name w:val="Table text"/>
    <w:basedOn w:val="BodyText"/>
    <w:qFormat/>
    <w:rsid w:val="000E6B84"/>
    <w:pPr>
      <w:spacing w:before="0" w:after="0"/>
    </w:pPr>
  </w:style>
  <w:style w:type="character" w:customStyle="1" w:styleId="BoldItalic">
    <w:name w:val="Bold &amp; Italic"/>
    <w:basedOn w:val="BodytextBold"/>
    <w:uiPriority w:val="1"/>
    <w:qFormat/>
    <w:rsid w:val="00D10081"/>
    <w:rPr>
      <w:rFonts w:asciiTheme="minorHAnsi" w:eastAsiaTheme="minorHAnsi" w:hAnsiTheme="minorHAnsi" w:cstheme="minorBidi"/>
      <w:b/>
      <w:bCs/>
      <w:i/>
      <w:color w:val="000000" w:themeColor="text1"/>
      <w:sz w:val="22"/>
      <w:szCs w:val="22"/>
    </w:rPr>
  </w:style>
  <w:style w:type="character" w:styleId="FootnoteReference">
    <w:name w:val="footnote reference"/>
    <w:basedOn w:val="DefaultParagraphFont"/>
    <w:uiPriority w:val="99"/>
    <w:qFormat/>
    <w:rsid w:val="00D867E0"/>
    <w:rPr>
      <w:rFonts w:asciiTheme="minorHAnsi" w:hAnsiTheme="minorHAnsi"/>
      <w:sz w:val="20"/>
      <w:vertAlign w:val="superscript"/>
    </w:rPr>
  </w:style>
  <w:style w:type="paragraph" w:styleId="FootnoteText">
    <w:name w:val="footnote text"/>
    <w:basedOn w:val="Normal"/>
    <w:link w:val="FootnoteTextChar"/>
    <w:uiPriority w:val="99"/>
    <w:rsid w:val="00D867E0"/>
    <w:pPr>
      <w:spacing w:before="0" w:after="0"/>
    </w:pPr>
    <w:rPr>
      <w:sz w:val="20"/>
      <w:szCs w:val="20"/>
    </w:rPr>
  </w:style>
  <w:style w:type="character" w:customStyle="1" w:styleId="FootnoteTextChar">
    <w:name w:val="Footnote Text Char"/>
    <w:basedOn w:val="DefaultParagraphFont"/>
    <w:link w:val="FootnoteText"/>
    <w:uiPriority w:val="99"/>
    <w:rsid w:val="00D867E0"/>
    <w:rPr>
      <w:sz w:val="20"/>
      <w:szCs w:val="20"/>
    </w:rPr>
  </w:style>
  <w:style w:type="paragraph" w:styleId="CommentText">
    <w:name w:val="annotation text"/>
    <w:basedOn w:val="Normal"/>
    <w:link w:val="CommentTextChar"/>
    <w:uiPriority w:val="99"/>
    <w:semiHidden/>
    <w:locked/>
    <w:rsid w:val="00615C5E"/>
    <w:rPr>
      <w:sz w:val="20"/>
      <w:szCs w:val="20"/>
    </w:rPr>
  </w:style>
  <w:style w:type="character" w:customStyle="1" w:styleId="CommentTextChar">
    <w:name w:val="Comment Text Char"/>
    <w:basedOn w:val="DefaultParagraphFont"/>
    <w:link w:val="CommentText"/>
    <w:uiPriority w:val="99"/>
    <w:semiHidden/>
    <w:rsid w:val="00615C5E"/>
    <w:rPr>
      <w:sz w:val="20"/>
      <w:szCs w:val="20"/>
    </w:rPr>
  </w:style>
  <w:style w:type="paragraph" w:styleId="CommentSubject">
    <w:name w:val="annotation subject"/>
    <w:basedOn w:val="CommentText"/>
    <w:next w:val="CommentText"/>
    <w:link w:val="CommentSubjectChar"/>
    <w:uiPriority w:val="99"/>
    <w:semiHidden/>
    <w:locked/>
    <w:rsid w:val="00615C5E"/>
    <w:rPr>
      <w:b/>
      <w:bCs/>
    </w:rPr>
  </w:style>
  <w:style w:type="character" w:customStyle="1" w:styleId="CommentSubjectChar">
    <w:name w:val="Comment Subject Char"/>
    <w:basedOn w:val="CommentTextChar"/>
    <w:link w:val="CommentSubject"/>
    <w:uiPriority w:val="99"/>
    <w:semiHidden/>
    <w:rsid w:val="00615C5E"/>
    <w:rPr>
      <w:b/>
      <w:bCs/>
      <w:sz w:val="20"/>
      <w:szCs w:val="20"/>
    </w:rPr>
  </w:style>
  <w:style w:type="paragraph" w:styleId="BalloonText">
    <w:name w:val="Balloon Text"/>
    <w:basedOn w:val="Normal"/>
    <w:link w:val="BalloonTextChar"/>
    <w:uiPriority w:val="99"/>
    <w:semiHidden/>
    <w:locked/>
    <w:rsid w:val="00615C5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C5E"/>
    <w:rPr>
      <w:rFonts w:ascii="Segoe UI" w:hAnsi="Segoe UI" w:cs="Segoe UI"/>
      <w:sz w:val="18"/>
      <w:szCs w:val="18"/>
    </w:rPr>
  </w:style>
  <w:style w:type="paragraph" w:styleId="ListParagraph">
    <w:name w:val="List Paragraph"/>
    <w:basedOn w:val="Normal"/>
    <w:uiPriority w:val="34"/>
    <w:qFormat/>
    <w:locked/>
    <w:rsid w:val="00AA1E5A"/>
    <w:pPr>
      <w:ind w:left="720"/>
      <w:contextualSpacing/>
    </w:pPr>
  </w:style>
  <w:style w:type="character" w:styleId="FollowedHyperlink">
    <w:name w:val="FollowedHyperlink"/>
    <w:basedOn w:val="DefaultParagraphFont"/>
    <w:uiPriority w:val="99"/>
    <w:semiHidden/>
    <w:locked/>
    <w:rsid w:val="00BB09FA"/>
    <w:rPr>
      <w:color w:val="954F72" w:themeColor="followedHyperlink"/>
      <w:u w:val="single"/>
    </w:rPr>
  </w:style>
  <w:style w:type="paragraph" w:styleId="NormalWeb">
    <w:name w:val="Normal (Web)"/>
    <w:basedOn w:val="Normal"/>
    <w:uiPriority w:val="99"/>
    <w:semiHidden/>
    <w:unhideWhenUsed/>
    <w:locked/>
    <w:rsid w:val="00622EE7"/>
    <w:pPr>
      <w:spacing w:before="100" w:beforeAutospacing="1" w:after="100" w:afterAutospacing="1"/>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8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rastructure.gov.au/roads/motor/design/adr_online.aspx" TargetMode="External"/><Relationship Id="rId13" Type="http://schemas.openxmlformats.org/officeDocument/2006/relationships/hyperlink" Target="https://infostore.saiglobal.com/" TargetMode="External"/><Relationship Id="rId18" Type="http://schemas.openxmlformats.org/officeDocument/2006/relationships/hyperlink" Target="mailto:vehicle.standards@stategrowth.tas.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fostore.saigloba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port.tas.gov.au/vehicles/vehicle_inspections" TargetMode="External"/><Relationship Id="rId5" Type="http://schemas.openxmlformats.org/officeDocument/2006/relationships/webSettings" Target="webSettings.xml"/><Relationship Id="rId15" Type="http://schemas.openxmlformats.org/officeDocument/2006/relationships/hyperlink" Target="http://www.infrastructure.gov.au/roads/motor/design/adr_online.aspx" TargetMode="External"/><Relationship Id="rId10" Type="http://schemas.openxmlformats.org/officeDocument/2006/relationships/hyperlink" Target="https://infrastructure.gov.au/vehicles/administrators_circulars/index.aspx" TargetMode="External"/><Relationship Id="rId19" Type="http://schemas.openxmlformats.org/officeDocument/2006/relationships/hyperlink" Target="http://www.transport.tas.gov.au" TargetMode="External"/><Relationship Id="rId4" Type="http://schemas.openxmlformats.org/officeDocument/2006/relationships/settings" Target="settings.xml"/><Relationship Id="rId9" Type="http://schemas.openxmlformats.org/officeDocument/2006/relationships/hyperlink" Target="http://www.transport.tas.gov.au/vehicles/vehicle_inspections/avcais" TargetMode="External"/><Relationship Id="rId14" Type="http://schemas.openxmlformats.org/officeDocument/2006/relationships/hyperlink" Target="http://www.infrastructure.gov.au/roads/motor/design/adr_online.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weeting\Downloads\A4-Report-template-blue-cove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SG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2EF7-575E-4629-BB88-B4A650B5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A4-Report-template-blue-cover (1)</Template>
  <TotalTime>1077</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DEDTA</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Sweeting, Christie</dc:creator>
  <cp:keywords/>
  <dc:description/>
  <cp:lastModifiedBy>Cooper, Malcolm</cp:lastModifiedBy>
  <cp:revision>30</cp:revision>
  <cp:lastPrinted>2016-11-03T03:57:00Z</cp:lastPrinted>
  <dcterms:created xsi:type="dcterms:W3CDTF">2016-10-26T02:57:00Z</dcterms:created>
  <dcterms:modified xsi:type="dcterms:W3CDTF">2017-08-07T00:46:00Z</dcterms:modified>
</cp:coreProperties>
</file>