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08" w:rsidRDefault="00354408" w:rsidP="00E95C67">
      <w:pPr>
        <w:pStyle w:val="Heading2"/>
      </w:pPr>
    </w:p>
    <w:p w:rsidR="00354408" w:rsidRDefault="00354408" w:rsidP="00E95C67">
      <w:pPr>
        <w:pStyle w:val="Heading2"/>
      </w:pPr>
    </w:p>
    <w:p w:rsidR="007D0AC8" w:rsidRDefault="00581625" w:rsidP="00E95C67">
      <w:pPr>
        <w:pStyle w:val="Heading2"/>
      </w:pPr>
      <w:r>
        <w:t>June</w:t>
      </w:r>
      <w:r w:rsidR="007D0AC8">
        <w:t xml:space="preserve"> 2017</w:t>
      </w:r>
    </w:p>
    <w:p w:rsidR="007D0AC8" w:rsidRDefault="007D0AC8" w:rsidP="00E95C67">
      <w:pPr>
        <w:pStyle w:val="Heading2"/>
      </w:pPr>
    </w:p>
    <w:p w:rsidR="00E95C67" w:rsidRDefault="00E95C67" w:rsidP="00E95C67">
      <w:pPr>
        <w:pStyle w:val="Heading2"/>
      </w:pPr>
      <w:r>
        <w:t>General</w:t>
      </w:r>
    </w:p>
    <w:p w:rsidR="00E95C67" w:rsidRPr="003E3007" w:rsidRDefault="00581625" w:rsidP="009E5E2C">
      <w:pPr>
        <w:pStyle w:val="BodyText"/>
      </w:pPr>
      <w:r>
        <w:t>Where referred</w:t>
      </w:r>
      <w:r w:rsidR="00E95C67" w:rsidRPr="00866093">
        <w:t xml:space="preserve"> to VicRoads Technical </w:t>
      </w:r>
      <w:r w:rsidR="00E95C67" w:rsidRPr="003E3007">
        <w:t>Services (or Consulting) or VicRoads Principal Advisor Geotech Pavements &amp; Materials</w:t>
      </w:r>
      <w:r>
        <w:t xml:space="preserve"> for consultation</w:t>
      </w:r>
      <w:r w:rsidR="00E95C67" w:rsidRPr="003E3007">
        <w:t xml:space="preserve"> replace with Manager Asset Management, Department of State Growth.</w:t>
      </w:r>
    </w:p>
    <w:p w:rsidR="00F41E51" w:rsidRPr="007D0AC8" w:rsidRDefault="009E5E2C" w:rsidP="009E5E2C">
      <w:pPr>
        <w:pStyle w:val="BodyText"/>
        <w:rPr>
          <w:rStyle w:val="Instructions"/>
          <w:color w:val="000000" w:themeColor="text1"/>
          <w:szCs w:val="22"/>
          <w:u w:val="none"/>
        </w:rPr>
        <w:sectPr w:rsidR="00F41E51" w:rsidRPr="007D0AC8" w:rsidSect="001C3E5C">
          <w:headerReference w:type="even" r:id="rId8"/>
          <w:headerReference w:type="default" r:id="rId9"/>
          <w:footerReference w:type="even" r:id="rId10"/>
          <w:footerReference w:type="default" r:id="rId11"/>
          <w:headerReference w:type="first" r:id="rId12"/>
          <w:footerReference w:type="first" r:id="rId13"/>
          <w:pgSz w:w="11906" w:h="16838" w:code="9"/>
          <w:pgMar w:top="6804" w:right="1134" w:bottom="2410" w:left="1134" w:header="2455" w:footer="556" w:gutter="0"/>
          <w:cols w:space="708"/>
          <w:titlePg/>
          <w:docGrid w:linePitch="360"/>
        </w:sectPr>
      </w:pPr>
      <w:r w:rsidRPr="009E5E2C">
        <w:t xml:space="preserve">The Department of State Growth Project Manager shall provide the </w:t>
      </w:r>
      <w:r w:rsidR="007D0AC8">
        <w:t xml:space="preserve">minimum </w:t>
      </w:r>
      <w:r w:rsidR="00A61603">
        <w:t>Polished Stone Values (</w:t>
      </w:r>
      <w:r w:rsidRPr="009E5E2C">
        <w:t>P</w:t>
      </w:r>
      <w:r w:rsidR="007D0AC8">
        <w:t>S</w:t>
      </w:r>
      <w:r w:rsidR="00A61603">
        <w:t>V)</w:t>
      </w:r>
      <w:r w:rsidRPr="009E5E2C">
        <w:t xml:space="preserve"> for </w:t>
      </w:r>
      <w:r w:rsidR="00E606CD">
        <w:t xml:space="preserve">bituminous </w:t>
      </w:r>
      <w:r w:rsidR="007D0AC8">
        <w:t>surfacings</w:t>
      </w:r>
      <w:r w:rsidRPr="009E5E2C">
        <w:t>.</w:t>
      </w:r>
      <w:r w:rsidR="007D0AC8">
        <w:t xml:space="preserve"> I</w:t>
      </w:r>
      <w:r w:rsidR="00E95C67" w:rsidRPr="000E677D">
        <w:t xml:space="preserve">gnore any reference to </w:t>
      </w:r>
      <w:r w:rsidR="00A61603">
        <w:t xml:space="preserve">minimum </w:t>
      </w:r>
      <w:r w:rsidR="00E95C67" w:rsidRPr="000E677D">
        <w:t xml:space="preserve">PSV </w:t>
      </w:r>
      <w:r w:rsidR="00581625">
        <w:t xml:space="preserve">values </w:t>
      </w:r>
      <w:r w:rsidR="007D0AC8">
        <w:t xml:space="preserve">for </w:t>
      </w:r>
      <w:r w:rsidR="00E606CD">
        <w:t xml:space="preserve">bituminous </w:t>
      </w:r>
      <w:r w:rsidR="007D0AC8">
        <w:t xml:space="preserve">surfacings stated in VicRoads </w:t>
      </w:r>
      <w:r w:rsidR="00E606CD">
        <w:t xml:space="preserve">Code of Practices and other </w:t>
      </w:r>
      <w:r w:rsidR="007D0AC8">
        <w:t>standard documents</w:t>
      </w:r>
      <w:r w:rsidR="00E95C67" w:rsidRPr="000E677D">
        <w:t>.</w:t>
      </w:r>
    </w:p>
    <w:p w:rsidR="007423FF" w:rsidRDefault="007423FF" w:rsidP="007719B4"/>
    <w:p w:rsidR="003E3007" w:rsidRPr="00866093" w:rsidRDefault="003E3007" w:rsidP="003E3007">
      <w:pPr>
        <w:pStyle w:val="BodyText"/>
      </w:pPr>
    </w:p>
    <w:p w:rsidR="003E3007" w:rsidRPr="003E3007" w:rsidRDefault="003E3007" w:rsidP="003E3007">
      <w:pPr>
        <w:pStyle w:val="Heading2"/>
      </w:pPr>
      <w:r w:rsidRPr="003E3007">
        <w:t>RC 500.00</w:t>
      </w:r>
      <w:r w:rsidRPr="003E3007">
        <w:tab/>
        <w:t>Source Rock Investigations</w:t>
      </w:r>
    </w:p>
    <w:p w:rsidR="005002D7" w:rsidRDefault="005002D7" w:rsidP="005002D7">
      <w:pPr>
        <w:pStyle w:val="Heading3"/>
      </w:pPr>
      <w:r>
        <w:t>Clause 5</w:t>
      </w:r>
    </w:p>
    <w:p w:rsidR="003E3007" w:rsidRPr="003E3007" w:rsidRDefault="00726EE6" w:rsidP="003E3007">
      <w:pPr>
        <w:pStyle w:val="BodyText"/>
      </w:pPr>
      <w:r>
        <w:t>Replace 'Polished Stone Values are specified for Class A sealing aggregate and …..' with 'Polished Stone Values are specified for all sealing aggregate and …..'</w:t>
      </w:r>
    </w:p>
    <w:p w:rsidR="003E3007" w:rsidRPr="003E3007" w:rsidRDefault="003E3007" w:rsidP="003E3007">
      <w:pPr>
        <w:pStyle w:val="Heading2"/>
      </w:pPr>
      <w:r w:rsidRPr="003E3007">
        <w:t>RC 500.01</w:t>
      </w:r>
      <w:r w:rsidRPr="003E3007">
        <w:tab/>
        <w:t>Registration of Bituminous Mix Designs</w:t>
      </w:r>
    </w:p>
    <w:p w:rsidR="003E3007" w:rsidRPr="003E3007" w:rsidRDefault="00A522EB" w:rsidP="003E3007">
      <w:pPr>
        <w:pStyle w:val="BodyText"/>
      </w:pPr>
      <w:r>
        <w:t>Nil</w:t>
      </w:r>
    </w:p>
    <w:p w:rsidR="003E3007" w:rsidRPr="003E3007" w:rsidRDefault="003E3007" w:rsidP="003E3007">
      <w:pPr>
        <w:pStyle w:val="Heading2"/>
      </w:pPr>
      <w:r w:rsidRPr="003E3007">
        <w:t>RC 500.02</w:t>
      </w:r>
      <w:r w:rsidRPr="003E3007">
        <w:tab/>
        <w:t>Registration of Crushed Rock Mix Designs</w:t>
      </w:r>
    </w:p>
    <w:p w:rsidR="00D6604B" w:rsidRDefault="00D6604B" w:rsidP="00D6604B">
      <w:pPr>
        <w:pStyle w:val="Heading3"/>
      </w:pPr>
      <w:r>
        <w:t>Table 1</w:t>
      </w:r>
    </w:p>
    <w:p w:rsidR="00D6604B" w:rsidRDefault="00D6604B" w:rsidP="00D6604B">
      <w:pPr>
        <w:pStyle w:val="BodyText"/>
      </w:pPr>
      <w:r>
        <w:t>In the description of Class 1 material, delete the words 'It has a minimum plasticity index requirement and'.</w:t>
      </w:r>
    </w:p>
    <w:p w:rsidR="00D6604B" w:rsidRDefault="00D6604B" w:rsidP="00D6604B">
      <w:pPr>
        <w:pStyle w:val="Heading3"/>
      </w:pPr>
      <w:r>
        <w:t>Table 7 - Crushed Rock Requirements</w:t>
      </w:r>
    </w:p>
    <w:p w:rsidR="00D6604B" w:rsidRDefault="00D6604B" w:rsidP="00D6604B">
      <w:pPr>
        <w:pStyle w:val="BodyText"/>
      </w:pPr>
      <w:r>
        <w:t>For Class 1 material amend the Plasticity Index (range) to read '0 - 6'.</w:t>
      </w:r>
    </w:p>
    <w:p w:rsidR="003E3007" w:rsidRPr="003E3007" w:rsidRDefault="003E3007" w:rsidP="003E3007">
      <w:pPr>
        <w:pStyle w:val="Heading2"/>
      </w:pPr>
      <w:r w:rsidRPr="003E3007">
        <w:t>RC 500.03</w:t>
      </w:r>
      <w:r w:rsidRPr="003E3007">
        <w:tab/>
        <w:t>Management of Quarry Reference Specimens</w:t>
      </w:r>
    </w:p>
    <w:p w:rsidR="003E3007" w:rsidRPr="003E3007" w:rsidRDefault="003E3007" w:rsidP="003E3007">
      <w:pPr>
        <w:pStyle w:val="BodyText"/>
      </w:pPr>
      <w:r w:rsidRPr="00866093">
        <w:t>Nil</w:t>
      </w:r>
      <w:r w:rsidRPr="003E3007">
        <w:t xml:space="preserve"> </w:t>
      </w:r>
    </w:p>
    <w:p w:rsidR="003E3007" w:rsidRPr="003E3007" w:rsidRDefault="003E3007" w:rsidP="003E3007">
      <w:pPr>
        <w:pStyle w:val="Heading2"/>
      </w:pPr>
      <w:r w:rsidRPr="003E3007">
        <w:t>RC 500.05</w:t>
      </w:r>
      <w:r w:rsidRPr="003E3007">
        <w:tab/>
        <w:t>Acceptance of Field Compaction</w:t>
      </w:r>
    </w:p>
    <w:p w:rsidR="003E3007" w:rsidRPr="003E3007" w:rsidRDefault="003E3007" w:rsidP="003E3007">
      <w:pPr>
        <w:pStyle w:val="BodyText"/>
      </w:pPr>
      <w:r w:rsidRPr="00866093">
        <w:t>Nil</w:t>
      </w:r>
    </w:p>
    <w:p w:rsidR="003E3007" w:rsidRPr="003E3007" w:rsidRDefault="003E3007" w:rsidP="003E3007">
      <w:pPr>
        <w:pStyle w:val="Heading2"/>
      </w:pPr>
      <w:r w:rsidRPr="003E3007">
        <w:t>RC 500.09</w:t>
      </w:r>
      <w:r w:rsidRPr="003E3007">
        <w:tab/>
        <w:t>Testing of Aggregates for Sprayed Bituminous Surfacings</w:t>
      </w:r>
    </w:p>
    <w:p w:rsidR="003E3007" w:rsidRPr="003E3007" w:rsidRDefault="003E3007" w:rsidP="003E3007">
      <w:pPr>
        <w:pStyle w:val="BodyText"/>
      </w:pPr>
      <w:r w:rsidRPr="00866093">
        <w:t>Nil</w:t>
      </w:r>
    </w:p>
    <w:p w:rsidR="003E3007" w:rsidRPr="003E3007" w:rsidRDefault="003E3007" w:rsidP="003E3007">
      <w:pPr>
        <w:pStyle w:val="Heading2"/>
      </w:pPr>
      <w:r w:rsidRPr="003E3007">
        <w:t>RC 500.11</w:t>
      </w:r>
      <w:r w:rsidRPr="003E3007">
        <w:tab/>
        <w:t>Surveillance of M</w:t>
      </w:r>
      <w:r w:rsidR="001A0034">
        <w:t>aterials, Testing and Compaction</w:t>
      </w:r>
      <w:r w:rsidRPr="003E3007">
        <w:tab/>
      </w:r>
    </w:p>
    <w:p w:rsidR="003E3007" w:rsidRPr="003E3007" w:rsidRDefault="003E3007" w:rsidP="003E3007">
      <w:pPr>
        <w:pStyle w:val="BodyText"/>
      </w:pPr>
      <w:r>
        <w:t>Nil</w:t>
      </w:r>
    </w:p>
    <w:p w:rsidR="003E3007" w:rsidRPr="003E3007" w:rsidRDefault="003E3007" w:rsidP="003E3007">
      <w:pPr>
        <w:pStyle w:val="Heading2"/>
      </w:pPr>
      <w:r w:rsidRPr="003E3007">
        <w:lastRenderedPageBreak/>
        <w:t>RC 500.16</w:t>
      </w:r>
      <w:r w:rsidRPr="003E3007">
        <w:tab/>
        <w:t>Selection of Test Methods for Testing if Materials and Work</w:t>
      </w:r>
    </w:p>
    <w:p w:rsidR="003E3007" w:rsidRPr="003E3007" w:rsidRDefault="003E3007" w:rsidP="003E3007">
      <w:pPr>
        <w:pStyle w:val="BodyText"/>
      </w:pPr>
      <w:r w:rsidRPr="00866093">
        <w:t>Nil</w:t>
      </w:r>
    </w:p>
    <w:p w:rsidR="003E3007" w:rsidRPr="003E3007" w:rsidRDefault="003E3007" w:rsidP="003E3007">
      <w:pPr>
        <w:pStyle w:val="Heading2"/>
      </w:pPr>
      <w:r w:rsidRPr="003E3007">
        <w:t>RC 500.20</w:t>
      </w:r>
      <w:r w:rsidRPr="003E3007">
        <w:tab/>
        <w:t>Assignment of CBR and Percent Swell to Earthworks Fill and Pavement Materials</w:t>
      </w:r>
    </w:p>
    <w:p w:rsidR="003E3007" w:rsidRPr="003E3007" w:rsidRDefault="003E3007" w:rsidP="003E3007">
      <w:pPr>
        <w:pStyle w:val="BodyText"/>
      </w:pPr>
      <w:r w:rsidRPr="00866093">
        <w:t>Nil</w:t>
      </w:r>
    </w:p>
    <w:p w:rsidR="003E3007" w:rsidRPr="003E3007" w:rsidRDefault="003E3007" w:rsidP="003E3007">
      <w:pPr>
        <w:pStyle w:val="Heading2"/>
      </w:pPr>
      <w:r w:rsidRPr="003E3007">
        <w:t>RC 500.22</w:t>
      </w:r>
      <w:r w:rsidRPr="003E3007">
        <w:tab/>
        <w:t>Selection and Design of Pavements and Surfacings</w:t>
      </w:r>
    </w:p>
    <w:p w:rsidR="003E3007" w:rsidRPr="003E3007" w:rsidRDefault="003E3007" w:rsidP="003E3007">
      <w:pPr>
        <w:pStyle w:val="Heading3"/>
      </w:pPr>
      <w:r w:rsidRPr="003E3007">
        <w:t>General</w:t>
      </w:r>
    </w:p>
    <w:p w:rsidR="003E3007" w:rsidRPr="005002D7" w:rsidRDefault="001A0034" w:rsidP="003910B5">
      <w:pPr>
        <w:pStyle w:val="BodyText"/>
      </w:pPr>
      <w:r w:rsidRPr="005002D7">
        <w:t>Include an additional clause '</w:t>
      </w:r>
      <w:r w:rsidR="003E3007" w:rsidRPr="005002D7">
        <w:t>All pavement and surfacing treatment selections shall be appro</w:t>
      </w:r>
      <w:r w:rsidRPr="005002D7">
        <w:t>ved by Asset Mana</w:t>
      </w:r>
      <w:r w:rsidR="00DB360C" w:rsidRPr="005002D7">
        <w:t>gement Branch.'</w:t>
      </w:r>
    </w:p>
    <w:p w:rsidR="003E3007" w:rsidRPr="003E3007" w:rsidRDefault="003E3007" w:rsidP="003E3007">
      <w:pPr>
        <w:pStyle w:val="Heading3"/>
      </w:pPr>
      <w:r w:rsidRPr="003E3007">
        <w:t>General</w:t>
      </w:r>
    </w:p>
    <w:p w:rsidR="003E3007" w:rsidRPr="003E3007" w:rsidRDefault="003E3007" w:rsidP="003E3007">
      <w:pPr>
        <w:pStyle w:val="BodyText"/>
      </w:pPr>
      <w:r w:rsidRPr="002A5C76">
        <w:t>Guidance on the intended application of pavement materials:</w:t>
      </w:r>
    </w:p>
    <w:p w:rsidR="003E3007" w:rsidRPr="003E3007" w:rsidRDefault="003E3007" w:rsidP="003E3007">
      <w:pPr>
        <w:pStyle w:val="BodyText"/>
      </w:pPr>
      <w:r w:rsidRPr="002A5C76">
        <w:t>Class 1 material – base course on higher traf</w:t>
      </w:r>
      <w:r w:rsidRPr="003E3007">
        <w:t>fic roads (Design Traffic over 7 x 10</w:t>
      </w:r>
      <w:r w:rsidRPr="009E5E2C">
        <w:rPr>
          <w:rStyle w:val="FootnoteReference"/>
        </w:rPr>
        <w:t>6</w:t>
      </w:r>
      <w:r w:rsidRPr="003E3007">
        <w:t xml:space="preserve"> DESA’s)</w:t>
      </w:r>
    </w:p>
    <w:p w:rsidR="003E3007" w:rsidRPr="003E3007" w:rsidRDefault="003E3007" w:rsidP="003E3007">
      <w:pPr>
        <w:pStyle w:val="BodyText"/>
      </w:pPr>
      <w:r w:rsidRPr="002A5C76">
        <w:t>Class 2 material - base course on moderate and lower traffic roads (Design Traffic less than</w:t>
      </w:r>
      <w:r w:rsidRPr="003E3007">
        <w:t xml:space="preserve"> 7 x 10</w:t>
      </w:r>
      <w:r w:rsidRPr="009E5E2C">
        <w:rPr>
          <w:rStyle w:val="FootnoteReference"/>
        </w:rPr>
        <w:t xml:space="preserve">6 </w:t>
      </w:r>
      <w:r w:rsidRPr="003E3007">
        <w:t>DESA’s)</w:t>
      </w:r>
    </w:p>
    <w:p w:rsidR="003E3007" w:rsidRPr="003E3007" w:rsidRDefault="003E3007" w:rsidP="003E3007">
      <w:pPr>
        <w:pStyle w:val="BodyText"/>
      </w:pPr>
      <w:r w:rsidRPr="002A5C76">
        <w:t>Class 3 material – subbase 1 layer, with a 40mm mix (all traffic volumes)</w:t>
      </w:r>
    </w:p>
    <w:p w:rsidR="003E3007" w:rsidRPr="003E3007" w:rsidRDefault="003E3007" w:rsidP="003E3007">
      <w:pPr>
        <w:pStyle w:val="BodyText"/>
      </w:pPr>
      <w:r w:rsidRPr="002A5C76">
        <w:t>Class 4 material – subbase 2 layer, with a 40mm or 50mm mix (all traffic volumes)</w:t>
      </w:r>
    </w:p>
    <w:p w:rsidR="003E3007" w:rsidRDefault="003E3007" w:rsidP="003E3007">
      <w:pPr>
        <w:pStyle w:val="BodyText"/>
      </w:pPr>
      <w:r w:rsidRPr="002A5C76">
        <w:t xml:space="preserve">Note that while VicRoads does allow the use of Class 3 materials as a base layer, </w:t>
      </w:r>
      <w:r w:rsidR="003910B5">
        <w:t>r</w:t>
      </w:r>
      <w:r w:rsidR="0028700A">
        <w:t>eferral</w:t>
      </w:r>
      <w:r w:rsidR="003910B5">
        <w:t xml:space="preserve"> to Manager Asset Management </w:t>
      </w:r>
      <w:r w:rsidR="0028700A">
        <w:t>for approval is required where this application is proposed for use on a State Growth project</w:t>
      </w:r>
      <w:r w:rsidRPr="002A5C76">
        <w:t xml:space="preserve">.  If it were to be specified </w:t>
      </w:r>
      <w:r w:rsidR="0028700A">
        <w:t xml:space="preserve">for use </w:t>
      </w:r>
      <w:r w:rsidRPr="002A5C76">
        <w:t xml:space="preserve">as a base, a 20mm mix would be </w:t>
      </w:r>
      <w:r w:rsidR="0028700A">
        <w:t>nominated</w:t>
      </w:r>
      <w:r w:rsidRPr="002A5C76">
        <w:t>.</w:t>
      </w:r>
    </w:p>
    <w:p w:rsidR="00056B74" w:rsidRDefault="00056B74" w:rsidP="00056B74">
      <w:pPr>
        <w:pStyle w:val="Heading3"/>
      </w:pPr>
      <w:r>
        <w:t xml:space="preserve">Clause 8.1, </w:t>
      </w:r>
    </w:p>
    <w:p w:rsidR="005002D7" w:rsidRPr="003E3007" w:rsidRDefault="00C405F4" w:rsidP="00056B74">
      <w:pPr>
        <w:pStyle w:val="BodyText"/>
      </w:pPr>
      <w:r>
        <w:t>Replace Table 8.1 with ‘</w:t>
      </w:r>
      <w:r w:rsidR="00056B74">
        <w:t xml:space="preserve">The pavement design period shall be 20 years for </w:t>
      </w:r>
      <w:r>
        <w:t>all road types/ classifications.’</w:t>
      </w:r>
    </w:p>
    <w:p w:rsidR="003E3007" w:rsidRDefault="003E3007" w:rsidP="003E3007">
      <w:pPr>
        <w:pStyle w:val="Heading3"/>
      </w:pPr>
      <w:r w:rsidRPr="003E3007">
        <w:t xml:space="preserve">Clause 9.2.1(a) </w:t>
      </w:r>
    </w:p>
    <w:p w:rsidR="003E3007" w:rsidRPr="003E3007" w:rsidRDefault="003E3007" w:rsidP="003E3007">
      <w:pPr>
        <w:pStyle w:val="BodyText"/>
      </w:pPr>
      <w:r w:rsidRPr="003E3007">
        <w:t xml:space="preserve">All </w:t>
      </w:r>
      <w:r w:rsidR="00C405F4">
        <w:t>sprayed seal</w:t>
      </w:r>
      <w:r w:rsidR="004E7E8D">
        <w:t xml:space="preserve">s </w:t>
      </w:r>
      <w:r w:rsidRPr="003E3007">
        <w:t>must specify a minimum P</w:t>
      </w:r>
      <w:r w:rsidR="00666F0F">
        <w:t>S</w:t>
      </w:r>
      <w:r w:rsidRPr="003E3007">
        <w:t xml:space="preserve">V.  The Department of State Growth will </w:t>
      </w:r>
      <w:r w:rsidR="005002D7">
        <w:t xml:space="preserve">nominate </w:t>
      </w:r>
      <w:r w:rsidRPr="003E3007">
        <w:t xml:space="preserve">the </w:t>
      </w:r>
      <w:r w:rsidR="005002D7">
        <w:t xml:space="preserve">minimum </w:t>
      </w:r>
      <w:r w:rsidRPr="003E3007">
        <w:t>P</w:t>
      </w:r>
      <w:r w:rsidR="00666F0F">
        <w:t>S</w:t>
      </w:r>
      <w:r w:rsidRPr="003E3007">
        <w:t>V</w:t>
      </w:r>
      <w:r w:rsidR="004E7E8D">
        <w:t>.</w:t>
      </w:r>
      <w:r w:rsidRPr="003E3007">
        <w:t xml:space="preserve"> </w:t>
      </w:r>
    </w:p>
    <w:p w:rsidR="003E3007" w:rsidRDefault="003E3007" w:rsidP="003E3007">
      <w:pPr>
        <w:pStyle w:val="Heading3"/>
      </w:pPr>
      <w:r w:rsidRPr="003E3007">
        <w:t>Clauses 10.2.2, 10.2.3, 10.2.4</w:t>
      </w:r>
    </w:p>
    <w:p w:rsidR="003E3007" w:rsidRPr="003E3007" w:rsidRDefault="003E3007" w:rsidP="003E3007">
      <w:pPr>
        <w:pStyle w:val="BodyText"/>
      </w:pPr>
      <w:r w:rsidRPr="003E3007">
        <w:t xml:space="preserve">Replace the nominal 30mm thick of size 10mm asphalt with ‘a </w:t>
      </w:r>
      <w:r w:rsidR="009E5E2C">
        <w:t>40mm thick layer of size 14 mm a</w:t>
      </w:r>
      <w:r w:rsidRPr="003E3007">
        <w:t>sphalt surfacing shall be selected ….’</w:t>
      </w:r>
    </w:p>
    <w:p w:rsidR="003E3007" w:rsidRDefault="003E3007" w:rsidP="003E3007">
      <w:pPr>
        <w:pStyle w:val="Heading3"/>
      </w:pPr>
      <w:r w:rsidRPr="003E3007">
        <w:lastRenderedPageBreak/>
        <w:t>Clause 11.11</w:t>
      </w:r>
    </w:p>
    <w:p w:rsidR="003E3007" w:rsidRPr="003E3007" w:rsidRDefault="003E3007" w:rsidP="003E3007">
      <w:pPr>
        <w:pStyle w:val="BodyText"/>
      </w:pPr>
      <w:r>
        <w:t>Amend clause</w:t>
      </w:r>
      <w:r w:rsidR="001A0034">
        <w:t xml:space="preserve"> to read '</w:t>
      </w:r>
      <w:r w:rsidRPr="003E3007">
        <w:t>A WMAPT of 20</w:t>
      </w:r>
      <w:r w:rsidRPr="003E3007">
        <w:sym w:font="Symbol" w:char="F0B0"/>
      </w:r>
      <w:r w:rsidRPr="003E3007">
        <w:t xml:space="preserve"> for Hobart shall be applied unless alternative sit</w:t>
      </w:r>
      <w:r w:rsidR="001A0034">
        <w:t>e-specific data is available.'</w:t>
      </w:r>
    </w:p>
    <w:p w:rsidR="003E3007" w:rsidRPr="003E3007" w:rsidRDefault="003E3007" w:rsidP="003E3007">
      <w:pPr>
        <w:pStyle w:val="Heading3"/>
      </w:pPr>
      <w:r>
        <w:t>Appendix A</w:t>
      </w:r>
    </w:p>
    <w:p w:rsidR="003E3007" w:rsidRPr="003E3007" w:rsidRDefault="003E3007" w:rsidP="003E3007">
      <w:pPr>
        <w:pStyle w:val="BodyText"/>
      </w:pPr>
      <w:r>
        <w:t xml:space="preserve">Replace Appendix A with site specific Average Annual Rainfall, based on the most recent standard 30 year climatology data, available from </w:t>
      </w:r>
      <w:hyperlink r:id="rId14" w:history="1">
        <w:r w:rsidRPr="003E3007">
          <w:t>http:/www.bom.gov.au/climate/averages/maps.shtml</w:t>
        </w:r>
      </w:hyperlink>
    </w:p>
    <w:p w:rsidR="003E3007" w:rsidRDefault="003E3007" w:rsidP="003E3007">
      <w:pPr>
        <w:pStyle w:val="Heading3"/>
      </w:pPr>
      <w:r>
        <w:t>Appendix B</w:t>
      </w:r>
    </w:p>
    <w:p w:rsidR="003E3007" w:rsidRPr="003E3007" w:rsidRDefault="003E3007" w:rsidP="003E3007">
      <w:pPr>
        <w:pStyle w:val="BodyText"/>
      </w:pPr>
      <w:r>
        <w:t>R</w:t>
      </w:r>
      <w:r w:rsidRPr="003E3007">
        <w:t>eplace</w:t>
      </w:r>
      <w:r>
        <w:t xml:space="preserve"> Appendix B</w:t>
      </w:r>
      <w:r w:rsidRPr="003E3007">
        <w:t xml:space="preserve"> with the following:</w:t>
      </w:r>
    </w:p>
    <w:p w:rsidR="003E3007" w:rsidRPr="00E95C67" w:rsidRDefault="003E3007" w:rsidP="003E3007">
      <w:pPr>
        <w:pStyle w:val="BodyText"/>
        <w:rPr>
          <w:rStyle w:val="BodytextBold"/>
        </w:rPr>
      </w:pPr>
      <w:bookmarkStart w:id="2" w:name="_Toc235263636"/>
      <w:bookmarkStart w:id="3" w:name="_Toc379870511"/>
      <w:r w:rsidRPr="00E95C67">
        <w:rPr>
          <w:rStyle w:val="BodytextBold"/>
        </w:rPr>
        <w:t>Design Traffic</w:t>
      </w:r>
      <w:bookmarkEnd w:id="2"/>
      <w:bookmarkEnd w:id="3"/>
    </w:p>
    <w:p w:rsidR="003E3007" w:rsidRPr="003E3007" w:rsidRDefault="003E3007" w:rsidP="003E3007">
      <w:pPr>
        <w:pStyle w:val="BodyText"/>
      </w:pPr>
      <w:r w:rsidRPr="00866093">
        <w:t>The AADT and heavy vehicle content is available across the Department of State Growth-managed State Road network.  For some sites, more detailed traffic data is available.  In the absence of more detailed, site-specific information, the design shall assume that:</w:t>
      </w:r>
    </w:p>
    <w:p w:rsidR="003E3007" w:rsidRPr="003E3007" w:rsidRDefault="003E3007" w:rsidP="003E3007">
      <w:pPr>
        <w:pStyle w:val="BodyText"/>
      </w:pPr>
      <w:r w:rsidRPr="00866093">
        <w:t>All heavy vehicles travel in the outside lane on multi-lane roads;</w:t>
      </w:r>
    </w:p>
    <w:p w:rsidR="003E3007" w:rsidRPr="003E3007" w:rsidRDefault="003E3007" w:rsidP="003E3007">
      <w:pPr>
        <w:pStyle w:val="BodyText"/>
      </w:pPr>
      <w:r w:rsidRPr="00866093">
        <w:t xml:space="preserve">Direction Factor of 0.5 (i.e. traffic is divided equally between the PD and CD </w:t>
      </w:r>
      <w:r w:rsidRPr="003E3007">
        <w:t>direction);</w:t>
      </w:r>
    </w:p>
    <w:p w:rsidR="003E3007" w:rsidRPr="003E3007" w:rsidRDefault="003E3007" w:rsidP="003E3007">
      <w:pPr>
        <w:pStyle w:val="BodyText"/>
      </w:pPr>
      <w:r w:rsidRPr="00866093">
        <w:t>The number of heavy vehicle axle groups per heavy vehicle (N</w:t>
      </w:r>
      <w:r w:rsidRPr="003E3007">
        <w:t>HVAG) shall be 2.8 for rural roads and 2.5 for urban roads;</w:t>
      </w:r>
    </w:p>
    <w:p w:rsidR="003E3007" w:rsidRPr="003E3007" w:rsidRDefault="003E3007" w:rsidP="003E3007">
      <w:pPr>
        <w:pStyle w:val="BodyText"/>
      </w:pPr>
      <w:r w:rsidRPr="00866093">
        <w:t>The traffic load distribution (TLD) for granular pavements with a thin bituminous surfacing shall be 0.9 ESA’s per HVAG for rural roads and 0.7 ESA’s per HVAG for urban roads;</w:t>
      </w:r>
    </w:p>
    <w:p w:rsidR="003E3007" w:rsidRPr="003E3007" w:rsidRDefault="003E3007" w:rsidP="003E3007">
      <w:pPr>
        <w:pStyle w:val="BodyText"/>
      </w:pPr>
      <w:r>
        <w:t>Annual traffic growth rate 2</w:t>
      </w:r>
      <w:r w:rsidRPr="003E3007">
        <w:t>%.</w:t>
      </w:r>
    </w:p>
    <w:p w:rsidR="003E3007" w:rsidRPr="003E3007" w:rsidRDefault="003E3007" w:rsidP="003E3007">
      <w:pPr>
        <w:pStyle w:val="BodyText"/>
      </w:pPr>
      <w:r w:rsidRPr="003E3007">
        <w:t>Note: The 2% growth rate is intended to cover both the growth in the number of heavy vehicles over time but also the growth in ESA’s per heavy vehicle.</w:t>
      </w:r>
    </w:p>
    <w:p w:rsidR="003E3007" w:rsidRPr="003E3007" w:rsidRDefault="003E3007" w:rsidP="003E3007">
      <w:pPr>
        <w:pStyle w:val="BodyText"/>
      </w:pPr>
      <w:r w:rsidRPr="00866093">
        <w:t xml:space="preserve">Designers shall </w:t>
      </w:r>
      <w:r w:rsidRPr="003E3007">
        <w:t>establish if more detailed traffic data exists for the site or is required to be collected, particularly where a sensitivity analysis highlights a need.  In the event that weigh-in-motion information is available, this shall be used to determine the direction factor, the number of heavy vehicle axle groups per heavy vehicle and the traffic load distribution.</w:t>
      </w:r>
    </w:p>
    <w:p w:rsidR="003E3007" w:rsidRPr="003E3007" w:rsidRDefault="003E3007" w:rsidP="003E3007">
      <w:pPr>
        <w:pStyle w:val="BodyText"/>
      </w:pPr>
      <w:r w:rsidRPr="00866093">
        <w:t>For new pavements, the pavement design shall be based on the traffic lane with the highest Design Traffic.  This design shall be applied across the full carriageway width including the shoulders.  For strengthening of a multi-lane road, different treatments for each lane may be considered, in which case the Design Traffic should be calculated for each lane.</w:t>
      </w:r>
    </w:p>
    <w:p w:rsidR="003E3007" w:rsidRPr="00E95C67" w:rsidRDefault="003E3007" w:rsidP="003E3007">
      <w:pPr>
        <w:pStyle w:val="BodyText"/>
        <w:rPr>
          <w:rStyle w:val="BodytextBold"/>
        </w:rPr>
      </w:pPr>
      <w:bookmarkStart w:id="4" w:name="_Toc379870512"/>
      <w:r w:rsidRPr="00E95C67">
        <w:rPr>
          <w:rStyle w:val="BodytextBold"/>
        </w:rPr>
        <w:t>Design Traffic Calculations for Temporary Pavements</w:t>
      </w:r>
      <w:bookmarkEnd w:id="4"/>
    </w:p>
    <w:p w:rsidR="003E3007" w:rsidRPr="003E3007" w:rsidRDefault="003E3007" w:rsidP="003E3007">
      <w:pPr>
        <w:pStyle w:val="BodyText"/>
      </w:pPr>
      <w:r w:rsidRPr="00866093">
        <w:t>For temporary pavements with a design period of less than five years, the design traffic shall be calculated using a 20 year design period with zero traffic growth rate, using the maximum daily heavy vehicle volume.</w:t>
      </w:r>
    </w:p>
    <w:p w:rsidR="00E95C67" w:rsidRDefault="00E95C67" w:rsidP="00E95C67">
      <w:pPr>
        <w:pStyle w:val="Heading3"/>
      </w:pPr>
      <w:r>
        <w:t>Appendix C</w:t>
      </w:r>
    </w:p>
    <w:p w:rsidR="003E3007" w:rsidRPr="003E3007" w:rsidRDefault="003E3007" w:rsidP="003E3007">
      <w:pPr>
        <w:pStyle w:val="BodyText"/>
      </w:pPr>
      <w:r w:rsidRPr="003E3007">
        <w:t>Further to Appendix C, all seal treatments are to be confirmed with Asset Management Branch.</w:t>
      </w:r>
    </w:p>
    <w:p w:rsidR="00E95C67" w:rsidRDefault="00E95C67" w:rsidP="00E95C67">
      <w:pPr>
        <w:pStyle w:val="Heading3"/>
      </w:pPr>
      <w:r>
        <w:lastRenderedPageBreak/>
        <w:t>Appendix D</w:t>
      </w:r>
    </w:p>
    <w:p w:rsidR="003E3007" w:rsidRPr="003E3007" w:rsidRDefault="00527691" w:rsidP="003E3007">
      <w:pPr>
        <w:pStyle w:val="BodyText"/>
      </w:pPr>
      <w:r>
        <w:t>Guidance on the use of asphalt types is provided</w:t>
      </w:r>
      <w:r w:rsidR="003E3007" w:rsidRPr="003E3007">
        <w:t xml:space="preserve">: </w:t>
      </w:r>
    </w:p>
    <w:p w:rsidR="003E3007" w:rsidRPr="001A0034" w:rsidRDefault="003E3007" w:rsidP="003E3007">
      <w:pPr>
        <w:pStyle w:val="BodyText"/>
        <w:rPr>
          <w:rStyle w:val="BodytextBold"/>
        </w:rPr>
      </w:pPr>
      <w:r w:rsidRPr="001A0034">
        <w:rPr>
          <w:rStyle w:val="BodytextBold"/>
        </w:rPr>
        <w:t>Commonly used asphalt types:</w:t>
      </w:r>
    </w:p>
    <w:p w:rsidR="003E3007" w:rsidRPr="003E3007" w:rsidRDefault="003E3007" w:rsidP="003E3007">
      <w:pPr>
        <w:pStyle w:val="BodyText"/>
      </w:pPr>
      <w:r w:rsidRPr="00866093">
        <w:t xml:space="preserve">Mix </w:t>
      </w:r>
      <w:r w:rsidRPr="003E3007">
        <w:t>designations N – general wearing surface</w:t>
      </w:r>
      <w:r w:rsidR="005002D7">
        <w:t xml:space="preserve"> (typically size</w:t>
      </w:r>
      <w:r w:rsidR="001A0034">
        <w:t>14 mm</w:t>
      </w:r>
      <w:r w:rsidR="005002D7">
        <w:t xml:space="preserve"> mix</w:t>
      </w:r>
      <w:r w:rsidR="001A0034">
        <w:t>) and other maintenance treatments (size 7/10/14 mm</w:t>
      </w:r>
      <w:r w:rsidR="005002D7">
        <w:t xml:space="preserve"> mixes</w:t>
      </w:r>
      <w:r w:rsidR="001A0034">
        <w:t>)</w:t>
      </w:r>
      <w:r w:rsidR="00937479">
        <w:t>.  C170 binder.</w:t>
      </w:r>
    </w:p>
    <w:p w:rsidR="003E3007" w:rsidRDefault="003E3007" w:rsidP="003E3007">
      <w:pPr>
        <w:pStyle w:val="BodyText"/>
      </w:pPr>
      <w:r w:rsidRPr="00866093">
        <w:t xml:space="preserve">Mix </w:t>
      </w:r>
      <w:r w:rsidRPr="003E3007">
        <w:t>designations H –</w:t>
      </w:r>
      <w:r w:rsidR="005002D7">
        <w:t xml:space="preserve"> </w:t>
      </w:r>
      <w:r w:rsidRPr="003E3007">
        <w:t>heavy duty wearing surface</w:t>
      </w:r>
      <w:r w:rsidR="001A0034">
        <w:t xml:space="preserve"> (</w:t>
      </w:r>
      <w:r w:rsidR="005002D7">
        <w:t>typically size14 mm mix</w:t>
      </w:r>
      <w:r w:rsidR="001A0034" w:rsidRPr="001A0034">
        <w:t>)</w:t>
      </w:r>
      <w:r w:rsidR="00937479">
        <w:t>. C320 binder.</w:t>
      </w:r>
    </w:p>
    <w:p w:rsidR="00C405F4" w:rsidRPr="003E3007" w:rsidRDefault="00C405F4" w:rsidP="003E3007">
      <w:pPr>
        <w:pStyle w:val="BodyText"/>
      </w:pPr>
      <w:r w:rsidRPr="003E3007">
        <w:t xml:space="preserve">All </w:t>
      </w:r>
      <w:r>
        <w:t>asphalt</w:t>
      </w:r>
      <w:r w:rsidRPr="003E3007">
        <w:t xml:space="preserve"> surfacings must specify a minimum P</w:t>
      </w:r>
      <w:r>
        <w:t>S</w:t>
      </w:r>
      <w:r w:rsidRPr="003E3007">
        <w:t xml:space="preserve">V.  The Department of State Growth will </w:t>
      </w:r>
      <w:r>
        <w:t xml:space="preserve">nominate </w:t>
      </w:r>
      <w:r w:rsidRPr="003E3007">
        <w:t xml:space="preserve">the </w:t>
      </w:r>
      <w:r>
        <w:t xml:space="preserve">minimum </w:t>
      </w:r>
      <w:r w:rsidRPr="003E3007">
        <w:t>P</w:t>
      </w:r>
      <w:r>
        <w:t>S</w:t>
      </w:r>
      <w:r w:rsidR="004E7E8D">
        <w:t>V</w:t>
      </w:r>
      <w:r w:rsidRPr="003E3007">
        <w:t>.</w:t>
      </w:r>
    </w:p>
    <w:p w:rsidR="003E3007" w:rsidRPr="001A0034" w:rsidRDefault="003E3007" w:rsidP="003E3007">
      <w:pPr>
        <w:pStyle w:val="BodyText"/>
        <w:rPr>
          <w:rStyle w:val="BodytextBold"/>
        </w:rPr>
      </w:pPr>
      <w:r w:rsidRPr="001A0034">
        <w:rPr>
          <w:rStyle w:val="BodytextBold"/>
        </w:rPr>
        <w:t>Less frequent use:</w:t>
      </w:r>
    </w:p>
    <w:p w:rsidR="003E3007" w:rsidRPr="003E3007" w:rsidRDefault="003E3007" w:rsidP="003E3007">
      <w:pPr>
        <w:pStyle w:val="BodyText"/>
      </w:pPr>
      <w:r w:rsidRPr="00866093">
        <w:t>Mix designations SI</w:t>
      </w:r>
      <w:r w:rsidRPr="003E3007">
        <w:t xml:space="preserve"> – typical structural mix for asphalt pavements, noting that asphalt pavements a</w:t>
      </w:r>
      <w:r w:rsidR="005002D7">
        <w:t>re</w:t>
      </w:r>
      <w:r w:rsidR="001A0034">
        <w:t xml:space="preserve"> not commonly used in Tasmania </w:t>
      </w:r>
      <w:r w:rsidR="001A0034" w:rsidRPr="001A0034">
        <w:t>(</w:t>
      </w:r>
      <w:r w:rsidR="005002D7">
        <w:t>typically size 20 mm mix</w:t>
      </w:r>
      <w:r w:rsidR="001A0034" w:rsidRPr="001A0034">
        <w:t>)</w:t>
      </w:r>
      <w:r w:rsidR="001A0034">
        <w:t>.</w:t>
      </w:r>
      <w:r w:rsidR="00937479">
        <w:t xml:space="preserve"> C320 binder.</w:t>
      </w:r>
    </w:p>
    <w:p w:rsidR="003E3007" w:rsidRDefault="003E3007" w:rsidP="003E3007">
      <w:pPr>
        <w:pStyle w:val="BodyText"/>
        <w:rPr>
          <w:rStyle w:val="BodytextBold"/>
        </w:rPr>
      </w:pPr>
      <w:r w:rsidRPr="001A0034">
        <w:rPr>
          <w:rStyle w:val="BodytextBold"/>
        </w:rPr>
        <w:t>Specialty mixes that are rarely used:</w:t>
      </w:r>
    </w:p>
    <w:p w:rsidR="005002D7" w:rsidRPr="005002D7" w:rsidRDefault="005002D7" w:rsidP="003E3007">
      <w:pPr>
        <w:pStyle w:val="BodyText"/>
        <w:rPr>
          <w:rStyle w:val="BodytextBold"/>
          <w:b w:val="0"/>
          <w:bCs w:val="0"/>
        </w:rPr>
      </w:pPr>
      <w:r w:rsidRPr="00866093">
        <w:t xml:space="preserve">Mix designations V – primarily for </w:t>
      </w:r>
      <w:r>
        <w:t xml:space="preserve">very </w:t>
      </w:r>
      <w:r w:rsidRPr="00866093">
        <w:t>heavily trafficked intersections</w:t>
      </w:r>
      <w:r>
        <w:t xml:space="preserve"> </w:t>
      </w:r>
      <w:r w:rsidRPr="001A0034">
        <w:t>(</w:t>
      </w:r>
      <w:r>
        <w:t>typically size14 mm mix</w:t>
      </w:r>
      <w:r w:rsidRPr="001A0034">
        <w:t>)</w:t>
      </w:r>
      <w:r>
        <w:t>. C320 binder.</w:t>
      </w:r>
    </w:p>
    <w:p w:rsidR="003E3007" w:rsidRDefault="003E3007" w:rsidP="003E3007">
      <w:pPr>
        <w:pStyle w:val="BodyText"/>
      </w:pPr>
      <w:r w:rsidRPr="00866093">
        <w:t>Mix des</w:t>
      </w:r>
      <w:r w:rsidR="00DA5705">
        <w:t>ignations L, HG, HP, SF, SP, SG</w:t>
      </w:r>
      <w:r w:rsidRPr="00866093">
        <w:t xml:space="preserve"> </w:t>
      </w:r>
      <w:r w:rsidR="00DA5705" w:rsidRPr="00866093">
        <w:t>and SS</w:t>
      </w:r>
    </w:p>
    <w:p w:rsidR="00E95C67" w:rsidRDefault="00E95C67" w:rsidP="00E95C67">
      <w:pPr>
        <w:pStyle w:val="Heading3"/>
      </w:pPr>
      <w:r>
        <w:t>Appendix E</w:t>
      </w:r>
    </w:p>
    <w:p w:rsidR="003E3007" w:rsidRPr="003E3007" w:rsidRDefault="003E3007" w:rsidP="003E3007">
      <w:pPr>
        <w:pStyle w:val="BodyText"/>
      </w:pPr>
      <w:r w:rsidRPr="003E3007">
        <w:t>Amend to include the following note:</w:t>
      </w:r>
    </w:p>
    <w:p w:rsidR="003E3007" w:rsidRPr="00866093" w:rsidRDefault="001A0034" w:rsidP="003E3007">
      <w:pPr>
        <w:pStyle w:val="BodyText"/>
      </w:pPr>
      <w:r>
        <w:t>'</w:t>
      </w:r>
      <w:r w:rsidR="003E3007" w:rsidRPr="00866093">
        <w:t>The Asphalt Characteristics outlined in Append E shall be used as a guide only.  Designers shall take into account local conditions and products.  For structural design, Designers shall consult with Manager Asset Management prior to ass</w:t>
      </w:r>
      <w:r>
        <w:t>igning asphalt characteristics.'</w:t>
      </w:r>
    </w:p>
    <w:p w:rsidR="003E3007" w:rsidRPr="003E3007" w:rsidRDefault="003E3007" w:rsidP="00E95C67">
      <w:pPr>
        <w:pStyle w:val="Heading2"/>
      </w:pPr>
      <w:r w:rsidRPr="003E3007">
        <w:t>RC 500.23</w:t>
      </w:r>
      <w:r w:rsidRPr="003E3007">
        <w:tab/>
        <w:t>Lime Stabilised Earthworks Materials – Available Lime, Assigned CBR and Swell</w:t>
      </w:r>
    </w:p>
    <w:p w:rsidR="003E3007" w:rsidRPr="003E3007" w:rsidRDefault="003E3007" w:rsidP="003E3007">
      <w:pPr>
        <w:pStyle w:val="BodyText"/>
      </w:pPr>
      <w:r>
        <w:t>Nil</w:t>
      </w:r>
    </w:p>
    <w:p w:rsidR="003F6291" w:rsidRPr="007719B4" w:rsidRDefault="003F6291" w:rsidP="007719B4"/>
    <w:sectPr w:rsidR="003F6291" w:rsidRPr="007719B4" w:rsidSect="00C369B7">
      <w:headerReference w:type="first" r:id="rId15"/>
      <w:footerReference w:type="first" r:id="rId16"/>
      <w:pgSz w:w="11906" w:h="16838" w:code="9"/>
      <w:pgMar w:top="851" w:right="1134" w:bottom="550" w:left="1134" w:header="851"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83" w:rsidRDefault="00102883" w:rsidP="004E78DD">
      <w:r>
        <w:separator/>
      </w:r>
    </w:p>
  </w:endnote>
  <w:endnote w:type="continuationSeparator" w:id="0">
    <w:p w:rsidR="00102883" w:rsidRDefault="00102883" w:rsidP="004E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C0" w:rsidRDefault="00FF3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A1" w:rsidRDefault="002E5DA1">
    <w:pPr>
      <w:pStyle w:val="Footer"/>
    </w:pPr>
    <w:r w:rsidRPr="002E5DA1">
      <w:t>Department of State Growth</w:t>
    </w:r>
    <w:r>
      <w:tab/>
    </w:r>
    <w:r>
      <w:fldChar w:fldCharType="begin"/>
    </w:r>
    <w:r>
      <w:instrText xml:space="preserve"> PAGE  \* Arabic  \* MERGEFORMAT </w:instrText>
    </w:r>
    <w:r>
      <w:fldChar w:fldCharType="separate"/>
    </w:r>
    <w:r w:rsidR="00FF33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C0" w:rsidRDefault="00FF3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51" w:rsidRDefault="002842DF" w:rsidP="002842DF">
    <w:pPr>
      <w:pStyle w:val="Footer"/>
    </w:pPr>
    <w:r w:rsidRPr="00D82C43">
      <w:t>Department of State Growth</w:t>
    </w:r>
    <w:r>
      <w:tab/>
    </w:r>
    <w:r>
      <w:fldChar w:fldCharType="begin"/>
    </w:r>
    <w:r>
      <w:instrText xml:space="preserve"> PAGE  \* Arabic  \* MERGEFORMAT </w:instrText>
    </w:r>
    <w:r>
      <w:fldChar w:fldCharType="separate"/>
    </w:r>
    <w:r w:rsidR="002F551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83" w:rsidRDefault="00102883" w:rsidP="004E78DD">
      <w:r>
        <w:separator/>
      </w:r>
    </w:p>
  </w:footnote>
  <w:footnote w:type="continuationSeparator" w:id="0">
    <w:p w:rsidR="00102883" w:rsidRDefault="00102883" w:rsidP="004E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4B" w:rsidRDefault="0036604B">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4B" w:rsidRDefault="0036604B">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4B" w:rsidRDefault="006B4873">
    <w:pPr>
      <w:spacing w:before="0" w:after="0" w:line="240" w:lineRule="auto"/>
    </w:pPr>
    <w:r w:rsidRPr="00354408">
      <w:rPr>
        <w:noProof/>
        <w:lang w:eastAsia="en-AU"/>
      </w:rPr>
      <w:drawing>
        <wp:anchor distT="0" distB="0" distL="114300" distR="114300" simplePos="0" relativeHeight="251672576" behindDoc="0" locked="0" layoutInCell="1" allowOverlap="1" wp14:anchorId="1559B8DB" wp14:editId="2E156414">
          <wp:simplePos x="0" y="0"/>
          <wp:positionH relativeFrom="page">
            <wp:posOffset>0</wp:posOffset>
          </wp:positionH>
          <wp:positionV relativeFrom="margin">
            <wp:posOffset>1165860</wp:posOffset>
          </wp:positionV>
          <wp:extent cx="7557770" cy="51435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 14028 header1.jpg"/>
                  <pic:cNvPicPr/>
                </pic:nvPicPr>
                <pic:blipFill rotWithShape="1">
                  <a:blip r:embed="rId1">
                    <a:extLst>
                      <a:ext uri="{28A0092B-C50C-407E-A947-70E740481C1C}">
                        <a14:useLocalDpi xmlns:a14="http://schemas.microsoft.com/office/drawing/2010/main" val="0"/>
                      </a:ext>
                    </a:extLst>
                  </a:blip>
                  <a:srcRect t="57416" b="1"/>
                  <a:stretch/>
                </pic:blipFill>
                <pic:spPr bwMode="auto">
                  <a:xfrm>
                    <a:off x="0" y="0"/>
                    <a:ext cx="7557770" cy="514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873">
      <w:rPr>
        <w:noProof/>
        <w:lang w:eastAsia="en-AU"/>
      </w:rPr>
      <w:drawing>
        <wp:anchor distT="0" distB="0" distL="114300" distR="114300" simplePos="0" relativeHeight="251674624" behindDoc="1" locked="0" layoutInCell="1" allowOverlap="1" wp14:anchorId="4221F735" wp14:editId="2C1585A5">
          <wp:simplePos x="0" y="0"/>
          <wp:positionH relativeFrom="page">
            <wp:align>left</wp:align>
          </wp:positionH>
          <wp:positionV relativeFrom="page">
            <wp:posOffset>2369705</wp:posOffset>
          </wp:positionV>
          <wp:extent cx="7558064" cy="326274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 14028 header1.jpg"/>
                  <pic:cNvPicPr/>
                </pic:nvPicPr>
                <pic:blipFill rotWithShape="1">
                  <a:blip r:embed="rId1">
                    <a:extLst>
                      <a:ext uri="{28A0092B-C50C-407E-A947-70E740481C1C}">
                        <a14:useLocalDpi xmlns:a14="http://schemas.microsoft.com/office/drawing/2010/main" val="0"/>
                      </a:ext>
                    </a:extLst>
                  </a:blip>
                  <a:srcRect t="12378" b="60615"/>
                  <a:stretch/>
                </pic:blipFill>
                <pic:spPr bwMode="auto">
                  <a:xfrm>
                    <a:off x="0" y="0"/>
                    <a:ext cx="7558064" cy="326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287">
      <w:rPr>
        <w:noProof/>
        <w:lang w:eastAsia="en-AU"/>
      </w:rPr>
      <mc:AlternateContent>
        <mc:Choice Requires="wps">
          <w:drawing>
            <wp:anchor distT="0" distB="0" distL="114300" distR="114300" simplePos="0" relativeHeight="251668480" behindDoc="0" locked="0" layoutInCell="1" allowOverlap="1" wp14:anchorId="50B4D92A" wp14:editId="44FC1260">
              <wp:simplePos x="0" y="0"/>
              <wp:positionH relativeFrom="margin">
                <wp:posOffset>-470708</wp:posOffset>
              </wp:positionH>
              <wp:positionV relativeFrom="paragraph">
                <wp:posOffset>-1122507</wp:posOffset>
              </wp:positionV>
              <wp:extent cx="6591300" cy="3324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324225"/>
                      </a:xfrm>
                      <a:prstGeom prst="rect">
                        <a:avLst/>
                      </a:prstGeom>
                      <a:noFill/>
                      <a:ln w="6350">
                        <a:noFill/>
                      </a:ln>
                      <a:effectLst/>
                    </wps:spPr>
                    <wps:txbx>
                      <w:txbxContent>
                        <w:p w:rsidR="00E95C67" w:rsidRDefault="00E95C67" w:rsidP="00E95C67">
                          <w:pPr>
                            <w:pStyle w:val="Title"/>
                          </w:pPr>
                          <w:r>
                            <w:t>VicRoads Code</w:t>
                          </w:r>
                          <w:r w:rsidR="00FF33C0">
                            <w:t>s of Practice</w:t>
                          </w:r>
                          <w:bookmarkStart w:id="0" w:name="_GoBack"/>
                          <w:bookmarkEnd w:id="0"/>
                        </w:p>
                        <w:p w:rsidR="00E95C67" w:rsidRDefault="00E95C67" w:rsidP="00E95C67">
                          <w:pPr>
                            <w:pStyle w:val="Title"/>
                          </w:pPr>
                          <w:r w:rsidRPr="00866093">
                            <w:t>State Growth Supplement</w:t>
                          </w:r>
                        </w:p>
                        <w:p w:rsidR="007D0AC8" w:rsidRPr="007D0AC8" w:rsidRDefault="007D0AC8" w:rsidP="007D0AC8">
                          <w:pPr>
                            <w:pStyle w:val="Title"/>
                          </w:pPr>
                          <w:r>
                            <w:t>(Pavements and Surfacings)</w:t>
                          </w:r>
                        </w:p>
                        <w:p w:rsidR="004A0783" w:rsidRPr="00E55856" w:rsidRDefault="004A0783" w:rsidP="00A261B8">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4D92A" id="_x0000_t202" coordsize="21600,21600" o:spt="202" path="m,l,21600r21600,l21600,xe">
              <v:stroke joinstyle="miter"/>
              <v:path gradientshapeok="t" o:connecttype="rect"/>
            </v:shapetype>
            <v:shape id="Text Box 6" o:spid="_x0000_s1026" type="#_x0000_t202" style="position:absolute;margin-left:-37.05pt;margin-top:-88.4pt;width:519pt;height:26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" filled="f" stroked="f" strokeweight=".5pt">
              <v:path arrowok="t"/>
              <v:textbox>
                <w:txbxContent>
                  <w:p w:rsidR="00E95C67" w:rsidRDefault="00E95C67" w:rsidP="00E95C67">
                    <w:pPr>
                      <w:pStyle w:val="Title"/>
                    </w:pPr>
                    <w:r>
                      <w:t>VicRoads Code</w:t>
                    </w:r>
                    <w:r w:rsidR="00FF33C0">
                      <w:t>s of Practice</w:t>
                    </w:r>
                    <w:bookmarkStart w:id="1" w:name="_GoBack"/>
                    <w:bookmarkEnd w:id="1"/>
                  </w:p>
                  <w:p w:rsidR="00E95C67" w:rsidRDefault="00E95C67" w:rsidP="00E95C67">
                    <w:pPr>
                      <w:pStyle w:val="Title"/>
                    </w:pPr>
                    <w:r w:rsidRPr="00866093">
                      <w:t>State Growth Supplement</w:t>
                    </w:r>
                  </w:p>
                  <w:p w:rsidR="007D0AC8" w:rsidRPr="007D0AC8" w:rsidRDefault="007D0AC8" w:rsidP="007D0AC8">
                    <w:pPr>
                      <w:pStyle w:val="Title"/>
                    </w:pPr>
                    <w:r>
                      <w:t>(Pavements and Surfacings)</w:t>
                    </w:r>
                  </w:p>
                  <w:p w:rsidR="004A0783" w:rsidRPr="00E55856" w:rsidRDefault="004A0783" w:rsidP="00A261B8">
                    <w:pPr>
                      <w:pStyle w:val="Subtitle"/>
                    </w:pPr>
                  </w:p>
                </w:txbxContent>
              </v:textbox>
              <w10:wrap anchorx="margin"/>
            </v:shape>
          </w:pict>
        </mc:Fallback>
      </mc:AlternateContent>
    </w:r>
    <w:r w:rsidR="004A0783" w:rsidRPr="00420287">
      <w:rPr>
        <w:noProof/>
        <w:lang w:eastAsia="en-AU"/>
      </w:rPr>
      <mc:AlternateContent>
        <mc:Choice Requires="wps">
          <w:drawing>
            <wp:anchor distT="0" distB="0" distL="114300" distR="114300" simplePos="0" relativeHeight="251666432" behindDoc="0" locked="0" layoutInCell="1" allowOverlap="1" wp14:anchorId="4EEAE049" wp14:editId="23AB3BF8">
              <wp:simplePos x="0" y="0"/>
              <wp:positionH relativeFrom="column">
                <wp:posOffset>4086225</wp:posOffset>
              </wp:positionH>
              <wp:positionV relativeFrom="paragraph">
                <wp:posOffset>-1315085</wp:posOffset>
              </wp:positionV>
              <wp:extent cx="2473200" cy="1144800"/>
              <wp:effectExtent l="0" t="0" r="3810" b="177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200" cy="11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0783" w:rsidRPr="00EA6033" w:rsidRDefault="004A0783" w:rsidP="004A0783">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AE049" id="Text Box 5" o:spid="_x0000_s1027" type="#_x0000_t202" style="position:absolute;margin-left:321.75pt;margin-top:-103.55pt;width:194.75pt;height: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" filled="f" stroked="f" strokeweight=".5pt">
              <v:textbox inset="0,0,0,0">
                <w:txbxContent>
                  <w:p w:rsidR="004A0783" w:rsidRPr="00EA6033" w:rsidRDefault="004A0783" w:rsidP="004A0783">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51" w:rsidRDefault="00F41E51">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127338"/>
    <w:multiLevelType w:val="multilevel"/>
    <w:tmpl w:val="EF9E3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1"/>
  </w:num>
  <w:num w:numId="8">
    <w:abstractNumId w:val="9"/>
  </w:num>
  <w:num w:numId="9">
    <w:abstractNumId w:val="6"/>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7D"/>
    <w:rsid w:val="00001D90"/>
    <w:rsid w:val="00032AE9"/>
    <w:rsid w:val="0004025D"/>
    <w:rsid w:val="00052354"/>
    <w:rsid w:val="00056B74"/>
    <w:rsid w:val="00096398"/>
    <w:rsid w:val="000A2FE0"/>
    <w:rsid w:val="000B7282"/>
    <w:rsid w:val="000D0C5D"/>
    <w:rsid w:val="000D1B42"/>
    <w:rsid w:val="000D75E6"/>
    <w:rsid w:val="000E6B84"/>
    <w:rsid w:val="00102883"/>
    <w:rsid w:val="00102F72"/>
    <w:rsid w:val="00113D66"/>
    <w:rsid w:val="00135926"/>
    <w:rsid w:val="0014170B"/>
    <w:rsid w:val="0014698E"/>
    <w:rsid w:val="001705F1"/>
    <w:rsid w:val="00182466"/>
    <w:rsid w:val="001A0034"/>
    <w:rsid w:val="001A7864"/>
    <w:rsid w:val="001C3E5C"/>
    <w:rsid w:val="001D31C3"/>
    <w:rsid w:val="001D33C8"/>
    <w:rsid w:val="001F0167"/>
    <w:rsid w:val="0021089C"/>
    <w:rsid w:val="00245809"/>
    <w:rsid w:val="002466FA"/>
    <w:rsid w:val="002472F2"/>
    <w:rsid w:val="002557AC"/>
    <w:rsid w:val="002737C8"/>
    <w:rsid w:val="002842DF"/>
    <w:rsid w:val="0028700A"/>
    <w:rsid w:val="002A0A2E"/>
    <w:rsid w:val="002C39C9"/>
    <w:rsid w:val="002D2523"/>
    <w:rsid w:val="002D46E0"/>
    <w:rsid w:val="002D6A1B"/>
    <w:rsid w:val="002E5DA1"/>
    <w:rsid w:val="002F5513"/>
    <w:rsid w:val="003040EF"/>
    <w:rsid w:val="0031285D"/>
    <w:rsid w:val="0031732B"/>
    <w:rsid w:val="0032054D"/>
    <w:rsid w:val="0033632F"/>
    <w:rsid w:val="00347DDD"/>
    <w:rsid w:val="00354408"/>
    <w:rsid w:val="0036604B"/>
    <w:rsid w:val="0037765E"/>
    <w:rsid w:val="00383C77"/>
    <w:rsid w:val="00390DDA"/>
    <w:rsid w:val="003910B5"/>
    <w:rsid w:val="00392FC9"/>
    <w:rsid w:val="003A2F16"/>
    <w:rsid w:val="003C10DD"/>
    <w:rsid w:val="003C5DF5"/>
    <w:rsid w:val="003E3007"/>
    <w:rsid w:val="003F6291"/>
    <w:rsid w:val="00420287"/>
    <w:rsid w:val="00440166"/>
    <w:rsid w:val="00446898"/>
    <w:rsid w:val="00477FDE"/>
    <w:rsid w:val="00482B3B"/>
    <w:rsid w:val="004854BE"/>
    <w:rsid w:val="00490DDB"/>
    <w:rsid w:val="004A0783"/>
    <w:rsid w:val="004A42BE"/>
    <w:rsid w:val="004A5832"/>
    <w:rsid w:val="004B2C78"/>
    <w:rsid w:val="004B398F"/>
    <w:rsid w:val="004B4127"/>
    <w:rsid w:val="004B41B0"/>
    <w:rsid w:val="004D301E"/>
    <w:rsid w:val="004E357D"/>
    <w:rsid w:val="004E78DD"/>
    <w:rsid w:val="004E7E8D"/>
    <w:rsid w:val="005002D7"/>
    <w:rsid w:val="00506321"/>
    <w:rsid w:val="005103CC"/>
    <w:rsid w:val="00510946"/>
    <w:rsid w:val="00527691"/>
    <w:rsid w:val="00536DF0"/>
    <w:rsid w:val="00545CBF"/>
    <w:rsid w:val="00581625"/>
    <w:rsid w:val="00593AF4"/>
    <w:rsid w:val="00596677"/>
    <w:rsid w:val="005A1DB7"/>
    <w:rsid w:val="005B0839"/>
    <w:rsid w:val="005E4A44"/>
    <w:rsid w:val="005E6B99"/>
    <w:rsid w:val="005F218F"/>
    <w:rsid w:val="006158CE"/>
    <w:rsid w:val="006340F8"/>
    <w:rsid w:val="00647891"/>
    <w:rsid w:val="00666F0F"/>
    <w:rsid w:val="00672919"/>
    <w:rsid w:val="00680485"/>
    <w:rsid w:val="00683C6F"/>
    <w:rsid w:val="00693A08"/>
    <w:rsid w:val="006B4873"/>
    <w:rsid w:val="006D21B8"/>
    <w:rsid w:val="006D466E"/>
    <w:rsid w:val="006E59F5"/>
    <w:rsid w:val="006F62C7"/>
    <w:rsid w:val="00712F10"/>
    <w:rsid w:val="007160BF"/>
    <w:rsid w:val="00726EE6"/>
    <w:rsid w:val="0074102B"/>
    <w:rsid w:val="007423FF"/>
    <w:rsid w:val="00742F28"/>
    <w:rsid w:val="0074581C"/>
    <w:rsid w:val="0074731D"/>
    <w:rsid w:val="00756D43"/>
    <w:rsid w:val="00757492"/>
    <w:rsid w:val="00765A2F"/>
    <w:rsid w:val="007719B4"/>
    <w:rsid w:val="00773B29"/>
    <w:rsid w:val="00777816"/>
    <w:rsid w:val="007B0E21"/>
    <w:rsid w:val="007C24B1"/>
    <w:rsid w:val="007D0AC8"/>
    <w:rsid w:val="0082465B"/>
    <w:rsid w:val="00825BC9"/>
    <w:rsid w:val="00826268"/>
    <w:rsid w:val="00856356"/>
    <w:rsid w:val="0087046C"/>
    <w:rsid w:val="00870CDC"/>
    <w:rsid w:val="0088505C"/>
    <w:rsid w:val="00897387"/>
    <w:rsid w:val="008F2257"/>
    <w:rsid w:val="008F3FA8"/>
    <w:rsid w:val="00916201"/>
    <w:rsid w:val="00937479"/>
    <w:rsid w:val="00955151"/>
    <w:rsid w:val="009557D7"/>
    <w:rsid w:val="009673C0"/>
    <w:rsid w:val="00971E40"/>
    <w:rsid w:val="00973FFB"/>
    <w:rsid w:val="00976698"/>
    <w:rsid w:val="0098065A"/>
    <w:rsid w:val="00987BC9"/>
    <w:rsid w:val="00992258"/>
    <w:rsid w:val="009A22FD"/>
    <w:rsid w:val="009B24AD"/>
    <w:rsid w:val="009D0E80"/>
    <w:rsid w:val="009D2EEA"/>
    <w:rsid w:val="009E1E34"/>
    <w:rsid w:val="009E5E2C"/>
    <w:rsid w:val="009E6378"/>
    <w:rsid w:val="009F40A1"/>
    <w:rsid w:val="00A22F2C"/>
    <w:rsid w:val="00A261B8"/>
    <w:rsid w:val="00A26AAF"/>
    <w:rsid w:val="00A313CD"/>
    <w:rsid w:val="00A522EB"/>
    <w:rsid w:val="00A524C5"/>
    <w:rsid w:val="00A52564"/>
    <w:rsid w:val="00A61603"/>
    <w:rsid w:val="00A7193D"/>
    <w:rsid w:val="00A8158A"/>
    <w:rsid w:val="00AB6BB0"/>
    <w:rsid w:val="00AB7B96"/>
    <w:rsid w:val="00AE5B43"/>
    <w:rsid w:val="00AF3A06"/>
    <w:rsid w:val="00AF7BBD"/>
    <w:rsid w:val="00B050DE"/>
    <w:rsid w:val="00B121F3"/>
    <w:rsid w:val="00B41467"/>
    <w:rsid w:val="00B54095"/>
    <w:rsid w:val="00B63007"/>
    <w:rsid w:val="00B72A2A"/>
    <w:rsid w:val="00B81712"/>
    <w:rsid w:val="00BA0DED"/>
    <w:rsid w:val="00BA61AD"/>
    <w:rsid w:val="00BB3D69"/>
    <w:rsid w:val="00BB60A7"/>
    <w:rsid w:val="00BB7F66"/>
    <w:rsid w:val="00BD40A0"/>
    <w:rsid w:val="00C01641"/>
    <w:rsid w:val="00C11DD7"/>
    <w:rsid w:val="00C160B8"/>
    <w:rsid w:val="00C16941"/>
    <w:rsid w:val="00C25F88"/>
    <w:rsid w:val="00C369B7"/>
    <w:rsid w:val="00C405F4"/>
    <w:rsid w:val="00C4367C"/>
    <w:rsid w:val="00C65A3D"/>
    <w:rsid w:val="00C73978"/>
    <w:rsid w:val="00C904CD"/>
    <w:rsid w:val="00CA0B03"/>
    <w:rsid w:val="00CA3E84"/>
    <w:rsid w:val="00CB27A9"/>
    <w:rsid w:val="00CC4954"/>
    <w:rsid w:val="00CE58E1"/>
    <w:rsid w:val="00D10081"/>
    <w:rsid w:val="00D1200B"/>
    <w:rsid w:val="00D24ADC"/>
    <w:rsid w:val="00D31262"/>
    <w:rsid w:val="00D443AE"/>
    <w:rsid w:val="00D6604B"/>
    <w:rsid w:val="00D72C51"/>
    <w:rsid w:val="00D76A3C"/>
    <w:rsid w:val="00D95BB0"/>
    <w:rsid w:val="00DA5705"/>
    <w:rsid w:val="00DB360C"/>
    <w:rsid w:val="00DB6A6B"/>
    <w:rsid w:val="00DE40C3"/>
    <w:rsid w:val="00DF0EE4"/>
    <w:rsid w:val="00E4232F"/>
    <w:rsid w:val="00E606CD"/>
    <w:rsid w:val="00E64359"/>
    <w:rsid w:val="00E81919"/>
    <w:rsid w:val="00E95C67"/>
    <w:rsid w:val="00EA190C"/>
    <w:rsid w:val="00EA5C5F"/>
    <w:rsid w:val="00ED10E7"/>
    <w:rsid w:val="00ED4C17"/>
    <w:rsid w:val="00EE3C6B"/>
    <w:rsid w:val="00EF0AC7"/>
    <w:rsid w:val="00F0431C"/>
    <w:rsid w:val="00F0693A"/>
    <w:rsid w:val="00F1752E"/>
    <w:rsid w:val="00F343A7"/>
    <w:rsid w:val="00F41E51"/>
    <w:rsid w:val="00F641F5"/>
    <w:rsid w:val="00F64A7E"/>
    <w:rsid w:val="00F73CB5"/>
    <w:rsid w:val="00F80549"/>
    <w:rsid w:val="00F93829"/>
    <w:rsid w:val="00F95B70"/>
    <w:rsid w:val="00FC3B9A"/>
    <w:rsid w:val="00FC5C38"/>
    <w:rsid w:val="00FD1764"/>
    <w:rsid w:val="00FD34CE"/>
    <w:rsid w:val="00FE2CED"/>
    <w:rsid w:val="00FF33C0"/>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8940C-09E1-45A9-BC99-2543B867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semiHidden="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910B5"/>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uiPriority w:val="99"/>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semiHidden/>
    <w:locked/>
    <w:rsid w:val="00742F28"/>
    <w:rPr>
      <w:color w:val="0563C1" w:themeColor="hyperlink"/>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paragraph" w:styleId="Quote">
    <w:name w:val="Quote"/>
    <w:basedOn w:val="Normal"/>
    <w:next w:val="Normal"/>
    <w:link w:val="QuoteChar"/>
    <w:uiPriority w:val="29"/>
    <w:semiHidden/>
    <w:qFormat/>
    <w:locked/>
    <w:rsid w:val="007719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719B4"/>
    <w:rPr>
      <w:i/>
      <w:iCs/>
      <w:color w:val="404040" w:themeColor="text1" w:themeTint="BF"/>
    </w:rPr>
  </w:style>
  <w:style w:type="character" w:styleId="FootnoteReference">
    <w:name w:val="footnote reference"/>
    <w:basedOn w:val="DefaultParagraphFont"/>
    <w:uiPriority w:val="99"/>
    <w:qFormat/>
    <w:rsid w:val="00FE2CED"/>
    <w:rPr>
      <w:rFonts w:asciiTheme="minorHAnsi" w:hAnsiTheme="minorHAnsi"/>
      <w:sz w:val="22"/>
      <w:vertAlign w:val="superscript"/>
    </w:rPr>
  </w:style>
  <w:style w:type="paragraph" w:styleId="FootnoteText">
    <w:name w:val="footnote text"/>
    <w:basedOn w:val="Normal"/>
    <w:link w:val="FootnoteTextChar"/>
    <w:uiPriority w:val="99"/>
    <w:rsid w:val="00FE2CED"/>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E2CED"/>
    <w:rPr>
      <w:sz w:val="20"/>
      <w:szCs w:val="20"/>
    </w:rPr>
  </w:style>
  <w:style w:type="paragraph" w:styleId="BalloonText">
    <w:name w:val="Balloon Text"/>
    <w:basedOn w:val="Normal"/>
    <w:link w:val="BalloonTextChar"/>
    <w:uiPriority w:val="99"/>
    <w:semiHidden/>
    <w:locked/>
    <w:rsid w:val="004A42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m.gov.au/climate/averages/maps.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Change%20to%20VicRoads%20Specs\A4-document-template-with-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A592-00DC-4D75-A48B-3A912D17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A4-document-template-with-images</Template>
  <TotalTime>0</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Taryn.Laird@stategrowth.tas.gov.au</dc:creator>
  <cp:keywords/>
  <dc:description/>
  <cp:lastModifiedBy>Casey, Sarah</cp:lastModifiedBy>
  <cp:revision>2</cp:revision>
  <cp:lastPrinted>2017-04-10T03:27:00Z</cp:lastPrinted>
  <dcterms:created xsi:type="dcterms:W3CDTF">2017-06-22T05:10:00Z</dcterms:created>
  <dcterms:modified xsi:type="dcterms:W3CDTF">2017-06-22T05:10:00Z</dcterms:modified>
</cp:coreProperties>
</file>