
<file path=[Content_Types].xml><?xml version="1.0" encoding="utf-8"?>
<Types xmlns="http://schemas.openxmlformats.org/package/2006/content-types">
  <Override PartName="/word/footnotes.xml" ContentType="application/vnd.openxmlformats-officedocument.wordprocessingml.footnotes+xml"/>
  <Override PartName="/word/diagrams/quickStyle2.xml" ContentType="application/vnd.openxmlformats-officedocument.drawingml.diagramStyle+xml"/>
  <Override PartName="/word/diagrams/data3.xml" ContentType="application/vnd.openxmlformats-officedocument.drawingml.diagramData+xml"/>
  <Override PartName="/word/charts/chart10.xml" ContentType="application/vnd.openxmlformats-officedocument.drawingml.chart+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drawing3.xml" ContentType="application/vnd.ms-office.drawingml.diagramDrawing+xml"/>
  <Override PartName="/word/charts/chart8.xml" ContentType="application/vnd.openxmlformats-officedocument.drawingml.chart+xml"/>
  <Override PartName="/word/charts/chart9.xml" ContentType="application/vnd.openxmlformats-officedocument.drawingml.chart+xml"/>
  <Override PartName="/word/drawings/drawing3.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charts/chart6.xml" ContentType="application/vnd.openxmlformats-officedocument.drawingml.chart+xml"/>
  <Override PartName="/word/charts/chart7.xml" ContentType="application/vnd.openxmlformats-officedocument.drawingml.chart+xml"/>
  <Override PartName="/word/drawings/drawing1.xml" ContentType="application/vnd.openxmlformats-officedocument.drawingml.chartshapes+xml"/>
  <Override PartName="/word/drawings/drawing2.xml" ContentType="application/vnd.openxmlformats-officedocument.drawingml.chartshapes+xml"/>
  <Override PartName="/word/footer2.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Default Extension="gif" ContentType="image/gif"/>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diagrams/layout3.xml" ContentType="application/vnd.openxmlformats-officedocument.drawingml.diagramLayout+xml"/>
  <Override PartName="/word/charts/chart1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Default Extension="png" ContentType="image/png"/>
  <Override PartName="/word/diagrams/quickStyle1.xml" ContentType="application/vnd.openxmlformats-officedocument.drawingml.diagram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1D" w:rsidRDefault="00F7744C" w:rsidP="00E23D04">
      <w:pPr>
        <w:pStyle w:val="ExecSummDotPoint"/>
        <w:pBdr>
          <w:top w:val="none" w:sz="0" w:space="0" w:color="auto"/>
          <w:left w:val="none" w:sz="0" w:space="0" w:color="auto"/>
          <w:bottom w:val="none" w:sz="0" w:space="0" w:color="auto"/>
          <w:right w:val="none" w:sz="0" w:space="0" w:color="auto"/>
        </w:pBdr>
        <w:tabs>
          <w:tab w:val="clear" w:pos="1077"/>
        </w:tabs>
        <w:spacing w:before="0"/>
        <w:ind w:left="0" w:firstLine="0"/>
        <w:rPr>
          <w:rFonts w:ascii="Calibri" w:hAnsi="Calibri" w:cs="Times New Roman"/>
          <w:color w:val="1F497D" w:themeColor="text2"/>
          <w:sz w:val="28"/>
          <w:szCs w:val="28"/>
          <w:lang w:val="en-US" w:bidi="en-US"/>
        </w:rPr>
      </w:pPr>
      <w:r w:rsidRPr="00F7744C">
        <w:rPr>
          <w:rFonts w:ascii="Calibri" w:hAnsi="Calibri" w:cs="Times New Roman"/>
          <w:b/>
          <w:noProof/>
          <w:color w:val="1F497D" w:themeColor="text2"/>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5.45pt;margin-top:-45.8pt;width:537pt;height:784.5pt;z-index:-251654145;mso-wrap-edited:f" wrapcoords="-30 0 -30 21579 21600 21579 21600 0 -30 0" o:allowincell="f">
            <v:imagedata r:id="rId8" o:title="InfoSheet"/>
          </v:shape>
        </w:pict>
      </w:r>
      <w:r w:rsidRPr="00F7744C">
        <w:rPr>
          <w:rFonts w:ascii="Calibri" w:hAnsi="Calibri" w:cs="Times New Roman"/>
          <w:b/>
          <w:noProof/>
          <w:color w:val="1F497D" w:themeColor="text2"/>
          <w:sz w:val="28"/>
          <w:szCs w:val="28"/>
          <w:lang w:val="en-US"/>
        </w:rPr>
        <w:pict>
          <v:shapetype id="_x0000_t202" coordsize="21600,21600" o:spt="202" path="m,l,21600r21600,l21600,xe">
            <v:stroke joinstyle="miter"/>
            <v:path gradientshapeok="t" o:connecttype="rect"/>
          </v:shapetype>
          <v:shape id="_x0000_s1032" type="#_x0000_t202" style="position:absolute;margin-left:-2.65pt;margin-top:-18.65pt;width:470.65pt;height:80.85pt;z-index:251679744" filled="f" stroked="f">
            <v:textbox>
              <w:txbxContent>
                <w:p w:rsidR="00787C1C" w:rsidRPr="00997651" w:rsidRDefault="00787C1C" w:rsidP="00F40325">
                  <w:pPr>
                    <w:pStyle w:val="ExecSummDotPoint"/>
                    <w:pBdr>
                      <w:top w:val="none" w:sz="0" w:space="0" w:color="auto"/>
                      <w:left w:val="none" w:sz="0" w:space="0" w:color="auto"/>
                      <w:bottom w:val="none" w:sz="0" w:space="0" w:color="auto"/>
                      <w:right w:val="none" w:sz="0" w:space="0" w:color="auto"/>
                    </w:pBdr>
                    <w:tabs>
                      <w:tab w:val="clear" w:pos="1077"/>
                    </w:tabs>
                    <w:spacing w:before="0"/>
                    <w:ind w:left="0" w:firstLine="0"/>
                    <w:jc w:val="right"/>
                    <w:rPr>
                      <w:rFonts w:asciiTheme="minorHAnsi" w:hAnsiTheme="minorHAnsi"/>
                      <w:b/>
                      <w:i/>
                      <w:color w:val="FFFFFF" w:themeColor="background1"/>
                      <w:sz w:val="36"/>
                      <w:szCs w:val="36"/>
                    </w:rPr>
                  </w:pPr>
                  <w:r w:rsidRPr="00997651">
                    <w:rPr>
                      <w:rFonts w:asciiTheme="minorHAnsi" w:hAnsiTheme="minorHAnsi"/>
                      <w:b/>
                      <w:i/>
                      <w:color w:val="FFFFFF" w:themeColor="background1"/>
                      <w:sz w:val="36"/>
                      <w:szCs w:val="36"/>
                    </w:rPr>
                    <w:t xml:space="preserve">UNLICENSED DRIVERS AND UNREGISTERED VEHICLES IN TASMANIA: </w:t>
                  </w:r>
                </w:p>
                <w:p w:rsidR="00787C1C" w:rsidRPr="00997651" w:rsidRDefault="00787C1C">
                  <w:pPr>
                    <w:rPr>
                      <w:i/>
                      <w:color w:val="FFFFFF" w:themeColor="background1"/>
                    </w:rPr>
                  </w:pPr>
                </w:p>
              </w:txbxContent>
            </v:textbox>
          </v:shape>
        </w:pict>
      </w:r>
    </w:p>
    <w:p w:rsidR="0007271D" w:rsidRPr="0007271D" w:rsidRDefault="0007271D" w:rsidP="00611D14">
      <w:pPr>
        <w:pStyle w:val="ExecSummDotPoint"/>
        <w:pBdr>
          <w:top w:val="none" w:sz="0" w:space="0" w:color="auto"/>
          <w:left w:val="none" w:sz="0" w:space="0" w:color="auto"/>
          <w:bottom w:val="none" w:sz="0" w:space="0" w:color="auto"/>
          <w:right w:val="none" w:sz="0" w:space="0" w:color="auto"/>
        </w:pBdr>
        <w:tabs>
          <w:tab w:val="clear" w:pos="1077"/>
        </w:tabs>
        <w:spacing w:before="0"/>
        <w:ind w:left="0" w:firstLine="0"/>
        <w:jc w:val="right"/>
        <w:rPr>
          <w:rFonts w:ascii="Calibri" w:hAnsi="Calibri" w:cs="Times New Roman"/>
          <w:color w:val="1F497D" w:themeColor="text2"/>
          <w:sz w:val="28"/>
          <w:szCs w:val="28"/>
          <w:lang w:val="en-US" w:bidi="en-US"/>
        </w:rPr>
      </w:pPr>
    </w:p>
    <w:sdt>
      <w:sdtPr>
        <w:rPr>
          <w:sz w:val="48"/>
          <w:szCs w:val="48"/>
        </w:rPr>
        <w:id w:val="6408032"/>
        <w:docPartObj>
          <w:docPartGallery w:val="Cover Pages"/>
          <w:docPartUnique/>
        </w:docPartObj>
      </w:sdtPr>
      <w:sdtEndPr>
        <w:rPr>
          <w:b/>
          <w:caps/>
          <w:sz w:val="22"/>
          <w:szCs w:val="22"/>
        </w:rPr>
      </w:sdtEndPr>
      <w:sdtContent>
        <w:p w:rsidR="00CA18D4" w:rsidRDefault="00CA18D4" w:rsidP="00B701C5"/>
        <w:p w:rsidR="00CA18D4" w:rsidRDefault="00F7744C">
          <w:pPr>
            <w:rPr>
              <w:b/>
              <w:caps/>
              <w:lang w:bidi="ar-SA"/>
            </w:rPr>
          </w:pPr>
          <w:r w:rsidRPr="00F7744C">
            <w:rPr>
              <w:rFonts w:ascii="Arial" w:hAnsi="Arial" w:cs="Arial"/>
              <w:noProof/>
              <w:sz w:val="20"/>
              <w:szCs w:val="20"/>
              <w:lang w:bidi="ar-SA"/>
            </w:rPr>
            <w:pict>
              <v:shape id="_x0000_s1033" type="#_x0000_t202" style="position:absolute;margin-left:-46.95pt;margin-top:629.55pt;width:531pt;height:40.4pt;z-index:-251634688" filled="f" stroked="f">
                <v:textbox style="mso-next-textbox:#_x0000_s1033">
                  <w:txbxContent>
                    <w:p w:rsidR="00787C1C" w:rsidRDefault="00787C1C" w:rsidP="00580CC8">
                      <w:pPr>
                        <w:pStyle w:val="Noparagraphstyle"/>
                        <w:rPr>
                          <w:rFonts w:ascii="Gill Sans MT" w:hAnsi="Gill Sans MT"/>
                          <w:sz w:val="22"/>
                          <w:lang w:val="en-US"/>
                        </w:rPr>
                      </w:pPr>
                      <w:r>
                        <w:rPr>
                          <w:rFonts w:ascii="Gill Sans MT" w:hAnsi="Gill Sans MT"/>
                          <w:sz w:val="22"/>
                          <w:szCs w:val="22"/>
                          <w:lang w:val="en-US"/>
                        </w:rPr>
                        <w:t>Department of Infrastructure, Energy and Resources</w:t>
                      </w:r>
                    </w:p>
                  </w:txbxContent>
                </v:textbox>
              </v:shape>
            </w:pict>
          </w:r>
          <w:r w:rsidR="00CA18D4">
            <w:rPr>
              <w:b/>
              <w:caps/>
            </w:rPr>
            <w:br w:type="page"/>
          </w:r>
        </w:p>
      </w:sdtContent>
    </w:sdt>
    <w:p w:rsidR="003D3337" w:rsidRPr="002B3AB9" w:rsidRDefault="003D3337" w:rsidP="00250E3B">
      <w:pPr>
        <w:pStyle w:val="TOC1"/>
        <w:tabs>
          <w:tab w:val="right" w:leader="dot" w:pos="9074"/>
        </w:tabs>
        <w:jc w:val="right"/>
        <w:rPr>
          <w:b/>
          <w:i/>
          <w:caps/>
        </w:rPr>
      </w:pPr>
      <w:r w:rsidRPr="002B3AB9">
        <w:rPr>
          <w:rFonts w:asciiTheme="minorHAnsi" w:hAnsiTheme="minorHAnsi"/>
          <w:b/>
          <w:i/>
          <w:sz w:val="28"/>
          <w:szCs w:val="28"/>
        </w:rPr>
        <w:lastRenderedPageBreak/>
        <w:t xml:space="preserve">UNLICENSED DRIVERS AND UNREGISTERED VEHICLES IN TASMANIA: </w:t>
      </w:r>
      <w:r w:rsidRPr="002B3AB9">
        <w:rPr>
          <w:rFonts w:asciiTheme="minorHAnsi" w:hAnsiTheme="minorHAnsi"/>
          <w:b/>
          <w:i/>
          <w:sz w:val="28"/>
          <w:szCs w:val="28"/>
        </w:rPr>
        <w:br/>
        <w:t>A ROAD SAFETY PERSPECTIVE</w:t>
      </w:r>
    </w:p>
    <w:p w:rsidR="003D3337" w:rsidRDefault="003D3337" w:rsidP="00995E2B">
      <w:pPr>
        <w:pStyle w:val="TOC1"/>
        <w:tabs>
          <w:tab w:val="right" w:leader="dot" w:pos="9074"/>
        </w:tabs>
        <w:jc w:val="both"/>
        <w:rPr>
          <w:b/>
          <w:caps/>
        </w:rPr>
      </w:pPr>
    </w:p>
    <w:p w:rsidR="00AE3440" w:rsidRDefault="00AE3440" w:rsidP="00995E2B">
      <w:pPr>
        <w:pStyle w:val="TOC1"/>
        <w:tabs>
          <w:tab w:val="right" w:leader="dot" w:pos="9074"/>
        </w:tabs>
        <w:jc w:val="both"/>
        <w:rPr>
          <w:b/>
          <w:caps/>
        </w:rPr>
      </w:pPr>
      <w:r w:rsidRPr="00ED55A8">
        <w:rPr>
          <w:b/>
          <w:caps/>
        </w:rPr>
        <w:t>Contents</w:t>
      </w:r>
    </w:p>
    <w:p w:rsidR="008B7CB7" w:rsidRPr="008B7CB7" w:rsidRDefault="008B7CB7" w:rsidP="008B7CB7">
      <w:pPr>
        <w:rPr>
          <w:lang w:bidi="ar-SA"/>
        </w:rPr>
      </w:pPr>
    </w:p>
    <w:p w:rsidR="00F147EA" w:rsidRPr="008B7CB7" w:rsidRDefault="00F7744C" w:rsidP="00F147EA">
      <w:pPr>
        <w:pStyle w:val="TOC1"/>
        <w:tabs>
          <w:tab w:val="left" w:pos="440"/>
          <w:tab w:val="right" w:leader="dot" w:pos="9016"/>
        </w:tabs>
        <w:rPr>
          <w:rFonts w:asciiTheme="minorHAnsi" w:eastAsiaTheme="minorEastAsia" w:hAnsiTheme="minorHAnsi" w:cstheme="minorBidi"/>
          <w:caps/>
          <w:noProof/>
          <w:lang w:val="en-AU" w:eastAsia="en-AU"/>
        </w:rPr>
      </w:pPr>
      <w:r>
        <w:fldChar w:fldCharType="begin"/>
      </w:r>
      <w:r w:rsidR="00CA18D4">
        <w:instrText xml:space="preserve"> TOC \o "1-1" \h \z \u </w:instrText>
      </w:r>
      <w:r>
        <w:fldChar w:fldCharType="separate"/>
      </w:r>
      <w:hyperlink w:anchor="_Toc341047891" w:history="1">
        <w:r w:rsidR="00F40325" w:rsidRPr="008B7CB7">
          <w:rPr>
            <w:rStyle w:val="Hyperlink"/>
            <w:caps/>
            <w:noProof/>
            <w:lang w:bidi="en-US"/>
          </w:rPr>
          <w:t>Background</w:t>
        </w:r>
        <w:r w:rsidR="00F147EA" w:rsidRPr="008B7CB7">
          <w:rPr>
            <w:caps/>
            <w:noProof/>
            <w:webHidden/>
          </w:rPr>
          <w:tab/>
        </w:r>
        <w:r w:rsidRPr="008B7CB7">
          <w:rPr>
            <w:caps/>
            <w:noProof/>
            <w:webHidden/>
          </w:rPr>
          <w:fldChar w:fldCharType="begin"/>
        </w:r>
        <w:r w:rsidR="00F147EA" w:rsidRPr="008B7CB7">
          <w:rPr>
            <w:caps/>
            <w:noProof/>
            <w:webHidden/>
          </w:rPr>
          <w:instrText xml:space="preserve"> PAGEREF _Toc341047891 \h </w:instrText>
        </w:r>
        <w:r w:rsidRPr="008B7CB7">
          <w:rPr>
            <w:caps/>
            <w:noProof/>
            <w:webHidden/>
          </w:rPr>
        </w:r>
        <w:r w:rsidRPr="008B7CB7">
          <w:rPr>
            <w:caps/>
            <w:noProof/>
            <w:webHidden/>
          </w:rPr>
          <w:fldChar w:fldCharType="separate"/>
        </w:r>
        <w:r w:rsidR="00E23D04">
          <w:rPr>
            <w:caps/>
            <w:noProof/>
            <w:webHidden/>
          </w:rPr>
          <w:t>3</w:t>
        </w:r>
        <w:r w:rsidRPr="008B7CB7">
          <w:rPr>
            <w:caps/>
            <w:noProof/>
            <w:webHidden/>
          </w:rPr>
          <w:fldChar w:fldCharType="end"/>
        </w:r>
      </w:hyperlink>
    </w:p>
    <w:p w:rsidR="00F147EA" w:rsidRPr="008B7CB7" w:rsidRDefault="00F7744C" w:rsidP="00F147EA">
      <w:pPr>
        <w:pStyle w:val="TOC1"/>
        <w:tabs>
          <w:tab w:val="left" w:pos="440"/>
          <w:tab w:val="right" w:leader="dot" w:pos="9016"/>
        </w:tabs>
        <w:rPr>
          <w:rFonts w:asciiTheme="minorHAnsi" w:eastAsiaTheme="minorEastAsia" w:hAnsiTheme="minorHAnsi" w:cstheme="minorBidi"/>
          <w:caps/>
          <w:noProof/>
          <w:lang w:val="en-AU" w:eastAsia="en-AU"/>
        </w:rPr>
      </w:pPr>
      <w:hyperlink w:anchor="_Toc341047892" w:history="1">
        <w:r w:rsidR="00F147EA" w:rsidRPr="008B7CB7">
          <w:rPr>
            <w:rStyle w:val="Hyperlink"/>
            <w:b/>
            <w:i/>
            <w:caps/>
            <w:noProof/>
            <w:lang w:bidi="en-US"/>
          </w:rPr>
          <w:t>UNLICENSED DRIVING</w:t>
        </w:r>
        <w:r w:rsidR="00F147EA" w:rsidRPr="008B7CB7">
          <w:rPr>
            <w:caps/>
            <w:noProof/>
            <w:webHidden/>
          </w:rPr>
          <w:tab/>
        </w:r>
        <w:r w:rsidRPr="008B7CB7">
          <w:rPr>
            <w:caps/>
            <w:noProof/>
            <w:webHidden/>
          </w:rPr>
          <w:fldChar w:fldCharType="begin"/>
        </w:r>
        <w:r w:rsidR="00F147EA" w:rsidRPr="008B7CB7">
          <w:rPr>
            <w:caps/>
            <w:noProof/>
            <w:webHidden/>
          </w:rPr>
          <w:instrText xml:space="preserve"> PAGEREF _Toc341047892 \h </w:instrText>
        </w:r>
        <w:r w:rsidRPr="008B7CB7">
          <w:rPr>
            <w:caps/>
            <w:noProof/>
            <w:webHidden/>
          </w:rPr>
        </w:r>
        <w:r w:rsidRPr="008B7CB7">
          <w:rPr>
            <w:caps/>
            <w:noProof/>
            <w:webHidden/>
          </w:rPr>
          <w:fldChar w:fldCharType="separate"/>
        </w:r>
        <w:r w:rsidR="00E23D04">
          <w:rPr>
            <w:caps/>
            <w:noProof/>
            <w:webHidden/>
          </w:rPr>
          <w:t>3</w:t>
        </w:r>
        <w:r w:rsidRPr="008B7CB7">
          <w:rPr>
            <w:caps/>
            <w:noProof/>
            <w:webHidden/>
          </w:rPr>
          <w:fldChar w:fldCharType="end"/>
        </w:r>
      </w:hyperlink>
    </w:p>
    <w:p w:rsidR="00F147EA" w:rsidRPr="008B7CB7" w:rsidRDefault="00F7744C" w:rsidP="00F147EA">
      <w:pPr>
        <w:pStyle w:val="TOC1"/>
        <w:tabs>
          <w:tab w:val="left" w:pos="440"/>
          <w:tab w:val="right" w:leader="dot" w:pos="9016"/>
        </w:tabs>
        <w:rPr>
          <w:rFonts w:asciiTheme="minorHAnsi" w:eastAsiaTheme="minorEastAsia" w:hAnsiTheme="minorHAnsi" w:cstheme="minorBidi"/>
          <w:caps/>
          <w:noProof/>
          <w:lang w:val="en-AU" w:eastAsia="en-AU"/>
        </w:rPr>
      </w:pPr>
      <w:hyperlink w:anchor="_Toc341047893" w:history="1">
        <w:r w:rsidR="00F147EA" w:rsidRPr="008B7CB7">
          <w:rPr>
            <w:rStyle w:val="Hyperlink"/>
            <w:caps/>
            <w:noProof/>
            <w:lang w:bidi="en-US"/>
          </w:rPr>
          <w:t>What is unlicensed driving?</w:t>
        </w:r>
        <w:r w:rsidR="00F147EA" w:rsidRPr="008B7CB7">
          <w:rPr>
            <w:caps/>
            <w:noProof/>
            <w:webHidden/>
          </w:rPr>
          <w:tab/>
        </w:r>
        <w:r w:rsidRPr="008B7CB7">
          <w:rPr>
            <w:caps/>
            <w:noProof/>
            <w:webHidden/>
          </w:rPr>
          <w:fldChar w:fldCharType="begin"/>
        </w:r>
        <w:r w:rsidR="00F147EA" w:rsidRPr="008B7CB7">
          <w:rPr>
            <w:caps/>
            <w:noProof/>
            <w:webHidden/>
          </w:rPr>
          <w:instrText xml:space="preserve"> PAGEREF _Toc341047893 \h </w:instrText>
        </w:r>
        <w:r w:rsidRPr="008B7CB7">
          <w:rPr>
            <w:caps/>
            <w:noProof/>
            <w:webHidden/>
          </w:rPr>
        </w:r>
        <w:r w:rsidRPr="008B7CB7">
          <w:rPr>
            <w:caps/>
            <w:noProof/>
            <w:webHidden/>
          </w:rPr>
          <w:fldChar w:fldCharType="separate"/>
        </w:r>
        <w:r w:rsidR="00E23D04">
          <w:rPr>
            <w:caps/>
            <w:noProof/>
            <w:webHidden/>
          </w:rPr>
          <w:t>3</w:t>
        </w:r>
        <w:r w:rsidRPr="008B7CB7">
          <w:rPr>
            <w:caps/>
            <w:noProof/>
            <w:webHidden/>
          </w:rPr>
          <w:fldChar w:fldCharType="end"/>
        </w:r>
      </w:hyperlink>
    </w:p>
    <w:p w:rsidR="00F147EA" w:rsidRPr="008B7CB7" w:rsidRDefault="00F7744C" w:rsidP="00F147EA">
      <w:pPr>
        <w:pStyle w:val="TOC1"/>
        <w:tabs>
          <w:tab w:val="left" w:pos="440"/>
          <w:tab w:val="right" w:leader="dot" w:pos="9016"/>
        </w:tabs>
        <w:rPr>
          <w:rFonts w:asciiTheme="minorHAnsi" w:eastAsiaTheme="minorEastAsia" w:hAnsiTheme="minorHAnsi" w:cstheme="minorBidi"/>
          <w:caps/>
          <w:noProof/>
          <w:lang w:val="en-AU" w:eastAsia="en-AU"/>
        </w:rPr>
      </w:pPr>
      <w:hyperlink w:anchor="_Toc341047894" w:history="1">
        <w:r w:rsidR="00F147EA" w:rsidRPr="008B7CB7">
          <w:rPr>
            <w:rStyle w:val="Hyperlink"/>
            <w:caps/>
            <w:noProof/>
            <w:lang w:bidi="en-US"/>
          </w:rPr>
          <w:t>Reasons why people lose their licence</w:t>
        </w:r>
        <w:r w:rsidR="00F147EA" w:rsidRPr="008B7CB7">
          <w:rPr>
            <w:caps/>
            <w:noProof/>
            <w:webHidden/>
          </w:rPr>
          <w:tab/>
        </w:r>
        <w:r w:rsidRPr="008B7CB7">
          <w:rPr>
            <w:caps/>
            <w:noProof/>
            <w:webHidden/>
          </w:rPr>
          <w:fldChar w:fldCharType="begin"/>
        </w:r>
        <w:r w:rsidR="00F147EA" w:rsidRPr="008B7CB7">
          <w:rPr>
            <w:caps/>
            <w:noProof/>
            <w:webHidden/>
          </w:rPr>
          <w:instrText xml:space="preserve"> PAGEREF _Toc341047894 \h </w:instrText>
        </w:r>
        <w:r w:rsidRPr="008B7CB7">
          <w:rPr>
            <w:caps/>
            <w:noProof/>
            <w:webHidden/>
          </w:rPr>
        </w:r>
        <w:r w:rsidRPr="008B7CB7">
          <w:rPr>
            <w:caps/>
            <w:noProof/>
            <w:webHidden/>
          </w:rPr>
          <w:fldChar w:fldCharType="separate"/>
        </w:r>
        <w:r w:rsidR="00E23D04">
          <w:rPr>
            <w:caps/>
            <w:noProof/>
            <w:webHidden/>
          </w:rPr>
          <w:t>4</w:t>
        </w:r>
        <w:r w:rsidRPr="008B7CB7">
          <w:rPr>
            <w:caps/>
            <w:noProof/>
            <w:webHidden/>
          </w:rPr>
          <w:fldChar w:fldCharType="end"/>
        </w:r>
      </w:hyperlink>
    </w:p>
    <w:p w:rsidR="00F147EA" w:rsidRPr="008B7CB7" w:rsidRDefault="00F7744C" w:rsidP="00F147EA">
      <w:pPr>
        <w:pStyle w:val="TOC1"/>
        <w:tabs>
          <w:tab w:val="left" w:pos="440"/>
          <w:tab w:val="right" w:leader="dot" w:pos="9016"/>
        </w:tabs>
        <w:rPr>
          <w:rFonts w:asciiTheme="minorHAnsi" w:eastAsiaTheme="minorEastAsia" w:hAnsiTheme="minorHAnsi" w:cstheme="minorBidi"/>
          <w:caps/>
          <w:noProof/>
          <w:lang w:val="en-AU" w:eastAsia="en-AU"/>
        </w:rPr>
      </w:pPr>
      <w:hyperlink w:anchor="_Toc341047895" w:history="1">
        <w:r w:rsidR="00F147EA" w:rsidRPr="008B7CB7">
          <w:rPr>
            <w:rStyle w:val="Hyperlink"/>
            <w:caps/>
            <w:noProof/>
            <w:lang w:val="en-AU" w:eastAsia="en-AU"/>
          </w:rPr>
          <w:t>Prevalence of unlicensed drivers</w:t>
        </w:r>
        <w:r w:rsidR="00F147EA" w:rsidRPr="008B7CB7">
          <w:rPr>
            <w:caps/>
            <w:noProof/>
            <w:webHidden/>
          </w:rPr>
          <w:tab/>
        </w:r>
        <w:r w:rsidRPr="008B7CB7">
          <w:rPr>
            <w:caps/>
            <w:noProof/>
            <w:webHidden/>
          </w:rPr>
          <w:fldChar w:fldCharType="begin"/>
        </w:r>
        <w:r w:rsidR="00F147EA" w:rsidRPr="008B7CB7">
          <w:rPr>
            <w:caps/>
            <w:noProof/>
            <w:webHidden/>
          </w:rPr>
          <w:instrText xml:space="preserve"> PAGEREF _Toc341047895 \h </w:instrText>
        </w:r>
        <w:r w:rsidRPr="008B7CB7">
          <w:rPr>
            <w:caps/>
            <w:noProof/>
            <w:webHidden/>
          </w:rPr>
        </w:r>
        <w:r w:rsidRPr="008B7CB7">
          <w:rPr>
            <w:caps/>
            <w:noProof/>
            <w:webHidden/>
          </w:rPr>
          <w:fldChar w:fldCharType="separate"/>
        </w:r>
        <w:r w:rsidR="00E23D04">
          <w:rPr>
            <w:caps/>
            <w:noProof/>
            <w:webHidden/>
          </w:rPr>
          <w:t>5</w:t>
        </w:r>
        <w:r w:rsidRPr="008B7CB7">
          <w:rPr>
            <w:caps/>
            <w:noProof/>
            <w:webHidden/>
          </w:rPr>
          <w:fldChar w:fldCharType="end"/>
        </w:r>
      </w:hyperlink>
    </w:p>
    <w:p w:rsidR="00F147EA" w:rsidRPr="008B7CB7" w:rsidRDefault="00F7744C" w:rsidP="00F147EA">
      <w:pPr>
        <w:pStyle w:val="TOC1"/>
        <w:tabs>
          <w:tab w:val="left" w:pos="440"/>
          <w:tab w:val="right" w:leader="dot" w:pos="9016"/>
        </w:tabs>
        <w:rPr>
          <w:rFonts w:asciiTheme="minorHAnsi" w:eastAsiaTheme="minorEastAsia" w:hAnsiTheme="minorHAnsi" w:cstheme="minorBidi"/>
          <w:caps/>
          <w:noProof/>
          <w:lang w:val="en-AU" w:eastAsia="en-AU"/>
        </w:rPr>
      </w:pPr>
      <w:hyperlink w:anchor="_Toc341047896" w:history="1">
        <w:r w:rsidR="00F147EA" w:rsidRPr="008B7CB7">
          <w:rPr>
            <w:rStyle w:val="Hyperlink"/>
            <w:caps/>
            <w:noProof/>
            <w:lang w:val="en-AU" w:eastAsia="en-AU"/>
          </w:rPr>
          <w:t>Why people drive unlicensed?</w:t>
        </w:r>
        <w:r w:rsidR="00F147EA" w:rsidRPr="008B7CB7">
          <w:rPr>
            <w:caps/>
            <w:noProof/>
            <w:webHidden/>
          </w:rPr>
          <w:tab/>
        </w:r>
        <w:r w:rsidRPr="008B7CB7">
          <w:rPr>
            <w:caps/>
            <w:noProof/>
            <w:webHidden/>
          </w:rPr>
          <w:fldChar w:fldCharType="begin"/>
        </w:r>
        <w:r w:rsidR="00F147EA" w:rsidRPr="008B7CB7">
          <w:rPr>
            <w:caps/>
            <w:noProof/>
            <w:webHidden/>
          </w:rPr>
          <w:instrText xml:space="preserve"> PAGEREF _Toc341047896 \h </w:instrText>
        </w:r>
        <w:r w:rsidRPr="008B7CB7">
          <w:rPr>
            <w:caps/>
            <w:noProof/>
            <w:webHidden/>
          </w:rPr>
        </w:r>
        <w:r w:rsidRPr="008B7CB7">
          <w:rPr>
            <w:caps/>
            <w:noProof/>
            <w:webHidden/>
          </w:rPr>
          <w:fldChar w:fldCharType="separate"/>
        </w:r>
        <w:r w:rsidR="00E23D04">
          <w:rPr>
            <w:caps/>
            <w:noProof/>
            <w:webHidden/>
          </w:rPr>
          <w:t>7</w:t>
        </w:r>
        <w:r w:rsidRPr="008B7CB7">
          <w:rPr>
            <w:caps/>
            <w:noProof/>
            <w:webHidden/>
          </w:rPr>
          <w:fldChar w:fldCharType="end"/>
        </w:r>
      </w:hyperlink>
    </w:p>
    <w:p w:rsidR="00F147EA" w:rsidRPr="008B7CB7" w:rsidRDefault="00F7744C" w:rsidP="00F147EA">
      <w:pPr>
        <w:pStyle w:val="TOC1"/>
        <w:tabs>
          <w:tab w:val="left" w:pos="440"/>
          <w:tab w:val="right" w:leader="dot" w:pos="9016"/>
        </w:tabs>
        <w:rPr>
          <w:rFonts w:asciiTheme="minorHAnsi" w:eastAsiaTheme="minorEastAsia" w:hAnsiTheme="minorHAnsi" w:cstheme="minorBidi"/>
          <w:caps/>
          <w:noProof/>
          <w:lang w:val="en-AU" w:eastAsia="en-AU"/>
        </w:rPr>
      </w:pPr>
      <w:hyperlink w:anchor="_Toc341047897" w:history="1">
        <w:r w:rsidR="00F147EA" w:rsidRPr="008B7CB7">
          <w:rPr>
            <w:rStyle w:val="Hyperlink"/>
            <w:caps/>
            <w:noProof/>
            <w:lang w:bidi="en-US"/>
          </w:rPr>
          <w:t>Strategies to detect and deter unlicensed driving</w:t>
        </w:r>
        <w:r w:rsidR="00F147EA" w:rsidRPr="008B7CB7">
          <w:rPr>
            <w:caps/>
            <w:noProof/>
            <w:webHidden/>
          </w:rPr>
          <w:tab/>
        </w:r>
        <w:r w:rsidRPr="008B7CB7">
          <w:rPr>
            <w:caps/>
            <w:noProof/>
            <w:webHidden/>
          </w:rPr>
          <w:fldChar w:fldCharType="begin"/>
        </w:r>
        <w:r w:rsidR="00F147EA" w:rsidRPr="008B7CB7">
          <w:rPr>
            <w:caps/>
            <w:noProof/>
            <w:webHidden/>
          </w:rPr>
          <w:instrText xml:space="preserve"> PAGEREF _Toc341047897 \h </w:instrText>
        </w:r>
        <w:r w:rsidRPr="008B7CB7">
          <w:rPr>
            <w:caps/>
            <w:noProof/>
            <w:webHidden/>
          </w:rPr>
        </w:r>
        <w:r w:rsidRPr="008B7CB7">
          <w:rPr>
            <w:caps/>
            <w:noProof/>
            <w:webHidden/>
          </w:rPr>
          <w:fldChar w:fldCharType="separate"/>
        </w:r>
        <w:r w:rsidR="00E23D04">
          <w:rPr>
            <w:caps/>
            <w:noProof/>
            <w:webHidden/>
          </w:rPr>
          <w:t>8</w:t>
        </w:r>
        <w:r w:rsidRPr="008B7CB7">
          <w:rPr>
            <w:caps/>
            <w:noProof/>
            <w:webHidden/>
          </w:rPr>
          <w:fldChar w:fldCharType="end"/>
        </w:r>
      </w:hyperlink>
    </w:p>
    <w:p w:rsidR="00F147EA" w:rsidRPr="008B7CB7" w:rsidRDefault="00F7744C" w:rsidP="00F147EA">
      <w:pPr>
        <w:pStyle w:val="TOC1"/>
        <w:tabs>
          <w:tab w:val="left" w:pos="440"/>
          <w:tab w:val="right" w:leader="dot" w:pos="9016"/>
        </w:tabs>
        <w:rPr>
          <w:rFonts w:asciiTheme="minorHAnsi" w:eastAsiaTheme="minorEastAsia" w:hAnsiTheme="minorHAnsi" w:cstheme="minorBidi"/>
          <w:caps/>
          <w:noProof/>
          <w:lang w:val="en-AU" w:eastAsia="en-AU"/>
        </w:rPr>
      </w:pPr>
      <w:hyperlink w:anchor="_Toc341047898" w:history="1">
        <w:r w:rsidR="00F147EA" w:rsidRPr="008B7CB7">
          <w:rPr>
            <w:rStyle w:val="Hyperlink"/>
            <w:caps/>
            <w:noProof/>
            <w:lang w:val="en-AU" w:eastAsia="en-AU" w:bidi="en-US"/>
          </w:rPr>
          <w:t>Unlicensed Drivers in Crashes</w:t>
        </w:r>
        <w:r w:rsidR="00F147EA" w:rsidRPr="008B7CB7">
          <w:rPr>
            <w:caps/>
            <w:noProof/>
            <w:webHidden/>
          </w:rPr>
          <w:tab/>
        </w:r>
        <w:r w:rsidRPr="008B7CB7">
          <w:rPr>
            <w:caps/>
            <w:noProof/>
            <w:webHidden/>
          </w:rPr>
          <w:fldChar w:fldCharType="begin"/>
        </w:r>
        <w:r w:rsidR="00F147EA" w:rsidRPr="008B7CB7">
          <w:rPr>
            <w:caps/>
            <w:noProof/>
            <w:webHidden/>
          </w:rPr>
          <w:instrText xml:space="preserve"> PAGEREF _Toc341047898 \h </w:instrText>
        </w:r>
        <w:r w:rsidRPr="008B7CB7">
          <w:rPr>
            <w:caps/>
            <w:noProof/>
            <w:webHidden/>
          </w:rPr>
        </w:r>
        <w:r w:rsidRPr="008B7CB7">
          <w:rPr>
            <w:caps/>
            <w:noProof/>
            <w:webHidden/>
          </w:rPr>
          <w:fldChar w:fldCharType="separate"/>
        </w:r>
        <w:r w:rsidR="00E23D04">
          <w:rPr>
            <w:caps/>
            <w:noProof/>
            <w:webHidden/>
          </w:rPr>
          <w:t>13</w:t>
        </w:r>
        <w:r w:rsidRPr="008B7CB7">
          <w:rPr>
            <w:caps/>
            <w:noProof/>
            <w:webHidden/>
          </w:rPr>
          <w:fldChar w:fldCharType="end"/>
        </w:r>
      </w:hyperlink>
    </w:p>
    <w:p w:rsidR="00F147EA" w:rsidRPr="008B7CB7" w:rsidRDefault="00F7744C" w:rsidP="00F147EA">
      <w:pPr>
        <w:pStyle w:val="TOC1"/>
        <w:tabs>
          <w:tab w:val="left" w:pos="440"/>
          <w:tab w:val="right" w:leader="dot" w:pos="9016"/>
        </w:tabs>
        <w:rPr>
          <w:rFonts w:asciiTheme="minorHAnsi" w:eastAsiaTheme="minorEastAsia" w:hAnsiTheme="minorHAnsi" w:cstheme="minorBidi"/>
          <w:caps/>
          <w:noProof/>
          <w:lang w:val="en-AU" w:eastAsia="en-AU"/>
        </w:rPr>
      </w:pPr>
      <w:hyperlink w:anchor="_Toc341047899" w:history="1">
        <w:r w:rsidR="00F147EA" w:rsidRPr="008B7CB7">
          <w:rPr>
            <w:rStyle w:val="Hyperlink"/>
            <w:b/>
            <w:i/>
            <w:caps/>
            <w:noProof/>
            <w:lang w:bidi="en-US"/>
          </w:rPr>
          <w:t>UNREGISTERED VEHICLES</w:t>
        </w:r>
        <w:r w:rsidR="00F147EA" w:rsidRPr="008B7CB7">
          <w:rPr>
            <w:caps/>
            <w:noProof/>
            <w:webHidden/>
          </w:rPr>
          <w:tab/>
        </w:r>
        <w:r w:rsidRPr="008B7CB7">
          <w:rPr>
            <w:caps/>
            <w:noProof/>
            <w:webHidden/>
          </w:rPr>
          <w:fldChar w:fldCharType="begin"/>
        </w:r>
        <w:r w:rsidR="00F147EA" w:rsidRPr="008B7CB7">
          <w:rPr>
            <w:caps/>
            <w:noProof/>
            <w:webHidden/>
          </w:rPr>
          <w:instrText xml:space="preserve"> PAGEREF _Toc341047899 \h </w:instrText>
        </w:r>
        <w:r w:rsidRPr="008B7CB7">
          <w:rPr>
            <w:caps/>
            <w:noProof/>
            <w:webHidden/>
          </w:rPr>
        </w:r>
        <w:r w:rsidRPr="008B7CB7">
          <w:rPr>
            <w:caps/>
            <w:noProof/>
            <w:webHidden/>
          </w:rPr>
          <w:fldChar w:fldCharType="separate"/>
        </w:r>
        <w:r w:rsidR="00E23D04">
          <w:rPr>
            <w:caps/>
            <w:noProof/>
            <w:webHidden/>
          </w:rPr>
          <w:t>17</w:t>
        </w:r>
        <w:r w:rsidRPr="008B7CB7">
          <w:rPr>
            <w:caps/>
            <w:noProof/>
            <w:webHidden/>
          </w:rPr>
          <w:fldChar w:fldCharType="end"/>
        </w:r>
      </w:hyperlink>
    </w:p>
    <w:p w:rsidR="00F147EA" w:rsidRPr="008B7CB7" w:rsidRDefault="00F7744C" w:rsidP="00F147EA">
      <w:pPr>
        <w:pStyle w:val="TOC1"/>
        <w:tabs>
          <w:tab w:val="left" w:pos="440"/>
          <w:tab w:val="right" w:leader="dot" w:pos="9016"/>
        </w:tabs>
        <w:rPr>
          <w:rFonts w:asciiTheme="minorHAnsi" w:eastAsiaTheme="minorEastAsia" w:hAnsiTheme="minorHAnsi" w:cstheme="minorBidi"/>
          <w:caps/>
          <w:noProof/>
          <w:lang w:val="en-AU" w:eastAsia="en-AU"/>
        </w:rPr>
      </w:pPr>
      <w:hyperlink w:anchor="_Toc341047900" w:history="1">
        <w:r w:rsidR="00F147EA" w:rsidRPr="008B7CB7">
          <w:rPr>
            <w:rStyle w:val="Hyperlink"/>
            <w:caps/>
            <w:noProof/>
            <w:lang w:bidi="en-US"/>
          </w:rPr>
          <w:t>What is an unregistered vehicle?</w:t>
        </w:r>
        <w:r w:rsidR="00F147EA" w:rsidRPr="008B7CB7">
          <w:rPr>
            <w:caps/>
            <w:noProof/>
            <w:webHidden/>
          </w:rPr>
          <w:tab/>
        </w:r>
        <w:r w:rsidRPr="008B7CB7">
          <w:rPr>
            <w:caps/>
            <w:noProof/>
            <w:webHidden/>
          </w:rPr>
          <w:fldChar w:fldCharType="begin"/>
        </w:r>
        <w:r w:rsidR="00F147EA" w:rsidRPr="008B7CB7">
          <w:rPr>
            <w:caps/>
            <w:noProof/>
            <w:webHidden/>
          </w:rPr>
          <w:instrText xml:space="preserve"> PAGEREF _Toc341047900 \h </w:instrText>
        </w:r>
        <w:r w:rsidRPr="008B7CB7">
          <w:rPr>
            <w:caps/>
            <w:noProof/>
            <w:webHidden/>
          </w:rPr>
        </w:r>
        <w:r w:rsidRPr="008B7CB7">
          <w:rPr>
            <w:caps/>
            <w:noProof/>
            <w:webHidden/>
          </w:rPr>
          <w:fldChar w:fldCharType="separate"/>
        </w:r>
        <w:r w:rsidR="00E23D04">
          <w:rPr>
            <w:caps/>
            <w:noProof/>
            <w:webHidden/>
          </w:rPr>
          <w:t>17</w:t>
        </w:r>
        <w:r w:rsidRPr="008B7CB7">
          <w:rPr>
            <w:caps/>
            <w:noProof/>
            <w:webHidden/>
          </w:rPr>
          <w:fldChar w:fldCharType="end"/>
        </w:r>
      </w:hyperlink>
    </w:p>
    <w:p w:rsidR="00F147EA" w:rsidRPr="008B7CB7" w:rsidRDefault="00F7744C" w:rsidP="00F147EA">
      <w:pPr>
        <w:pStyle w:val="TOC1"/>
        <w:tabs>
          <w:tab w:val="left" w:pos="440"/>
          <w:tab w:val="right" w:leader="dot" w:pos="9016"/>
        </w:tabs>
        <w:rPr>
          <w:rFonts w:asciiTheme="minorHAnsi" w:eastAsiaTheme="minorEastAsia" w:hAnsiTheme="minorHAnsi" w:cstheme="minorBidi"/>
          <w:caps/>
          <w:noProof/>
          <w:lang w:val="en-AU" w:eastAsia="en-AU"/>
        </w:rPr>
      </w:pPr>
      <w:hyperlink w:anchor="_Toc341047901" w:history="1">
        <w:r w:rsidR="00F147EA" w:rsidRPr="008B7CB7">
          <w:rPr>
            <w:rStyle w:val="Hyperlink"/>
            <w:caps/>
            <w:noProof/>
            <w:lang w:bidi="en-US"/>
          </w:rPr>
          <w:t>Reasons why vehicles are unregistered</w:t>
        </w:r>
        <w:r w:rsidR="00F147EA" w:rsidRPr="008B7CB7">
          <w:rPr>
            <w:caps/>
            <w:noProof/>
            <w:webHidden/>
          </w:rPr>
          <w:tab/>
        </w:r>
        <w:r w:rsidRPr="008B7CB7">
          <w:rPr>
            <w:caps/>
            <w:noProof/>
            <w:webHidden/>
          </w:rPr>
          <w:fldChar w:fldCharType="begin"/>
        </w:r>
        <w:r w:rsidR="00F147EA" w:rsidRPr="008B7CB7">
          <w:rPr>
            <w:caps/>
            <w:noProof/>
            <w:webHidden/>
          </w:rPr>
          <w:instrText xml:space="preserve"> PAGEREF _Toc341047901 \h </w:instrText>
        </w:r>
        <w:r w:rsidRPr="008B7CB7">
          <w:rPr>
            <w:caps/>
            <w:noProof/>
            <w:webHidden/>
          </w:rPr>
        </w:r>
        <w:r w:rsidRPr="008B7CB7">
          <w:rPr>
            <w:caps/>
            <w:noProof/>
            <w:webHidden/>
          </w:rPr>
          <w:fldChar w:fldCharType="separate"/>
        </w:r>
        <w:r w:rsidR="00E23D04">
          <w:rPr>
            <w:caps/>
            <w:noProof/>
            <w:webHidden/>
          </w:rPr>
          <w:t>17</w:t>
        </w:r>
        <w:r w:rsidRPr="008B7CB7">
          <w:rPr>
            <w:caps/>
            <w:noProof/>
            <w:webHidden/>
          </w:rPr>
          <w:fldChar w:fldCharType="end"/>
        </w:r>
      </w:hyperlink>
    </w:p>
    <w:p w:rsidR="00F147EA" w:rsidRPr="008B7CB7" w:rsidRDefault="00F7744C" w:rsidP="00F147EA">
      <w:pPr>
        <w:pStyle w:val="TOC1"/>
        <w:tabs>
          <w:tab w:val="left" w:pos="440"/>
          <w:tab w:val="left" w:pos="660"/>
          <w:tab w:val="right" w:leader="dot" w:pos="9016"/>
        </w:tabs>
        <w:rPr>
          <w:rFonts w:asciiTheme="minorHAnsi" w:eastAsiaTheme="minorEastAsia" w:hAnsiTheme="minorHAnsi" w:cstheme="minorBidi"/>
          <w:caps/>
          <w:noProof/>
          <w:lang w:val="en-AU" w:eastAsia="en-AU"/>
        </w:rPr>
      </w:pPr>
      <w:hyperlink w:anchor="_Toc341047902" w:history="1">
        <w:r w:rsidR="00F147EA" w:rsidRPr="008B7CB7">
          <w:rPr>
            <w:rStyle w:val="Hyperlink"/>
            <w:caps/>
            <w:noProof/>
            <w:lang w:bidi="en-US"/>
          </w:rPr>
          <w:t>Detecting and reducing unregistered vehicles</w:t>
        </w:r>
        <w:r w:rsidR="00F147EA" w:rsidRPr="008B7CB7">
          <w:rPr>
            <w:caps/>
            <w:noProof/>
            <w:webHidden/>
          </w:rPr>
          <w:tab/>
        </w:r>
        <w:r w:rsidRPr="008B7CB7">
          <w:rPr>
            <w:caps/>
            <w:noProof/>
            <w:webHidden/>
          </w:rPr>
          <w:fldChar w:fldCharType="begin"/>
        </w:r>
        <w:r w:rsidR="00F147EA" w:rsidRPr="008B7CB7">
          <w:rPr>
            <w:caps/>
            <w:noProof/>
            <w:webHidden/>
          </w:rPr>
          <w:instrText xml:space="preserve"> PAGEREF _Toc341047902 \h </w:instrText>
        </w:r>
        <w:r w:rsidRPr="008B7CB7">
          <w:rPr>
            <w:caps/>
            <w:noProof/>
            <w:webHidden/>
          </w:rPr>
        </w:r>
        <w:r w:rsidRPr="008B7CB7">
          <w:rPr>
            <w:caps/>
            <w:noProof/>
            <w:webHidden/>
          </w:rPr>
          <w:fldChar w:fldCharType="separate"/>
        </w:r>
        <w:r w:rsidR="00E23D04">
          <w:rPr>
            <w:caps/>
            <w:noProof/>
            <w:webHidden/>
          </w:rPr>
          <w:t>19</w:t>
        </w:r>
        <w:r w:rsidRPr="008B7CB7">
          <w:rPr>
            <w:caps/>
            <w:noProof/>
            <w:webHidden/>
          </w:rPr>
          <w:fldChar w:fldCharType="end"/>
        </w:r>
      </w:hyperlink>
    </w:p>
    <w:p w:rsidR="00F147EA" w:rsidRPr="008B7CB7" w:rsidRDefault="00F7744C" w:rsidP="00F147EA">
      <w:pPr>
        <w:pStyle w:val="TOC1"/>
        <w:tabs>
          <w:tab w:val="left" w:pos="440"/>
          <w:tab w:val="left" w:pos="660"/>
          <w:tab w:val="right" w:leader="dot" w:pos="9016"/>
        </w:tabs>
        <w:rPr>
          <w:rFonts w:asciiTheme="minorHAnsi" w:eastAsiaTheme="minorEastAsia" w:hAnsiTheme="minorHAnsi" w:cstheme="minorBidi"/>
          <w:caps/>
          <w:noProof/>
          <w:lang w:val="en-AU" w:eastAsia="en-AU"/>
        </w:rPr>
      </w:pPr>
      <w:hyperlink w:anchor="_Toc341047903" w:history="1">
        <w:r w:rsidR="00F147EA" w:rsidRPr="008B7CB7">
          <w:rPr>
            <w:rStyle w:val="Hyperlink"/>
            <w:caps/>
            <w:noProof/>
            <w:lang w:bidi="en-US"/>
          </w:rPr>
          <w:t>Unregistered vehicles in crashes</w:t>
        </w:r>
        <w:r w:rsidR="00F147EA" w:rsidRPr="008B7CB7">
          <w:rPr>
            <w:caps/>
            <w:noProof/>
            <w:webHidden/>
          </w:rPr>
          <w:tab/>
        </w:r>
        <w:r w:rsidRPr="008B7CB7">
          <w:rPr>
            <w:caps/>
            <w:noProof/>
            <w:webHidden/>
          </w:rPr>
          <w:fldChar w:fldCharType="begin"/>
        </w:r>
        <w:r w:rsidR="00F147EA" w:rsidRPr="008B7CB7">
          <w:rPr>
            <w:caps/>
            <w:noProof/>
            <w:webHidden/>
          </w:rPr>
          <w:instrText xml:space="preserve"> PAGEREF _Toc341047903 \h </w:instrText>
        </w:r>
        <w:r w:rsidRPr="008B7CB7">
          <w:rPr>
            <w:caps/>
            <w:noProof/>
            <w:webHidden/>
          </w:rPr>
        </w:r>
        <w:r w:rsidRPr="008B7CB7">
          <w:rPr>
            <w:caps/>
            <w:noProof/>
            <w:webHidden/>
          </w:rPr>
          <w:fldChar w:fldCharType="separate"/>
        </w:r>
        <w:r w:rsidR="00E23D04">
          <w:rPr>
            <w:caps/>
            <w:noProof/>
            <w:webHidden/>
          </w:rPr>
          <w:t>20</w:t>
        </w:r>
        <w:r w:rsidRPr="008B7CB7">
          <w:rPr>
            <w:caps/>
            <w:noProof/>
            <w:webHidden/>
          </w:rPr>
          <w:fldChar w:fldCharType="end"/>
        </w:r>
      </w:hyperlink>
    </w:p>
    <w:p w:rsidR="00F147EA" w:rsidRDefault="00F7744C" w:rsidP="00F147EA">
      <w:pPr>
        <w:pStyle w:val="TOC1"/>
        <w:tabs>
          <w:tab w:val="left" w:pos="440"/>
          <w:tab w:val="left" w:pos="660"/>
          <w:tab w:val="right" w:leader="dot" w:pos="9016"/>
        </w:tabs>
        <w:rPr>
          <w:rFonts w:asciiTheme="minorHAnsi" w:eastAsiaTheme="minorEastAsia" w:hAnsiTheme="minorHAnsi" w:cstheme="minorBidi"/>
          <w:noProof/>
          <w:lang w:val="en-AU" w:eastAsia="en-AU"/>
        </w:rPr>
      </w:pPr>
      <w:hyperlink w:anchor="_Toc341047904" w:history="1">
        <w:r w:rsidR="00F147EA" w:rsidRPr="008B7CB7">
          <w:rPr>
            <w:rStyle w:val="Hyperlink"/>
            <w:caps/>
            <w:noProof/>
            <w:lang w:bidi="en-US"/>
          </w:rPr>
          <w:t>CONCLUSION</w:t>
        </w:r>
        <w:r w:rsidR="00F147EA" w:rsidRPr="008B7CB7">
          <w:rPr>
            <w:caps/>
            <w:noProof/>
            <w:webHidden/>
          </w:rPr>
          <w:tab/>
        </w:r>
        <w:r w:rsidRPr="008B7CB7">
          <w:rPr>
            <w:caps/>
            <w:noProof/>
            <w:webHidden/>
          </w:rPr>
          <w:fldChar w:fldCharType="begin"/>
        </w:r>
        <w:r w:rsidR="00F147EA" w:rsidRPr="008B7CB7">
          <w:rPr>
            <w:caps/>
            <w:noProof/>
            <w:webHidden/>
          </w:rPr>
          <w:instrText xml:space="preserve"> PAGEREF _Toc341047904 \h </w:instrText>
        </w:r>
        <w:r w:rsidRPr="008B7CB7">
          <w:rPr>
            <w:caps/>
            <w:noProof/>
            <w:webHidden/>
          </w:rPr>
        </w:r>
        <w:r w:rsidRPr="008B7CB7">
          <w:rPr>
            <w:caps/>
            <w:noProof/>
            <w:webHidden/>
          </w:rPr>
          <w:fldChar w:fldCharType="separate"/>
        </w:r>
        <w:r w:rsidR="00E23D04">
          <w:rPr>
            <w:caps/>
            <w:noProof/>
            <w:webHidden/>
          </w:rPr>
          <w:t>21</w:t>
        </w:r>
        <w:r w:rsidRPr="008B7CB7">
          <w:rPr>
            <w:caps/>
            <w:noProof/>
            <w:webHidden/>
          </w:rPr>
          <w:fldChar w:fldCharType="end"/>
        </w:r>
      </w:hyperlink>
    </w:p>
    <w:p w:rsidR="00AE3440" w:rsidRPr="002B3AB9" w:rsidRDefault="00F7744C" w:rsidP="006A5784">
      <w:pPr>
        <w:pStyle w:val="ExecSummDotPoint"/>
        <w:pBdr>
          <w:top w:val="none" w:sz="0" w:space="0" w:color="auto"/>
          <w:left w:val="none" w:sz="0" w:space="0" w:color="auto"/>
          <w:bottom w:val="none" w:sz="0" w:space="0" w:color="auto"/>
          <w:right w:val="none" w:sz="0" w:space="0" w:color="auto"/>
        </w:pBdr>
        <w:tabs>
          <w:tab w:val="clear" w:pos="1077"/>
        </w:tabs>
        <w:spacing w:before="0"/>
        <w:ind w:left="-567" w:right="12" w:firstLine="0"/>
        <w:jc w:val="right"/>
        <w:rPr>
          <w:rFonts w:asciiTheme="minorHAnsi" w:hAnsiTheme="minorHAnsi"/>
          <w:b/>
          <w:i/>
          <w:sz w:val="28"/>
          <w:szCs w:val="28"/>
        </w:rPr>
      </w:pPr>
      <w:r>
        <w:rPr>
          <w:rFonts w:ascii="Calibri" w:hAnsi="Calibri" w:cs="Times New Roman"/>
          <w:lang w:val="en-US"/>
        </w:rPr>
        <w:fldChar w:fldCharType="end"/>
      </w:r>
      <w:r w:rsidR="00AE3440">
        <w:br w:type="page"/>
      </w:r>
      <w:r w:rsidR="00FD5731" w:rsidRPr="002B3AB9">
        <w:rPr>
          <w:rFonts w:asciiTheme="minorHAnsi" w:hAnsiTheme="minorHAnsi"/>
          <w:b/>
          <w:i/>
          <w:sz w:val="28"/>
          <w:szCs w:val="28"/>
        </w:rPr>
        <w:lastRenderedPageBreak/>
        <w:t>UNLICENSED</w:t>
      </w:r>
      <w:r w:rsidR="00AE3440" w:rsidRPr="002B3AB9">
        <w:rPr>
          <w:rFonts w:asciiTheme="minorHAnsi" w:hAnsiTheme="minorHAnsi"/>
          <w:b/>
          <w:i/>
          <w:sz w:val="28"/>
          <w:szCs w:val="28"/>
        </w:rPr>
        <w:t xml:space="preserve"> DRIVERS AND UNREGISTERED VEHICLES</w:t>
      </w:r>
      <w:r w:rsidR="006A5784" w:rsidRPr="002B3AB9">
        <w:rPr>
          <w:rFonts w:asciiTheme="minorHAnsi" w:hAnsiTheme="minorHAnsi"/>
          <w:b/>
          <w:i/>
          <w:sz w:val="28"/>
          <w:szCs w:val="28"/>
        </w:rPr>
        <w:t xml:space="preserve"> IN TASMANIA</w:t>
      </w:r>
      <w:r w:rsidR="00AE3440" w:rsidRPr="002B3AB9">
        <w:rPr>
          <w:rFonts w:asciiTheme="minorHAnsi" w:hAnsiTheme="minorHAnsi"/>
          <w:b/>
          <w:i/>
          <w:sz w:val="28"/>
          <w:szCs w:val="28"/>
        </w:rPr>
        <w:t xml:space="preserve">: </w:t>
      </w:r>
      <w:r w:rsidR="006A5784" w:rsidRPr="002B3AB9">
        <w:rPr>
          <w:rFonts w:asciiTheme="minorHAnsi" w:hAnsiTheme="minorHAnsi"/>
          <w:b/>
          <w:i/>
          <w:sz w:val="28"/>
          <w:szCs w:val="28"/>
        </w:rPr>
        <w:br/>
      </w:r>
      <w:r w:rsidR="00AE3440" w:rsidRPr="002B3AB9">
        <w:rPr>
          <w:rFonts w:asciiTheme="minorHAnsi" w:hAnsiTheme="minorHAnsi"/>
          <w:b/>
          <w:i/>
          <w:sz w:val="28"/>
          <w:szCs w:val="28"/>
        </w:rPr>
        <w:t>A ROAD SAFETY PERSPECTIVE</w:t>
      </w:r>
    </w:p>
    <w:p w:rsidR="00AE3440" w:rsidRPr="000638E8" w:rsidRDefault="00A22E17" w:rsidP="00A22C08">
      <w:pPr>
        <w:pStyle w:val="Heading1"/>
        <w:jc w:val="both"/>
      </w:pPr>
      <w:bookmarkStart w:id="0" w:name="_Toc341047891"/>
      <w:r>
        <w:t>B</w:t>
      </w:r>
      <w:r w:rsidR="003C09F1">
        <w:t xml:space="preserve">ackground </w:t>
      </w:r>
      <w:bookmarkEnd w:id="0"/>
    </w:p>
    <w:p w:rsidR="00AE3440" w:rsidRPr="000638E8" w:rsidRDefault="000E2A34" w:rsidP="00995E2B">
      <w:pPr>
        <w:jc w:val="both"/>
        <w:rPr>
          <w:rFonts w:cs="Arial"/>
        </w:rPr>
      </w:pPr>
      <w:r>
        <w:t>U</w:t>
      </w:r>
      <w:r w:rsidR="00FD5731">
        <w:t>nlicensed</w:t>
      </w:r>
      <w:r w:rsidR="00AE3440" w:rsidRPr="000638E8">
        <w:t xml:space="preserve"> driving is not unique to Tasmania, t</w:t>
      </w:r>
      <w:r w:rsidR="00AE3440" w:rsidRPr="000638E8">
        <w:rPr>
          <w:rFonts w:cs="Arial"/>
        </w:rPr>
        <w:t>he issue of driving whilst never ha</w:t>
      </w:r>
      <w:r>
        <w:rPr>
          <w:rFonts w:cs="Arial"/>
        </w:rPr>
        <w:t>ving held a licence and</w:t>
      </w:r>
      <w:r w:rsidR="00AE3440" w:rsidRPr="000638E8">
        <w:rPr>
          <w:rFonts w:cs="Arial"/>
        </w:rPr>
        <w:t xml:space="preserve"> driving whilst suspended or disqualified is a national issue and is </w:t>
      </w:r>
      <w:r w:rsidR="00F57D19">
        <w:rPr>
          <w:rFonts w:cs="Arial"/>
        </w:rPr>
        <w:t xml:space="preserve">currently </w:t>
      </w:r>
      <w:r w:rsidR="00AE3440" w:rsidRPr="000638E8">
        <w:rPr>
          <w:rFonts w:cs="Arial"/>
        </w:rPr>
        <w:t xml:space="preserve">being </w:t>
      </w:r>
      <w:r w:rsidR="006D5871">
        <w:rPr>
          <w:rFonts w:cs="Arial"/>
        </w:rPr>
        <w:t>addressed by the National Licens</w:t>
      </w:r>
      <w:r w:rsidR="00AE3440" w:rsidRPr="000638E8">
        <w:rPr>
          <w:rFonts w:cs="Arial"/>
        </w:rPr>
        <w:t xml:space="preserve">ing Working Group and </w:t>
      </w:r>
      <w:r w:rsidR="003C09F1" w:rsidRPr="00E67E98">
        <w:rPr>
          <w:rFonts w:cs="Arial"/>
        </w:rPr>
        <w:t>Registration and Licensing</w:t>
      </w:r>
      <w:r w:rsidR="003C09F1">
        <w:rPr>
          <w:rFonts w:cs="Arial"/>
        </w:rPr>
        <w:t xml:space="preserve"> </w:t>
      </w:r>
      <w:r w:rsidR="00AE3440" w:rsidRPr="000638E8">
        <w:rPr>
          <w:rFonts w:cs="Arial"/>
        </w:rPr>
        <w:t>Taskforce.</w:t>
      </w:r>
    </w:p>
    <w:p w:rsidR="00AE3440" w:rsidRDefault="00AE3440" w:rsidP="00995E2B">
      <w:pPr>
        <w:jc w:val="both"/>
        <w:rPr>
          <w:rFonts w:cs="Century Gothic"/>
        </w:rPr>
      </w:pPr>
      <w:r w:rsidRPr="000638E8">
        <w:rPr>
          <w:rFonts w:cs="Century Gothic"/>
        </w:rPr>
        <w:t xml:space="preserve">The National Licensing </w:t>
      </w:r>
      <w:r w:rsidRPr="000638E8">
        <w:rPr>
          <w:rFonts w:cs="Arial"/>
        </w:rPr>
        <w:t>Working Group</w:t>
      </w:r>
      <w:r w:rsidRPr="000638E8">
        <w:rPr>
          <w:rFonts w:cs="Century Gothic"/>
        </w:rPr>
        <w:t xml:space="preserve"> has recently commissioned the Centre for Automotive Safety Research</w:t>
      </w:r>
      <w:r w:rsidR="003C09F1">
        <w:rPr>
          <w:rFonts w:cs="Century Gothic"/>
        </w:rPr>
        <w:t xml:space="preserve"> (CASR)</w:t>
      </w:r>
      <w:r w:rsidRPr="000638E8">
        <w:rPr>
          <w:rFonts w:cs="Century Gothic"/>
        </w:rPr>
        <w:t xml:space="preserve"> from the University of Adelaide to investigate measures to reduce the incidence of </w:t>
      </w:r>
      <w:r w:rsidR="00FD5731">
        <w:rPr>
          <w:rFonts w:cs="Century Gothic"/>
        </w:rPr>
        <w:t>unlicensed</w:t>
      </w:r>
      <w:r w:rsidR="000E2A34">
        <w:rPr>
          <w:rFonts w:cs="Century Gothic"/>
        </w:rPr>
        <w:t xml:space="preserve"> driving</w:t>
      </w:r>
      <w:r w:rsidRPr="000638E8">
        <w:rPr>
          <w:rFonts w:cs="Century Gothic"/>
        </w:rPr>
        <w:t>.</w:t>
      </w:r>
    </w:p>
    <w:p w:rsidR="003C09F1" w:rsidRDefault="003C09F1" w:rsidP="00995E2B">
      <w:pPr>
        <w:jc w:val="both"/>
        <w:rPr>
          <w:rFonts w:cs="Century Gothic"/>
        </w:rPr>
      </w:pPr>
      <w:r>
        <w:rPr>
          <w:rFonts w:cs="Century Gothic"/>
        </w:rPr>
        <w:t>This Report provides an analysis of Tasmanian licensing, registration and crash statistics as well as current information on the reasons for the</w:t>
      </w:r>
      <w:r w:rsidR="00292972">
        <w:rPr>
          <w:rFonts w:cs="Century Gothic"/>
        </w:rPr>
        <w:t>se</w:t>
      </w:r>
      <w:r w:rsidRPr="003C09F1">
        <w:rPr>
          <w:rFonts w:cs="Century Gothic"/>
          <w:lang w:val="en-GB"/>
        </w:rPr>
        <w:t xml:space="preserve"> behaviours</w:t>
      </w:r>
      <w:r>
        <w:rPr>
          <w:rFonts w:cs="Century Gothic"/>
        </w:rPr>
        <w:t xml:space="preserve"> and mitigation measures.</w:t>
      </w:r>
    </w:p>
    <w:p w:rsidR="00F40325" w:rsidRPr="000638E8" w:rsidRDefault="00F40325" w:rsidP="00995E2B">
      <w:pPr>
        <w:jc w:val="both"/>
        <w:rPr>
          <w:rFonts w:cs="Century Gothic"/>
        </w:rPr>
      </w:pPr>
    </w:p>
    <w:p w:rsidR="003C09F1" w:rsidRPr="003C09F1" w:rsidRDefault="003C09F1" w:rsidP="006A525A">
      <w:pPr>
        <w:pStyle w:val="Heading1"/>
        <w:spacing w:before="240" w:after="120"/>
        <w:ind w:left="-567"/>
        <w:jc w:val="both"/>
        <w:rPr>
          <w:i/>
        </w:rPr>
      </w:pPr>
      <w:bookmarkStart w:id="1" w:name="_Toc341047892"/>
      <w:r w:rsidRPr="003C09F1">
        <w:rPr>
          <w:i/>
        </w:rPr>
        <w:t>UNLICENSED DRIVING</w:t>
      </w:r>
      <w:bookmarkEnd w:id="1"/>
    </w:p>
    <w:p w:rsidR="00AE3440" w:rsidRDefault="00AE3440" w:rsidP="00E465E4">
      <w:pPr>
        <w:pStyle w:val="Heading1"/>
        <w:spacing w:before="240"/>
        <w:contextualSpacing w:val="0"/>
        <w:jc w:val="both"/>
      </w:pPr>
      <w:bookmarkStart w:id="2" w:name="_Toc341047893"/>
      <w:r w:rsidRPr="000638E8">
        <w:t xml:space="preserve">What is </w:t>
      </w:r>
      <w:r w:rsidR="00FD5731">
        <w:t>unlicensed</w:t>
      </w:r>
      <w:r w:rsidRPr="000638E8">
        <w:t xml:space="preserve"> driving?</w:t>
      </w:r>
      <w:bookmarkEnd w:id="2"/>
    </w:p>
    <w:p w:rsidR="00AE3440" w:rsidRPr="006D5871" w:rsidRDefault="00AE3440" w:rsidP="00995E2B">
      <w:pPr>
        <w:jc w:val="both"/>
        <w:rPr>
          <w:b/>
        </w:rPr>
      </w:pPr>
      <w:r w:rsidRPr="000638E8">
        <w:t xml:space="preserve">The Tasmanian </w:t>
      </w:r>
      <w:r w:rsidRPr="000638E8">
        <w:rPr>
          <w:i/>
        </w:rPr>
        <w:t>Vehicle and Traffic Act 1999</w:t>
      </w:r>
      <w:r w:rsidR="006D5871">
        <w:rPr>
          <w:i/>
        </w:rPr>
        <w:t xml:space="preserve"> </w:t>
      </w:r>
      <w:r w:rsidRPr="000638E8">
        <w:t>requires the driver or rider of a motor vehicle on a public street to hold a valid driver</w:t>
      </w:r>
      <w:r w:rsidR="000E2A34">
        <w:t>’s</w:t>
      </w:r>
      <w:r w:rsidRPr="000638E8">
        <w:t xml:space="preserve"> licence for the type of vehicle they are operating.</w:t>
      </w:r>
      <w:r w:rsidR="006D5871">
        <w:t xml:space="preserve">  </w:t>
      </w:r>
      <w:r w:rsidR="00686372" w:rsidRPr="00686372">
        <w:t>There are 365,019</w:t>
      </w:r>
      <w:r w:rsidR="00234A87">
        <w:t xml:space="preserve"> </w:t>
      </w:r>
      <w:r w:rsidR="006D5871" w:rsidRPr="00686372">
        <w:t>licensed drivers</w:t>
      </w:r>
      <w:r w:rsidR="00234A87">
        <w:t xml:space="preserve"> in Tasmania</w:t>
      </w:r>
      <w:r w:rsidR="006D5871" w:rsidRPr="00686372">
        <w:t>, the majority being full licence holders</w:t>
      </w:r>
      <w:r w:rsidR="00686372">
        <w:t xml:space="preserve"> which total 328,458</w:t>
      </w:r>
      <w:r w:rsidR="006D5871" w:rsidRPr="00686372">
        <w:t>.  See figure 1 below.</w:t>
      </w:r>
      <w:r w:rsidR="006D5871" w:rsidRPr="006D5871">
        <w:rPr>
          <w:b/>
        </w:rPr>
        <w:t xml:space="preserve">  </w:t>
      </w:r>
    </w:p>
    <w:p w:rsidR="000B5AB9" w:rsidRPr="000638E8" w:rsidRDefault="000B5AB9" w:rsidP="00CA18D4">
      <w:pPr>
        <w:spacing w:after="0"/>
      </w:pPr>
      <w:r w:rsidRPr="000B5AB9">
        <w:rPr>
          <w:noProof/>
          <w:lang w:val="en-AU" w:eastAsia="en-AU" w:bidi="ar-SA"/>
        </w:rPr>
        <w:drawing>
          <wp:inline distT="0" distB="0" distL="0" distR="0">
            <wp:extent cx="4680000" cy="2150886"/>
            <wp:effectExtent l="0" t="19050" r="82500" b="58914"/>
            <wp:docPr id="31"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57D19" w:rsidRDefault="00F57D19" w:rsidP="00CA18D4">
      <w:pPr>
        <w:spacing w:after="0"/>
        <w:jc w:val="both"/>
        <w:rPr>
          <w:i/>
          <w:lang w:val="en-AU" w:eastAsia="en-AU" w:bidi="ar-SA"/>
        </w:rPr>
      </w:pPr>
      <w:r w:rsidRPr="00AC4989">
        <w:rPr>
          <w:i/>
          <w:lang w:val="en-AU" w:eastAsia="en-AU" w:bidi="ar-SA"/>
        </w:rPr>
        <w:t xml:space="preserve">Figure </w:t>
      </w:r>
      <w:r w:rsidR="00247D9A">
        <w:rPr>
          <w:i/>
          <w:lang w:val="en-AU" w:eastAsia="en-AU" w:bidi="ar-SA"/>
        </w:rPr>
        <w:t>1</w:t>
      </w:r>
      <w:r w:rsidRPr="00AC4989">
        <w:rPr>
          <w:i/>
          <w:lang w:val="en-AU" w:eastAsia="en-AU" w:bidi="ar-SA"/>
        </w:rPr>
        <w:t xml:space="preserve"> – </w:t>
      </w:r>
      <w:r>
        <w:rPr>
          <w:i/>
          <w:lang w:val="en-AU" w:eastAsia="en-AU" w:bidi="ar-SA"/>
        </w:rPr>
        <w:t>The</w:t>
      </w:r>
      <w:r w:rsidRPr="00AC4989">
        <w:rPr>
          <w:i/>
          <w:lang w:val="en-AU" w:eastAsia="en-AU" w:bidi="ar-SA"/>
        </w:rPr>
        <w:t xml:space="preserve"> </w:t>
      </w:r>
      <w:r w:rsidR="006D5871">
        <w:rPr>
          <w:i/>
          <w:lang w:val="en-AU" w:eastAsia="en-AU" w:bidi="ar-SA"/>
        </w:rPr>
        <w:t>number of licens</w:t>
      </w:r>
      <w:r>
        <w:rPr>
          <w:i/>
          <w:lang w:val="en-AU" w:eastAsia="en-AU" w:bidi="ar-SA"/>
        </w:rPr>
        <w:t>ed drivers</w:t>
      </w:r>
      <w:r w:rsidRPr="00AC4989">
        <w:rPr>
          <w:i/>
          <w:lang w:val="en-AU" w:eastAsia="en-AU" w:bidi="ar-SA"/>
        </w:rPr>
        <w:t xml:space="preserve"> </w:t>
      </w:r>
      <w:r w:rsidR="00292972">
        <w:rPr>
          <w:i/>
          <w:lang w:val="en-AU" w:eastAsia="en-AU" w:bidi="ar-SA"/>
        </w:rPr>
        <w:t>–</w:t>
      </w:r>
      <w:r w:rsidRPr="00AC4989">
        <w:rPr>
          <w:i/>
          <w:lang w:val="en-AU" w:eastAsia="en-AU" w:bidi="ar-SA"/>
        </w:rPr>
        <w:t xml:space="preserve"> </w:t>
      </w:r>
      <w:r w:rsidR="00292972">
        <w:rPr>
          <w:i/>
          <w:lang w:val="en-AU" w:eastAsia="en-AU" w:bidi="ar-SA"/>
        </w:rPr>
        <w:t xml:space="preserve">Tasmania, </w:t>
      </w:r>
      <w:r w:rsidRPr="00AC4989">
        <w:rPr>
          <w:i/>
          <w:lang w:val="en-AU" w:eastAsia="en-AU" w:bidi="ar-SA"/>
        </w:rPr>
        <w:t>2011.</w:t>
      </w:r>
    </w:p>
    <w:p w:rsidR="00CA18D4" w:rsidRDefault="00CA18D4" w:rsidP="00995E2B">
      <w:pPr>
        <w:spacing w:after="0"/>
        <w:jc w:val="both"/>
      </w:pPr>
    </w:p>
    <w:p w:rsidR="00220DD5" w:rsidRDefault="00AE3440" w:rsidP="00995E2B">
      <w:pPr>
        <w:spacing w:after="0"/>
        <w:jc w:val="both"/>
      </w:pPr>
      <w:r w:rsidRPr="000638E8">
        <w:t xml:space="preserve">The </w:t>
      </w:r>
      <w:r w:rsidR="00F57D19" w:rsidRPr="000638E8">
        <w:rPr>
          <w:i/>
        </w:rPr>
        <w:t>Vehicle and Traffic Act</w:t>
      </w:r>
      <w:r w:rsidR="00234A87">
        <w:rPr>
          <w:i/>
        </w:rPr>
        <w:t xml:space="preserve"> 1999</w:t>
      </w:r>
      <w:r w:rsidR="00F57D19" w:rsidRPr="000638E8">
        <w:rPr>
          <w:i/>
        </w:rPr>
        <w:t xml:space="preserve"> </w:t>
      </w:r>
      <w:r w:rsidRPr="000638E8">
        <w:t>acknowledges not all drivers will abide by this condition and provides provisions for offences relating to driving under the following conditions:</w:t>
      </w:r>
    </w:p>
    <w:p w:rsidR="00220DD5" w:rsidRDefault="00220DD5" w:rsidP="0067514C">
      <w:pPr>
        <w:pStyle w:val="ListParagraph"/>
        <w:numPr>
          <w:ilvl w:val="0"/>
          <w:numId w:val="4"/>
        </w:numPr>
        <w:spacing w:after="120"/>
        <w:ind w:left="425" w:hanging="357"/>
      </w:pPr>
      <w:r w:rsidRPr="000638E8">
        <w:t xml:space="preserve">never </w:t>
      </w:r>
      <w:r w:rsidR="006D5871">
        <w:t>having</w:t>
      </w:r>
      <w:r>
        <w:t xml:space="preserve"> </w:t>
      </w:r>
      <w:r w:rsidRPr="000638E8">
        <w:t>obtain</w:t>
      </w:r>
      <w:r w:rsidR="000E2A34">
        <w:t>ed a licence</w:t>
      </w:r>
    </w:p>
    <w:p w:rsidR="00220DD5" w:rsidRDefault="007C5712" w:rsidP="0067514C">
      <w:pPr>
        <w:pStyle w:val="ListParagraph"/>
        <w:numPr>
          <w:ilvl w:val="0"/>
          <w:numId w:val="4"/>
        </w:numPr>
        <w:spacing w:after="120"/>
        <w:ind w:left="425" w:hanging="357"/>
      </w:pPr>
      <w:r>
        <w:t>license</w:t>
      </w:r>
      <w:r w:rsidRPr="000638E8">
        <w:t>d</w:t>
      </w:r>
      <w:r w:rsidR="00AE3440" w:rsidRPr="000638E8">
        <w:t xml:space="preserve"> in another country only but not exempted from the requirement to hold a licence in the Australian jurisdiction in which they are driving</w:t>
      </w:r>
    </w:p>
    <w:p w:rsidR="00220DD5" w:rsidRDefault="00AE3440" w:rsidP="0067514C">
      <w:pPr>
        <w:pStyle w:val="ListParagraph"/>
        <w:numPr>
          <w:ilvl w:val="0"/>
          <w:numId w:val="4"/>
        </w:numPr>
        <w:spacing w:after="120"/>
        <w:ind w:left="425" w:hanging="357"/>
      </w:pPr>
      <w:r w:rsidRPr="000638E8">
        <w:t>driving with a</w:t>
      </w:r>
      <w:r>
        <w:t xml:space="preserve"> suspended or cancelled licence</w:t>
      </w:r>
    </w:p>
    <w:p w:rsidR="00220DD5" w:rsidRDefault="00AE3440" w:rsidP="0067514C">
      <w:pPr>
        <w:pStyle w:val="ListParagraph"/>
        <w:numPr>
          <w:ilvl w:val="0"/>
          <w:numId w:val="4"/>
        </w:numPr>
        <w:spacing w:after="120"/>
        <w:ind w:left="425" w:hanging="357"/>
      </w:pPr>
      <w:r w:rsidRPr="000638E8">
        <w:lastRenderedPageBreak/>
        <w:t>driving while disqualified</w:t>
      </w:r>
    </w:p>
    <w:p w:rsidR="00220DD5" w:rsidRDefault="00AE3440" w:rsidP="0067514C">
      <w:pPr>
        <w:pStyle w:val="ListParagraph"/>
        <w:numPr>
          <w:ilvl w:val="0"/>
          <w:numId w:val="4"/>
        </w:numPr>
        <w:spacing w:after="120"/>
        <w:ind w:left="425" w:hanging="357"/>
      </w:pPr>
      <w:r w:rsidRPr="000638E8">
        <w:t>driving with an expired licence</w:t>
      </w:r>
    </w:p>
    <w:p w:rsidR="00220DD5" w:rsidRDefault="00AE3440" w:rsidP="0067514C">
      <w:pPr>
        <w:pStyle w:val="ListParagraph"/>
        <w:numPr>
          <w:ilvl w:val="0"/>
          <w:numId w:val="4"/>
        </w:numPr>
        <w:spacing w:after="120"/>
        <w:ind w:left="425" w:hanging="357"/>
      </w:pPr>
      <w:r w:rsidRPr="000638E8">
        <w:t>driving with an administrative suspension (eg. medical grounds)</w:t>
      </w:r>
    </w:p>
    <w:p w:rsidR="00AE3440" w:rsidRDefault="00AE3440" w:rsidP="0067514C">
      <w:pPr>
        <w:pStyle w:val="ListParagraph"/>
        <w:numPr>
          <w:ilvl w:val="0"/>
          <w:numId w:val="4"/>
        </w:numPr>
        <w:ind w:left="425" w:hanging="357"/>
      </w:pPr>
      <w:r w:rsidRPr="000638E8">
        <w:t xml:space="preserve">driving with a suspended licence due to the </w:t>
      </w:r>
      <w:r w:rsidRPr="00247D9A">
        <w:rPr>
          <w:i/>
        </w:rPr>
        <w:t>Monetary Penalties Act</w:t>
      </w:r>
      <w:r w:rsidR="006D5871">
        <w:rPr>
          <w:i/>
        </w:rPr>
        <w:t xml:space="preserve"> 2005</w:t>
      </w:r>
      <w:r>
        <w:t xml:space="preserve">. </w:t>
      </w:r>
    </w:p>
    <w:p w:rsidR="00AE3440" w:rsidRPr="000638E8" w:rsidRDefault="00AE3440" w:rsidP="00220DD5">
      <w:pPr>
        <w:jc w:val="both"/>
        <w:rPr>
          <w:rFonts w:cs="Arial"/>
        </w:rPr>
      </w:pPr>
      <w:r w:rsidRPr="000638E8">
        <w:rPr>
          <w:rFonts w:cs="Arial"/>
        </w:rPr>
        <w:t xml:space="preserve">Contemporary literature reviews and research studies have found combining the different forms of </w:t>
      </w:r>
      <w:r w:rsidR="00FD5731">
        <w:rPr>
          <w:rFonts w:cs="Arial"/>
        </w:rPr>
        <w:t>unlicensed</w:t>
      </w:r>
      <w:r w:rsidRPr="000638E8">
        <w:rPr>
          <w:rFonts w:cs="Arial"/>
        </w:rPr>
        <w:t xml:space="preserve"> driving beneficial when attemp</w:t>
      </w:r>
      <w:r w:rsidR="00234A87">
        <w:rPr>
          <w:rFonts w:cs="Arial"/>
        </w:rPr>
        <w:t xml:space="preserve">ting to analyse the </w:t>
      </w:r>
      <w:r w:rsidRPr="000638E8">
        <w:rPr>
          <w:rFonts w:cs="Arial"/>
        </w:rPr>
        <w:t>associated issues.</w:t>
      </w:r>
    </w:p>
    <w:p w:rsidR="00AE3440" w:rsidRPr="000638E8" w:rsidRDefault="00AE3440" w:rsidP="00220DD5">
      <w:pPr>
        <w:jc w:val="both"/>
        <w:rPr>
          <w:rFonts w:cs="Arial"/>
        </w:rPr>
      </w:pPr>
      <w:r w:rsidRPr="000638E8">
        <w:rPr>
          <w:rFonts w:cs="Arial"/>
        </w:rPr>
        <w:t>Further</w:t>
      </w:r>
      <w:r w:rsidR="000E2A34">
        <w:rPr>
          <w:rFonts w:cs="Arial"/>
        </w:rPr>
        <w:t>,</w:t>
      </w:r>
      <w:r w:rsidRPr="000638E8">
        <w:rPr>
          <w:rFonts w:cs="Arial"/>
        </w:rPr>
        <w:t xml:space="preserve"> crash reports received by road authorities are often unable to distinguish between licence categories and status, i.e. data is limited to no licence, full licence and provisional or learner driver.</w:t>
      </w:r>
    </w:p>
    <w:p w:rsidR="00AE3440" w:rsidRPr="000638E8" w:rsidRDefault="00AE3440" w:rsidP="00E465E4">
      <w:pPr>
        <w:pStyle w:val="Heading1"/>
        <w:jc w:val="both"/>
      </w:pPr>
      <w:bookmarkStart w:id="3" w:name="_Toc341047894"/>
      <w:r w:rsidRPr="000638E8">
        <w:t xml:space="preserve">Reasons why people lose </w:t>
      </w:r>
      <w:r w:rsidR="00A22E17">
        <w:t>their</w:t>
      </w:r>
      <w:r w:rsidR="006D5871">
        <w:t xml:space="preserve"> </w:t>
      </w:r>
      <w:r w:rsidR="00E06D38">
        <w:t>licence</w:t>
      </w:r>
      <w:bookmarkEnd w:id="3"/>
    </w:p>
    <w:p w:rsidR="00AE3440" w:rsidRPr="000638E8" w:rsidRDefault="00AE3440" w:rsidP="00995E2B">
      <w:pPr>
        <w:jc w:val="both"/>
      </w:pPr>
      <w:r w:rsidRPr="000638E8">
        <w:t xml:space="preserve">When examining the issue of </w:t>
      </w:r>
      <w:r w:rsidR="00FD5731">
        <w:t>unlicensed</w:t>
      </w:r>
      <w:r w:rsidRPr="000638E8">
        <w:t xml:space="preserve"> driving, it is important to consid</w:t>
      </w:r>
      <w:r w:rsidR="005A1AE7">
        <w:t>er the “primary cause” or main reasons</w:t>
      </w:r>
      <w:r w:rsidRPr="000638E8">
        <w:t xml:space="preserve"> for </w:t>
      </w:r>
      <w:r w:rsidR="000E2A34">
        <w:t xml:space="preserve">the </w:t>
      </w:r>
      <w:r w:rsidR="00FD5731">
        <w:t>unlicensed</w:t>
      </w:r>
      <w:r w:rsidR="000E2A34">
        <w:t xml:space="preserve"> status</w:t>
      </w:r>
      <w:r w:rsidRPr="000638E8">
        <w:t>.</w:t>
      </w:r>
      <w:r>
        <w:t xml:space="preserve">  </w:t>
      </w:r>
      <w:r w:rsidR="001337DA">
        <w:t>These are:</w:t>
      </w:r>
    </w:p>
    <w:p w:rsidR="00AE3440" w:rsidRPr="000638E8" w:rsidRDefault="00AE3440" w:rsidP="0067514C">
      <w:pPr>
        <w:numPr>
          <w:ilvl w:val="0"/>
          <w:numId w:val="8"/>
        </w:numPr>
        <w:spacing w:after="0"/>
        <w:ind w:left="426"/>
        <w:contextualSpacing/>
        <w:jc w:val="both"/>
      </w:pPr>
      <w:r w:rsidRPr="000638E8">
        <w:t>Mandatory disqualification for drink driving</w:t>
      </w:r>
    </w:p>
    <w:p w:rsidR="00AE3440" w:rsidRPr="000638E8" w:rsidRDefault="00AE3440" w:rsidP="0067514C">
      <w:pPr>
        <w:numPr>
          <w:ilvl w:val="0"/>
          <w:numId w:val="8"/>
        </w:numPr>
        <w:spacing w:after="120"/>
        <w:ind w:left="426"/>
        <w:contextualSpacing/>
        <w:jc w:val="both"/>
      </w:pPr>
      <w:r w:rsidRPr="000638E8">
        <w:t>Mandatory disqualification for excessive speed</w:t>
      </w:r>
    </w:p>
    <w:p w:rsidR="00AE3440" w:rsidRPr="000638E8" w:rsidRDefault="00AE3440" w:rsidP="0067514C">
      <w:pPr>
        <w:numPr>
          <w:ilvl w:val="0"/>
          <w:numId w:val="8"/>
        </w:numPr>
        <w:spacing w:after="120"/>
        <w:ind w:left="426"/>
        <w:contextualSpacing/>
        <w:jc w:val="both"/>
      </w:pPr>
      <w:r w:rsidRPr="000638E8">
        <w:t xml:space="preserve">Mandatory disqualification for driving without ever holding a </w:t>
      </w:r>
      <w:r w:rsidR="00E06D38">
        <w:t>licence</w:t>
      </w:r>
    </w:p>
    <w:p w:rsidR="00AE3440" w:rsidRPr="000638E8" w:rsidRDefault="00AE3440" w:rsidP="0067514C">
      <w:pPr>
        <w:numPr>
          <w:ilvl w:val="0"/>
          <w:numId w:val="8"/>
        </w:numPr>
        <w:spacing w:after="120"/>
        <w:ind w:left="426"/>
        <w:contextualSpacing/>
        <w:jc w:val="both"/>
      </w:pPr>
      <w:r w:rsidRPr="000638E8">
        <w:t>Suspension through accrual of demerit points</w:t>
      </w:r>
    </w:p>
    <w:p w:rsidR="00AE3440" w:rsidRDefault="00AE3440" w:rsidP="0067514C">
      <w:pPr>
        <w:numPr>
          <w:ilvl w:val="0"/>
          <w:numId w:val="8"/>
        </w:numPr>
        <w:spacing w:after="120"/>
        <w:ind w:left="426"/>
        <w:contextualSpacing/>
        <w:jc w:val="both"/>
      </w:pPr>
      <w:r w:rsidRPr="000638E8">
        <w:t>Administrative suspension due to medical condition or non</w:t>
      </w:r>
      <w:r w:rsidR="001337DA">
        <w:t>-</w:t>
      </w:r>
      <w:r w:rsidRPr="000638E8">
        <w:t xml:space="preserve">renewal of </w:t>
      </w:r>
      <w:r w:rsidR="00E06D38">
        <w:t>licen</w:t>
      </w:r>
      <w:r w:rsidR="001337DA">
        <w:t>c</w:t>
      </w:r>
      <w:r w:rsidR="00E06D38">
        <w:t>e</w:t>
      </w:r>
    </w:p>
    <w:p w:rsidR="00AE3440" w:rsidRDefault="00AE3440" w:rsidP="0067514C">
      <w:pPr>
        <w:numPr>
          <w:ilvl w:val="0"/>
          <w:numId w:val="8"/>
        </w:numPr>
        <w:ind w:left="426"/>
        <w:contextualSpacing/>
        <w:jc w:val="both"/>
      </w:pPr>
      <w:r w:rsidRPr="000638E8">
        <w:t xml:space="preserve">Suspension due to unpaid fines </w:t>
      </w:r>
      <w:r w:rsidR="00247D9A">
        <w:t>by order</w:t>
      </w:r>
      <w:r w:rsidR="005A1AE7">
        <w:t xml:space="preserve"> of the </w:t>
      </w:r>
      <w:r w:rsidR="005A1AE7" w:rsidRPr="00247D9A">
        <w:rPr>
          <w:i/>
        </w:rPr>
        <w:t>Monetary Penalties Act</w:t>
      </w:r>
      <w:r w:rsidR="005A1AE7">
        <w:rPr>
          <w:i/>
        </w:rPr>
        <w:t xml:space="preserve"> 2005</w:t>
      </w:r>
      <w:r w:rsidR="005A1AE7">
        <w:t>.</w:t>
      </w:r>
    </w:p>
    <w:p w:rsidR="0021384A" w:rsidRDefault="0021384A" w:rsidP="0021384A">
      <w:pPr>
        <w:ind w:left="425"/>
        <w:contextualSpacing/>
        <w:jc w:val="both"/>
      </w:pPr>
    </w:p>
    <w:p w:rsidR="00247D9A" w:rsidRPr="00A62E86" w:rsidRDefault="00247D9A" w:rsidP="00247D9A">
      <w:pPr>
        <w:spacing w:after="0"/>
        <w:contextualSpacing/>
        <w:jc w:val="both"/>
        <w:rPr>
          <w:b/>
          <w:sz w:val="24"/>
          <w:szCs w:val="24"/>
        </w:rPr>
      </w:pPr>
      <w:r w:rsidRPr="00A62E86">
        <w:rPr>
          <w:b/>
          <w:sz w:val="24"/>
          <w:szCs w:val="24"/>
        </w:rPr>
        <w:t>Mandatory disqualification for drink driving</w:t>
      </w:r>
    </w:p>
    <w:p w:rsidR="00AE3440" w:rsidRDefault="005A1AE7" w:rsidP="00247D9A">
      <w:pPr>
        <w:spacing w:after="0"/>
        <w:contextualSpacing/>
        <w:jc w:val="both"/>
      </w:pPr>
      <w:r>
        <w:t>The most common sanction for drink driving</w:t>
      </w:r>
      <w:r w:rsidR="00AE3440" w:rsidRPr="000638E8">
        <w:t xml:space="preserve"> has been fines and </w:t>
      </w:r>
      <w:r w:rsidR="00E06D38">
        <w:t>licen</w:t>
      </w:r>
      <w:r w:rsidR="001337DA">
        <w:t>c</w:t>
      </w:r>
      <w:r w:rsidR="00E06D38">
        <w:t>e</w:t>
      </w:r>
      <w:r w:rsidR="00AE3440" w:rsidRPr="000638E8">
        <w:t xml:space="preserve"> disqualification.</w:t>
      </w:r>
      <w:r w:rsidR="001337DA">
        <w:t xml:space="preserve"> </w:t>
      </w:r>
      <w:r w:rsidR="001337DA" w:rsidRPr="00E67E98">
        <w:t>The period of disqualification is determined by the magistrate taking into account all relevant factors.</w:t>
      </w:r>
      <w:r w:rsidR="00AE3440" w:rsidRPr="000638E8">
        <w:t xml:space="preserve">  </w:t>
      </w:r>
    </w:p>
    <w:p w:rsidR="0097615E" w:rsidRPr="000638E8" w:rsidRDefault="0097615E" w:rsidP="00247D9A">
      <w:pPr>
        <w:spacing w:after="0"/>
        <w:contextualSpacing/>
        <w:jc w:val="both"/>
      </w:pPr>
    </w:p>
    <w:p w:rsidR="00247D9A" w:rsidRPr="00A62E86" w:rsidRDefault="00247D9A" w:rsidP="00247D9A">
      <w:pPr>
        <w:spacing w:after="120"/>
        <w:contextualSpacing/>
        <w:jc w:val="both"/>
        <w:rPr>
          <w:b/>
          <w:sz w:val="24"/>
          <w:szCs w:val="24"/>
        </w:rPr>
      </w:pPr>
      <w:r w:rsidRPr="00A62E86">
        <w:rPr>
          <w:b/>
          <w:sz w:val="24"/>
          <w:szCs w:val="24"/>
        </w:rPr>
        <w:t>Mandatory disqualification for excessive speed</w:t>
      </w:r>
    </w:p>
    <w:p w:rsidR="00AE3440" w:rsidRPr="000638E8" w:rsidRDefault="00AE3440" w:rsidP="00995E2B">
      <w:pPr>
        <w:jc w:val="both"/>
      </w:pPr>
      <w:r w:rsidRPr="000638E8">
        <w:t>Mandatory disqualification for excessive speed was introduced in 2001 in an effort to provide an appropriate sanction for the approximate</w:t>
      </w:r>
      <w:r w:rsidR="00202564">
        <w:t>ly</w:t>
      </w:r>
      <w:r w:rsidRPr="000638E8">
        <w:t xml:space="preserve"> 500 drivers apprehended each year travelling at excessive speeds (exceeding the speed limit by 38 km/h results in a 3 month disqualification period and exceeding the speed limit by 45 km/h results in a 4 month disqualification period).  </w:t>
      </w:r>
    </w:p>
    <w:p w:rsidR="00247D9A" w:rsidRPr="00A62E86" w:rsidRDefault="00247D9A" w:rsidP="00247D9A">
      <w:pPr>
        <w:spacing w:after="120"/>
        <w:contextualSpacing/>
        <w:jc w:val="both"/>
        <w:rPr>
          <w:b/>
          <w:sz w:val="24"/>
          <w:szCs w:val="24"/>
        </w:rPr>
      </w:pPr>
      <w:r w:rsidRPr="00A62E86">
        <w:rPr>
          <w:b/>
          <w:sz w:val="24"/>
          <w:szCs w:val="24"/>
        </w:rPr>
        <w:t xml:space="preserve">Mandatory disqualification for driving without ever holding a </w:t>
      </w:r>
      <w:r w:rsidR="00E06D38">
        <w:rPr>
          <w:b/>
          <w:sz w:val="24"/>
          <w:szCs w:val="24"/>
        </w:rPr>
        <w:t>licence</w:t>
      </w:r>
    </w:p>
    <w:p w:rsidR="00AE3440" w:rsidRPr="000638E8" w:rsidRDefault="00647694" w:rsidP="00995E2B">
      <w:pPr>
        <w:jc w:val="both"/>
      </w:pPr>
      <w:r>
        <w:t xml:space="preserve">Those caught driving that have never held a licence are often sentenced to a period of disqualification before they can enter the licensing system.  </w:t>
      </w:r>
    </w:p>
    <w:p w:rsidR="00247D9A" w:rsidRPr="00A62E86" w:rsidRDefault="00247D9A" w:rsidP="00247D9A">
      <w:pPr>
        <w:spacing w:after="120"/>
        <w:contextualSpacing/>
        <w:jc w:val="both"/>
        <w:rPr>
          <w:b/>
          <w:sz w:val="24"/>
          <w:szCs w:val="24"/>
        </w:rPr>
      </w:pPr>
      <w:r w:rsidRPr="00A62E86">
        <w:rPr>
          <w:b/>
          <w:sz w:val="24"/>
          <w:szCs w:val="24"/>
        </w:rPr>
        <w:t>Suspension through accrual of demerit points</w:t>
      </w:r>
    </w:p>
    <w:p w:rsidR="00AE3440" w:rsidRPr="000638E8" w:rsidRDefault="00AE3440" w:rsidP="00995E2B">
      <w:pPr>
        <w:jc w:val="both"/>
      </w:pPr>
      <w:r w:rsidRPr="000638E8">
        <w:t xml:space="preserve">The accrual of demerit points for minor offences, over a short period of time results in </w:t>
      </w:r>
      <w:r w:rsidR="00E06D38">
        <w:t>licence</w:t>
      </w:r>
      <w:r w:rsidRPr="000638E8">
        <w:t xml:space="preserve"> suspension.  After three years from the date of the offence, the demerit points are no longer taken into consideration.  </w:t>
      </w:r>
      <w:r w:rsidR="001337DA">
        <w:t>Demerit points for speeding offences were increased in 2009.</w:t>
      </w:r>
    </w:p>
    <w:p w:rsidR="00247D9A" w:rsidRPr="00A62E86" w:rsidRDefault="00247D9A" w:rsidP="00247D9A">
      <w:pPr>
        <w:contextualSpacing/>
        <w:jc w:val="both"/>
        <w:rPr>
          <w:b/>
          <w:sz w:val="24"/>
          <w:szCs w:val="24"/>
        </w:rPr>
      </w:pPr>
      <w:r w:rsidRPr="00A62E86">
        <w:rPr>
          <w:b/>
          <w:sz w:val="24"/>
          <w:szCs w:val="24"/>
        </w:rPr>
        <w:t>Administrative suspension due to medical condition or non</w:t>
      </w:r>
      <w:r w:rsidR="002A43AD">
        <w:rPr>
          <w:b/>
          <w:sz w:val="24"/>
          <w:szCs w:val="24"/>
        </w:rPr>
        <w:t>-</w:t>
      </w:r>
      <w:r w:rsidRPr="00A62E86">
        <w:rPr>
          <w:b/>
          <w:sz w:val="24"/>
          <w:szCs w:val="24"/>
        </w:rPr>
        <w:t xml:space="preserve">renewal of </w:t>
      </w:r>
      <w:r w:rsidR="00E06D38">
        <w:rPr>
          <w:b/>
          <w:sz w:val="24"/>
          <w:szCs w:val="24"/>
        </w:rPr>
        <w:t>licence</w:t>
      </w:r>
    </w:p>
    <w:p w:rsidR="00247D9A" w:rsidRDefault="00202564" w:rsidP="00202564">
      <w:pPr>
        <w:contextualSpacing/>
        <w:jc w:val="both"/>
      </w:pPr>
      <w:r>
        <w:t>Licenc</w:t>
      </w:r>
      <w:r w:rsidR="007C5712">
        <w:t>es</w:t>
      </w:r>
      <w:r w:rsidR="00950D6B">
        <w:t xml:space="preserve"> can be suspended by the Registrar due to medical conditions that could make driving unsafe.  The Registrar also has the power to refuse renewal of a licence in certain circumstances.  </w:t>
      </w:r>
      <w:r w:rsidR="00AE3440" w:rsidRPr="000638E8">
        <w:lastRenderedPageBreak/>
        <w:t>Administrative suspensions have the highest level of compliance in relation to exemption from drivin</w:t>
      </w:r>
      <w:r w:rsidR="00950D6B">
        <w:t>g</w:t>
      </w:r>
      <w:r w:rsidR="00AE3440" w:rsidRPr="000638E8">
        <w:t>.</w:t>
      </w:r>
      <w:r w:rsidR="00950D6B">
        <w:t xml:space="preserve">  </w:t>
      </w:r>
      <w:r w:rsidR="00AE3440" w:rsidRPr="000638E8">
        <w:t xml:space="preserve"> </w:t>
      </w:r>
    </w:p>
    <w:p w:rsidR="008329FE" w:rsidRDefault="008329FE" w:rsidP="00202564">
      <w:pPr>
        <w:contextualSpacing/>
        <w:jc w:val="both"/>
      </w:pPr>
    </w:p>
    <w:p w:rsidR="008329FE" w:rsidRDefault="00247D9A" w:rsidP="008329FE">
      <w:pPr>
        <w:tabs>
          <w:tab w:val="left" w:pos="426"/>
        </w:tabs>
        <w:spacing w:after="0"/>
        <w:contextualSpacing/>
        <w:jc w:val="both"/>
        <w:rPr>
          <w:b/>
          <w:i/>
          <w:sz w:val="24"/>
          <w:szCs w:val="24"/>
        </w:rPr>
      </w:pPr>
      <w:r w:rsidRPr="00604159">
        <w:rPr>
          <w:b/>
          <w:sz w:val="24"/>
          <w:szCs w:val="24"/>
        </w:rPr>
        <w:t>Suspension due to unpaid fines by order</w:t>
      </w:r>
      <w:r w:rsidR="00F332F1" w:rsidRPr="00604159">
        <w:rPr>
          <w:b/>
          <w:sz w:val="24"/>
          <w:szCs w:val="24"/>
        </w:rPr>
        <w:t xml:space="preserve"> of the </w:t>
      </w:r>
      <w:r w:rsidR="00F332F1" w:rsidRPr="00604159">
        <w:rPr>
          <w:b/>
          <w:i/>
          <w:sz w:val="24"/>
          <w:szCs w:val="24"/>
        </w:rPr>
        <w:t xml:space="preserve">Monetary Penalties Act 2005 </w:t>
      </w:r>
    </w:p>
    <w:p w:rsidR="00247D9A" w:rsidRPr="00604159" w:rsidRDefault="001337DA" w:rsidP="008329FE">
      <w:pPr>
        <w:tabs>
          <w:tab w:val="left" w:pos="426"/>
        </w:tabs>
        <w:spacing w:after="0"/>
        <w:contextualSpacing/>
        <w:jc w:val="both"/>
        <w:rPr>
          <w:b/>
          <w:sz w:val="24"/>
          <w:szCs w:val="24"/>
        </w:rPr>
      </w:pPr>
      <w:r w:rsidRPr="001337DA">
        <w:t>Enforcement</w:t>
      </w:r>
      <w:r w:rsidR="00F332F1" w:rsidRPr="001337DA">
        <w:t xml:space="preserve"> orders can be issued for any infringement notice or court fine that is not paid by the due date.  Non-payment of an enforcement order results in an enforcement sanction whereby a driver’s licence or registration can be suspended.</w:t>
      </w:r>
      <w:r w:rsidR="00F332F1" w:rsidRPr="00604159">
        <w:rPr>
          <w:sz w:val="24"/>
          <w:szCs w:val="24"/>
        </w:rPr>
        <w:t xml:space="preserve">  </w:t>
      </w:r>
    </w:p>
    <w:p w:rsidR="00AE3440" w:rsidRPr="000638E8" w:rsidRDefault="00AE3440" w:rsidP="00604159">
      <w:pPr>
        <w:pStyle w:val="Heading1"/>
        <w:jc w:val="both"/>
        <w:rPr>
          <w:lang w:val="en-AU" w:eastAsia="en-AU" w:bidi="ar-SA"/>
        </w:rPr>
      </w:pPr>
      <w:bookmarkStart w:id="4" w:name="_Toc341047895"/>
      <w:r w:rsidRPr="000638E8">
        <w:rPr>
          <w:lang w:val="en-AU" w:eastAsia="en-AU" w:bidi="ar-SA"/>
        </w:rPr>
        <w:t xml:space="preserve">Prevalence of </w:t>
      </w:r>
      <w:r w:rsidR="00FD5731">
        <w:rPr>
          <w:lang w:val="en-AU" w:eastAsia="en-AU" w:bidi="ar-SA"/>
        </w:rPr>
        <w:t>unlicensed</w:t>
      </w:r>
      <w:r w:rsidRPr="000638E8">
        <w:rPr>
          <w:lang w:val="en-AU" w:eastAsia="en-AU" w:bidi="ar-SA"/>
        </w:rPr>
        <w:t xml:space="preserve"> drivers</w:t>
      </w:r>
      <w:bookmarkEnd w:id="4"/>
      <w:r w:rsidRPr="000638E8">
        <w:rPr>
          <w:lang w:val="en-AU" w:eastAsia="en-AU" w:bidi="ar-SA"/>
        </w:rPr>
        <w:t xml:space="preserve"> </w:t>
      </w:r>
    </w:p>
    <w:p w:rsidR="00E659C5" w:rsidRDefault="00AE3440" w:rsidP="00E659C5">
      <w:pPr>
        <w:jc w:val="both"/>
        <w:rPr>
          <w:lang w:val="en-AU" w:eastAsia="en-AU" w:bidi="ar-SA"/>
        </w:rPr>
      </w:pPr>
      <w:r w:rsidRPr="000638E8">
        <w:rPr>
          <w:lang w:val="en-AU" w:eastAsia="en-AU" w:bidi="ar-SA"/>
        </w:rPr>
        <w:t xml:space="preserve">Quantitative data obtained from the </w:t>
      </w:r>
      <w:r w:rsidR="001337DA">
        <w:rPr>
          <w:lang w:val="en-AU" w:eastAsia="en-AU" w:bidi="ar-SA"/>
        </w:rPr>
        <w:t xml:space="preserve">Tasmanian </w:t>
      </w:r>
      <w:r w:rsidRPr="000638E8">
        <w:rPr>
          <w:lang w:val="en-AU" w:eastAsia="en-AU" w:bidi="ar-SA"/>
        </w:rPr>
        <w:t xml:space="preserve">Motor Registry System (MRS) shows an increase in the total number of </w:t>
      </w:r>
      <w:r w:rsidR="00FD5731">
        <w:rPr>
          <w:lang w:val="en-AU" w:eastAsia="en-AU" w:bidi="ar-SA"/>
        </w:rPr>
        <w:t>unlicensed</w:t>
      </w:r>
      <w:r w:rsidRPr="000638E8">
        <w:rPr>
          <w:lang w:val="en-AU" w:eastAsia="en-AU" w:bidi="ar-SA"/>
        </w:rPr>
        <w:t xml:space="preserve"> drivers </w:t>
      </w:r>
      <w:r w:rsidR="008A1E95">
        <w:rPr>
          <w:lang w:val="en-AU" w:eastAsia="en-AU" w:bidi="ar-SA"/>
        </w:rPr>
        <w:t>being detected</w:t>
      </w:r>
      <w:r w:rsidR="00E67E98">
        <w:rPr>
          <w:lang w:val="en-AU" w:eastAsia="en-AU" w:bidi="ar-SA"/>
        </w:rPr>
        <w:t xml:space="preserve">. </w:t>
      </w:r>
    </w:p>
    <w:p w:rsidR="00E659C5" w:rsidRDefault="00E659C5" w:rsidP="00594F49">
      <w:pPr>
        <w:spacing w:after="0"/>
        <w:jc w:val="both"/>
        <w:rPr>
          <w:i/>
          <w:lang w:val="en-AU" w:eastAsia="en-AU" w:bidi="ar-SA"/>
        </w:rPr>
      </w:pPr>
      <w:r w:rsidRPr="009972A5">
        <w:rPr>
          <w:noProof/>
          <w:lang w:val="en-AU" w:eastAsia="en-AU" w:bidi="ar-SA"/>
        </w:rPr>
        <w:drawing>
          <wp:inline distT="0" distB="0" distL="0" distR="0">
            <wp:extent cx="4612943" cy="2082705"/>
            <wp:effectExtent l="0" t="19050" r="73357" b="50895"/>
            <wp:docPr id="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659C5" w:rsidRDefault="00E659C5" w:rsidP="00594F49">
      <w:pPr>
        <w:spacing w:after="0"/>
        <w:jc w:val="both"/>
        <w:rPr>
          <w:i/>
          <w:lang w:val="en-AU" w:eastAsia="en-AU" w:bidi="ar-SA"/>
        </w:rPr>
      </w:pPr>
      <w:r>
        <w:rPr>
          <w:i/>
          <w:lang w:val="en-AU" w:eastAsia="en-AU" w:bidi="ar-SA"/>
        </w:rPr>
        <w:t>Figure 2</w:t>
      </w:r>
      <w:r w:rsidRPr="00AC4989">
        <w:rPr>
          <w:i/>
          <w:lang w:val="en-AU" w:eastAsia="en-AU" w:bidi="ar-SA"/>
        </w:rPr>
        <w:t xml:space="preserve"> – </w:t>
      </w:r>
      <w:r>
        <w:rPr>
          <w:i/>
          <w:lang w:val="en-AU" w:eastAsia="en-AU" w:bidi="ar-SA"/>
        </w:rPr>
        <w:t>The</w:t>
      </w:r>
      <w:r w:rsidRPr="00AC4989">
        <w:rPr>
          <w:i/>
          <w:lang w:val="en-AU" w:eastAsia="en-AU" w:bidi="ar-SA"/>
        </w:rPr>
        <w:t xml:space="preserve"> number of </w:t>
      </w:r>
      <w:r w:rsidR="00FD5731">
        <w:rPr>
          <w:i/>
          <w:lang w:val="en-AU" w:eastAsia="en-AU" w:bidi="ar-SA"/>
        </w:rPr>
        <w:t>unlicensed</w:t>
      </w:r>
      <w:r w:rsidRPr="00AC4989">
        <w:rPr>
          <w:i/>
          <w:lang w:val="en-AU" w:eastAsia="en-AU" w:bidi="ar-SA"/>
        </w:rPr>
        <w:t xml:space="preserve"> driving convic</w:t>
      </w:r>
      <w:r w:rsidR="008A1E95">
        <w:rPr>
          <w:i/>
          <w:lang w:val="en-AU" w:eastAsia="en-AU" w:bidi="ar-SA"/>
        </w:rPr>
        <w:t>tions per year from 2002 to 2011 (Motor Registry System, DIER)</w:t>
      </w:r>
      <w:r w:rsidRPr="00AC4989">
        <w:rPr>
          <w:i/>
          <w:lang w:val="en-AU" w:eastAsia="en-AU" w:bidi="ar-SA"/>
        </w:rPr>
        <w:t>.</w:t>
      </w:r>
    </w:p>
    <w:p w:rsidR="00234A87" w:rsidRDefault="00234A87" w:rsidP="00594F49">
      <w:pPr>
        <w:spacing w:after="0"/>
        <w:jc w:val="both"/>
        <w:rPr>
          <w:i/>
          <w:lang w:val="en-AU" w:eastAsia="en-AU" w:bidi="ar-SA"/>
        </w:rPr>
      </w:pPr>
    </w:p>
    <w:p w:rsidR="001337DA" w:rsidRDefault="00AE3440" w:rsidP="00594F49">
      <w:pPr>
        <w:spacing w:after="0"/>
        <w:jc w:val="both"/>
        <w:rPr>
          <w:lang w:val="en-AU" w:eastAsia="en-AU" w:bidi="ar-SA"/>
        </w:rPr>
      </w:pPr>
      <w:r w:rsidRPr="000638E8">
        <w:rPr>
          <w:lang w:val="en-AU" w:eastAsia="en-AU" w:bidi="ar-SA"/>
        </w:rPr>
        <w:t>The increase is most likely attributed to the introduction of sanctions involving greater demerit points or automatic disqualification of licence for high risk or danger</w:t>
      </w:r>
      <w:r w:rsidR="00F332F1">
        <w:rPr>
          <w:lang w:val="en-AU" w:eastAsia="en-AU" w:bidi="ar-SA"/>
        </w:rPr>
        <w:t>ous driving offences</w:t>
      </w:r>
      <w:r w:rsidR="001337DA">
        <w:rPr>
          <w:lang w:val="en-AU" w:eastAsia="en-AU" w:bidi="ar-SA"/>
        </w:rPr>
        <w:t xml:space="preserve"> as well as enhanced detection</w:t>
      </w:r>
      <w:r w:rsidR="00F332F1">
        <w:rPr>
          <w:lang w:val="en-AU" w:eastAsia="en-AU" w:bidi="ar-SA"/>
        </w:rPr>
        <w:t xml:space="preserve">.  </w:t>
      </w:r>
    </w:p>
    <w:p w:rsidR="001337DA" w:rsidRDefault="001337DA" w:rsidP="00594F49">
      <w:pPr>
        <w:spacing w:after="0"/>
        <w:jc w:val="both"/>
        <w:rPr>
          <w:lang w:val="en-AU" w:eastAsia="en-AU" w:bidi="ar-SA"/>
        </w:rPr>
      </w:pPr>
    </w:p>
    <w:p w:rsidR="00AE3440" w:rsidRDefault="001337DA" w:rsidP="00594F49">
      <w:pPr>
        <w:spacing w:after="0"/>
        <w:jc w:val="both"/>
        <w:rPr>
          <w:lang w:val="en-AU" w:eastAsia="en-AU" w:bidi="ar-SA"/>
        </w:rPr>
      </w:pPr>
      <w:r>
        <w:rPr>
          <w:lang w:val="en-AU" w:eastAsia="en-AU" w:bidi="ar-SA"/>
        </w:rPr>
        <w:t xml:space="preserve">The data has been further separated into the categories of driving while disqualified and driving while suspended. </w:t>
      </w:r>
      <w:r w:rsidR="00F332F1">
        <w:rPr>
          <w:lang w:val="en-AU" w:eastAsia="en-AU" w:bidi="ar-SA"/>
        </w:rPr>
        <w:t>T</w:t>
      </w:r>
      <w:r w:rsidR="00AE3440" w:rsidRPr="000638E8">
        <w:rPr>
          <w:lang w:val="en-AU" w:eastAsia="en-AU" w:bidi="ar-SA"/>
        </w:rPr>
        <w:t xml:space="preserve">he number of drivers </w:t>
      </w:r>
      <w:r w:rsidR="00F332F1">
        <w:rPr>
          <w:lang w:val="en-AU" w:eastAsia="en-AU" w:bidi="ar-SA"/>
        </w:rPr>
        <w:t xml:space="preserve">detected </w:t>
      </w:r>
      <w:r>
        <w:rPr>
          <w:lang w:val="en-AU" w:eastAsia="en-AU" w:bidi="ar-SA"/>
        </w:rPr>
        <w:t>driving</w:t>
      </w:r>
      <w:r w:rsidR="00AE3440" w:rsidRPr="00F332F1">
        <w:rPr>
          <w:lang w:val="en-AU" w:eastAsia="en-AU" w:bidi="ar-SA"/>
        </w:rPr>
        <w:t xml:space="preserve"> w</w:t>
      </w:r>
      <w:r w:rsidR="00AE3440" w:rsidRPr="000638E8">
        <w:rPr>
          <w:lang w:val="en-AU" w:eastAsia="en-AU" w:bidi="ar-SA"/>
        </w:rPr>
        <w:t>hi</w:t>
      </w:r>
      <w:r w:rsidR="00AE3440">
        <w:rPr>
          <w:lang w:val="en-AU" w:eastAsia="en-AU" w:bidi="ar-SA"/>
        </w:rPr>
        <w:t>l</w:t>
      </w:r>
      <w:r w:rsidR="00AE3440" w:rsidRPr="000638E8">
        <w:rPr>
          <w:lang w:val="en-AU" w:eastAsia="en-AU" w:bidi="ar-SA"/>
        </w:rPr>
        <w:t xml:space="preserve">st </w:t>
      </w:r>
      <w:r>
        <w:rPr>
          <w:lang w:val="en-AU" w:eastAsia="en-AU" w:bidi="ar-SA"/>
        </w:rPr>
        <w:t>disqualified</w:t>
      </w:r>
      <w:r w:rsidR="00AE3440" w:rsidRPr="000638E8">
        <w:rPr>
          <w:lang w:val="en-AU" w:eastAsia="en-AU" w:bidi="ar-SA"/>
        </w:rPr>
        <w:t xml:space="preserve"> has i</w:t>
      </w:r>
      <w:r w:rsidR="00E659C5">
        <w:rPr>
          <w:lang w:val="en-AU" w:eastAsia="en-AU" w:bidi="ar-SA"/>
        </w:rPr>
        <w:t xml:space="preserve">ncreased </w:t>
      </w:r>
      <w:r w:rsidR="00C41FBC">
        <w:rPr>
          <w:lang w:val="en-AU" w:eastAsia="en-AU" w:bidi="ar-SA"/>
        </w:rPr>
        <w:t>(</w:t>
      </w:r>
      <w:r w:rsidR="00E659C5">
        <w:rPr>
          <w:lang w:val="en-AU" w:eastAsia="en-AU" w:bidi="ar-SA"/>
        </w:rPr>
        <w:t>Figure 3</w:t>
      </w:r>
      <w:r w:rsidR="00C41FBC">
        <w:rPr>
          <w:lang w:val="en-AU" w:eastAsia="en-AU" w:bidi="ar-SA"/>
        </w:rPr>
        <w:t>)</w:t>
      </w:r>
      <w:r>
        <w:rPr>
          <w:lang w:val="en-AU" w:eastAsia="en-AU" w:bidi="ar-SA"/>
        </w:rPr>
        <w:t xml:space="preserve"> </w:t>
      </w:r>
      <w:r w:rsidR="00C41FBC">
        <w:rPr>
          <w:lang w:val="en-AU" w:eastAsia="en-AU" w:bidi="ar-SA"/>
        </w:rPr>
        <w:t>as has the number detected</w:t>
      </w:r>
      <w:r>
        <w:rPr>
          <w:lang w:val="en-AU" w:eastAsia="en-AU" w:bidi="ar-SA"/>
        </w:rPr>
        <w:t xml:space="preserve"> driving while suspended (Figure 4).</w:t>
      </w:r>
    </w:p>
    <w:p w:rsidR="00234A87" w:rsidRDefault="00234A87" w:rsidP="00594F49">
      <w:pPr>
        <w:spacing w:after="0"/>
        <w:jc w:val="both"/>
        <w:rPr>
          <w:lang w:val="en-AU" w:eastAsia="en-AU" w:bidi="ar-SA"/>
        </w:rPr>
      </w:pPr>
    </w:p>
    <w:p w:rsidR="00AE3440" w:rsidRPr="00247D9A" w:rsidRDefault="00AC11C8" w:rsidP="00822D16">
      <w:pPr>
        <w:spacing w:after="0"/>
        <w:jc w:val="both"/>
        <w:rPr>
          <w:i/>
          <w:lang w:val="en-AU" w:eastAsia="en-AU" w:bidi="ar-SA"/>
        </w:rPr>
      </w:pPr>
      <w:r>
        <w:rPr>
          <w:i/>
          <w:noProof/>
          <w:lang w:val="en-AU" w:eastAsia="en-AU" w:bidi="ar-SA"/>
        </w:rPr>
        <w:lastRenderedPageBreak/>
        <w:drawing>
          <wp:anchor distT="0" distB="0" distL="114300" distR="114300" simplePos="0" relativeHeight="251673600" behindDoc="0" locked="0" layoutInCell="1" allowOverlap="1">
            <wp:simplePos x="0" y="0"/>
            <wp:positionH relativeFrom="column">
              <wp:posOffset>2628900</wp:posOffset>
            </wp:positionH>
            <wp:positionV relativeFrom="paragraph">
              <wp:posOffset>-76200</wp:posOffset>
            </wp:positionV>
            <wp:extent cx="1781175" cy="828675"/>
            <wp:effectExtent l="152400" t="0" r="0" b="0"/>
            <wp:wrapNone/>
            <wp:docPr id="2" name="Diagram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r w:rsidR="001825F2">
        <w:rPr>
          <w:i/>
          <w:noProof/>
          <w:lang w:val="en-AU" w:eastAsia="en-AU" w:bidi="ar-SA"/>
        </w:rPr>
        <w:drawing>
          <wp:anchor distT="0" distB="0" distL="114300" distR="114300" simplePos="0" relativeHeight="251664384" behindDoc="0" locked="0" layoutInCell="1" allowOverlap="1">
            <wp:simplePos x="0" y="0"/>
            <wp:positionH relativeFrom="column">
              <wp:posOffset>790222</wp:posOffset>
            </wp:positionH>
            <wp:positionV relativeFrom="paragraph">
              <wp:posOffset>384387</wp:posOffset>
            </wp:positionV>
            <wp:extent cx="1783644" cy="830298"/>
            <wp:effectExtent l="304800" t="0" r="0" b="26952"/>
            <wp:wrapNone/>
            <wp:docPr id="27" name="Diagram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anchor>
        </w:drawing>
      </w:r>
      <w:r w:rsidR="001825F2" w:rsidRPr="001825F2">
        <w:rPr>
          <w:i/>
          <w:noProof/>
          <w:lang w:val="en-AU" w:eastAsia="en-AU" w:bidi="ar-SA"/>
        </w:rPr>
        <w:drawing>
          <wp:inline distT="0" distB="0" distL="0" distR="0">
            <wp:extent cx="4681154" cy="2007643"/>
            <wp:effectExtent l="0" t="19050" r="81346" b="49757"/>
            <wp:docPr id="26"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E3440" w:rsidRDefault="00AE3440" w:rsidP="00822D16">
      <w:pPr>
        <w:spacing w:after="0"/>
        <w:jc w:val="both"/>
        <w:rPr>
          <w:rFonts w:cs="Arial"/>
          <w:i/>
          <w:noProof/>
          <w:lang w:val="en-AU" w:eastAsia="en-AU"/>
        </w:rPr>
      </w:pPr>
      <w:r w:rsidRPr="00FC5AD6">
        <w:rPr>
          <w:rFonts w:cs="Arial"/>
          <w:i/>
          <w:noProof/>
          <w:lang w:val="en-AU" w:eastAsia="en-AU"/>
        </w:rPr>
        <w:t xml:space="preserve">Figure </w:t>
      </w:r>
      <w:r w:rsidR="00E659C5">
        <w:rPr>
          <w:rFonts w:cs="Arial"/>
          <w:i/>
          <w:noProof/>
          <w:lang w:val="en-AU" w:eastAsia="en-AU"/>
        </w:rPr>
        <w:t>3</w:t>
      </w:r>
      <w:r w:rsidRPr="00FC5AD6">
        <w:rPr>
          <w:rFonts w:cs="Arial"/>
          <w:i/>
          <w:noProof/>
          <w:lang w:val="en-AU" w:eastAsia="en-AU"/>
        </w:rPr>
        <w:t xml:space="preserve">: </w:t>
      </w:r>
      <w:r w:rsidR="00F332F1">
        <w:rPr>
          <w:rFonts w:cs="Arial"/>
          <w:i/>
          <w:noProof/>
          <w:lang w:val="en-AU" w:eastAsia="en-AU"/>
        </w:rPr>
        <w:t>Dr</w:t>
      </w:r>
      <w:r w:rsidR="00E328F1">
        <w:rPr>
          <w:rFonts w:cs="Arial"/>
          <w:i/>
          <w:noProof/>
          <w:lang w:val="en-AU" w:eastAsia="en-AU"/>
        </w:rPr>
        <w:t>i</w:t>
      </w:r>
      <w:r w:rsidR="00F332F1">
        <w:rPr>
          <w:rFonts w:cs="Arial"/>
          <w:i/>
          <w:noProof/>
          <w:lang w:val="en-AU" w:eastAsia="en-AU"/>
        </w:rPr>
        <w:t xml:space="preserve">ving while disqualified – Tasmania. </w:t>
      </w:r>
    </w:p>
    <w:p w:rsidR="00822D16" w:rsidRDefault="00822D16" w:rsidP="00822D16">
      <w:pPr>
        <w:spacing w:after="0"/>
        <w:jc w:val="both"/>
        <w:rPr>
          <w:rFonts w:cs="Arial"/>
          <w:i/>
          <w:noProof/>
          <w:lang w:val="en-AU" w:eastAsia="en-AU"/>
        </w:rPr>
      </w:pPr>
    </w:p>
    <w:p w:rsidR="00594F49" w:rsidRDefault="00247D9A" w:rsidP="00247D9A">
      <w:pPr>
        <w:jc w:val="both"/>
      </w:pPr>
      <w:r w:rsidRPr="000638E8">
        <w:t xml:space="preserve">The introduction of the </w:t>
      </w:r>
      <w:r w:rsidR="00980EBC">
        <w:rPr>
          <w:i/>
        </w:rPr>
        <w:t xml:space="preserve">Monetary Penalties Act 2005 </w:t>
      </w:r>
      <w:r w:rsidRPr="000638E8">
        <w:t>has</w:t>
      </w:r>
      <w:r w:rsidR="00980EBC">
        <w:t xml:space="preserve"> resulted in an increase in </w:t>
      </w:r>
      <w:r w:rsidR="00980EBC" w:rsidRPr="00E328F1">
        <w:rPr>
          <w:lang w:val="en-AU"/>
        </w:rPr>
        <w:t>licence</w:t>
      </w:r>
      <w:r w:rsidR="00980EBC">
        <w:t xml:space="preserve"> suspensions.  There has been an increase in the number detected driving while suspended since M</w:t>
      </w:r>
      <w:r w:rsidR="00384ABE">
        <w:t>onetary Penalty Enforcement System</w:t>
      </w:r>
      <w:r w:rsidR="00980EBC">
        <w:t xml:space="preserve"> came into effect. </w:t>
      </w:r>
      <w:r w:rsidRPr="000638E8">
        <w:t xml:space="preserve"> </w:t>
      </w:r>
    </w:p>
    <w:p w:rsidR="00270511" w:rsidRDefault="00270511" w:rsidP="00247D9A">
      <w:pPr>
        <w:jc w:val="both"/>
      </w:pPr>
    </w:p>
    <w:p w:rsidR="00822D16" w:rsidRDefault="00F0325A" w:rsidP="00822D16">
      <w:pPr>
        <w:spacing w:after="0"/>
        <w:jc w:val="both"/>
        <w:rPr>
          <w:rFonts w:cs="Arial"/>
          <w:i/>
          <w:noProof/>
          <w:lang w:val="en-AU" w:eastAsia="en-AU"/>
        </w:rPr>
      </w:pPr>
      <w:r>
        <w:rPr>
          <w:rFonts w:cs="Arial"/>
          <w:noProof/>
          <w:lang w:val="en-AU" w:eastAsia="en-AU" w:bidi="ar-SA"/>
        </w:rPr>
        <w:drawing>
          <wp:anchor distT="0" distB="0" distL="114300" distR="114300" simplePos="0" relativeHeight="251666432" behindDoc="0" locked="0" layoutInCell="1" allowOverlap="1">
            <wp:simplePos x="0" y="0"/>
            <wp:positionH relativeFrom="column">
              <wp:posOffset>685800</wp:posOffset>
            </wp:positionH>
            <wp:positionV relativeFrom="paragraph">
              <wp:posOffset>648758</wp:posOffset>
            </wp:positionV>
            <wp:extent cx="1402645" cy="835378"/>
            <wp:effectExtent l="381000" t="0" r="0" b="0"/>
            <wp:wrapNone/>
            <wp:docPr id="29" name="Diagram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anchor>
        </w:drawing>
      </w:r>
      <w:r w:rsidRPr="00F0325A">
        <w:rPr>
          <w:rFonts w:cs="Arial"/>
          <w:noProof/>
          <w:lang w:val="en-AU" w:eastAsia="en-AU" w:bidi="ar-SA"/>
        </w:rPr>
        <w:drawing>
          <wp:inline distT="0" distB="0" distL="0" distR="0">
            <wp:extent cx="4617728" cy="2082883"/>
            <wp:effectExtent l="0" t="19050" r="68572" b="50717"/>
            <wp:docPr id="28"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E3440" w:rsidRDefault="00AE3440" w:rsidP="00822D16">
      <w:pPr>
        <w:spacing w:after="0"/>
        <w:jc w:val="both"/>
        <w:rPr>
          <w:rFonts w:cs="Arial"/>
          <w:i/>
          <w:noProof/>
          <w:lang w:val="en-AU" w:eastAsia="en-AU"/>
        </w:rPr>
      </w:pPr>
      <w:r w:rsidRPr="00FC5AD6">
        <w:rPr>
          <w:rFonts w:cs="Arial"/>
          <w:i/>
          <w:noProof/>
          <w:lang w:val="en-AU" w:eastAsia="en-AU"/>
        </w:rPr>
        <w:t xml:space="preserve">Figure </w:t>
      </w:r>
      <w:r w:rsidR="00E659C5">
        <w:rPr>
          <w:rFonts w:cs="Arial"/>
          <w:i/>
          <w:noProof/>
          <w:lang w:val="en-AU" w:eastAsia="en-AU"/>
        </w:rPr>
        <w:t>4</w:t>
      </w:r>
      <w:r w:rsidRPr="00FC5AD6">
        <w:rPr>
          <w:rFonts w:cs="Arial"/>
          <w:i/>
          <w:noProof/>
          <w:lang w:val="en-AU" w:eastAsia="en-AU"/>
        </w:rPr>
        <w:t xml:space="preserve">: </w:t>
      </w:r>
      <w:r w:rsidR="00F332F1">
        <w:rPr>
          <w:rFonts w:cs="Arial"/>
          <w:i/>
          <w:noProof/>
          <w:lang w:val="en-AU" w:eastAsia="en-AU"/>
        </w:rPr>
        <w:t xml:space="preserve">Driving whilst suspended – Tasmania.  </w:t>
      </w:r>
    </w:p>
    <w:p w:rsidR="00234A87" w:rsidRDefault="00234A87" w:rsidP="00822D16">
      <w:pPr>
        <w:spacing w:after="0"/>
        <w:jc w:val="both"/>
        <w:rPr>
          <w:rFonts w:cs="Arial"/>
          <w:i/>
          <w:noProof/>
          <w:lang w:val="en-AU" w:eastAsia="en-AU"/>
        </w:rPr>
      </w:pPr>
    </w:p>
    <w:p w:rsidR="00594F49" w:rsidRPr="00E328F1" w:rsidRDefault="00E328F1" w:rsidP="00270511">
      <w:pPr>
        <w:jc w:val="both"/>
        <w:rPr>
          <w:rFonts w:cs="Arial"/>
          <w:noProof/>
          <w:lang w:val="en-AU" w:eastAsia="en-AU"/>
        </w:rPr>
      </w:pPr>
      <w:r w:rsidRPr="00E328F1">
        <w:rPr>
          <w:rFonts w:cs="Arial"/>
          <w:noProof/>
          <w:lang w:val="en-AU" w:eastAsia="en-AU"/>
        </w:rPr>
        <w:t>The reason for licence suspension in Tasmania in 2011 is shown in Figure 5. This</w:t>
      </w:r>
      <w:r>
        <w:rPr>
          <w:rFonts w:cs="Arial"/>
          <w:noProof/>
          <w:lang w:val="en-AU" w:eastAsia="en-AU"/>
        </w:rPr>
        <w:t xml:space="preserve"> </w:t>
      </w:r>
      <w:r w:rsidRPr="00E328F1">
        <w:rPr>
          <w:rFonts w:cs="Arial"/>
          <w:noProof/>
          <w:lang w:val="en-AU" w:eastAsia="en-AU"/>
        </w:rPr>
        <w:t xml:space="preserve">indicates that the majority of licence suspensions </w:t>
      </w:r>
      <w:r>
        <w:rPr>
          <w:rFonts w:cs="Arial"/>
          <w:noProof/>
          <w:lang w:val="en-AU" w:eastAsia="en-AU"/>
        </w:rPr>
        <w:t>(66 per cent) were monetary penalty enforcement suspensions, 23 per</w:t>
      </w:r>
      <w:r w:rsidR="00487FC6">
        <w:rPr>
          <w:rFonts w:cs="Arial"/>
          <w:noProof/>
          <w:lang w:val="en-AU" w:eastAsia="en-AU"/>
        </w:rPr>
        <w:t xml:space="preserve"> </w:t>
      </w:r>
      <w:r>
        <w:rPr>
          <w:rFonts w:cs="Arial"/>
          <w:noProof/>
          <w:lang w:val="en-AU" w:eastAsia="en-AU"/>
        </w:rPr>
        <w:t xml:space="preserve">cent </w:t>
      </w:r>
      <w:r w:rsidRPr="00E328F1">
        <w:rPr>
          <w:rFonts w:cs="Arial"/>
          <w:noProof/>
          <w:lang w:val="en-AU" w:eastAsia="en-AU"/>
        </w:rPr>
        <w:t>w</w:t>
      </w:r>
      <w:r>
        <w:rPr>
          <w:rFonts w:cs="Arial"/>
          <w:noProof/>
          <w:lang w:val="en-AU" w:eastAsia="en-AU"/>
        </w:rPr>
        <w:t>e</w:t>
      </w:r>
      <w:r w:rsidRPr="00E328F1">
        <w:rPr>
          <w:rFonts w:cs="Arial"/>
          <w:noProof/>
          <w:lang w:val="en-AU" w:eastAsia="en-AU"/>
        </w:rPr>
        <w:t xml:space="preserve">re </w:t>
      </w:r>
      <w:r>
        <w:rPr>
          <w:rFonts w:cs="Arial"/>
          <w:noProof/>
          <w:lang w:val="en-AU" w:eastAsia="en-AU"/>
        </w:rPr>
        <w:t>administrative sanctions imposed by the Registrar and 11 per</w:t>
      </w:r>
      <w:r w:rsidR="00487FC6">
        <w:rPr>
          <w:rFonts w:cs="Arial"/>
          <w:noProof/>
          <w:lang w:val="en-AU" w:eastAsia="en-AU"/>
        </w:rPr>
        <w:t xml:space="preserve"> </w:t>
      </w:r>
      <w:r>
        <w:rPr>
          <w:rFonts w:cs="Arial"/>
          <w:noProof/>
          <w:lang w:val="en-AU" w:eastAsia="en-AU"/>
        </w:rPr>
        <w:t xml:space="preserve">cent </w:t>
      </w:r>
      <w:r w:rsidR="00270511">
        <w:rPr>
          <w:rFonts w:cs="Arial"/>
          <w:noProof/>
          <w:lang w:val="en-AU" w:eastAsia="en-AU"/>
        </w:rPr>
        <w:t>were due to demerit point accumulation.</w:t>
      </w:r>
    </w:p>
    <w:p w:rsidR="00594F49" w:rsidRPr="00FC5AD6" w:rsidRDefault="00594F49" w:rsidP="00822D16">
      <w:pPr>
        <w:spacing w:after="0"/>
        <w:jc w:val="both"/>
        <w:rPr>
          <w:rFonts w:cs="Arial"/>
          <w:i/>
          <w:noProof/>
          <w:lang w:val="en-AU" w:eastAsia="en-AU"/>
        </w:rPr>
      </w:pPr>
    </w:p>
    <w:p w:rsidR="00AE3440" w:rsidRPr="000638E8" w:rsidRDefault="00F7744C" w:rsidP="00482348">
      <w:pPr>
        <w:spacing w:after="0"/>
        <w:jc w:val="both"/>
        <w:rPr>
          <w:noProof/>
        </w:rPr>
      </w:pPr>
      <w:r w:rsidRPr="00F7744C">
        <w:rPr>
          <w:noProof/>
        </w:rPr>
        <w:pict>
          <v:shape id="_x0000_s1029" type="#_x0000_t202" style="position:absolute;left:0;text-align:left;margin-left:55.3pt;margin-top:-22.35pt;width:309.4pt;height:38.1pt;z-index:251675648;mso-wrap-style:none" stroked="f">
            <v:textbox style="mso-next-textbox:#_x0000_s1029;mso-fit-shape-to-text:t">
              <w:txbxContent>
                <w:p w:rsidR="00787C1C" w:rsidRPr="00202564" w:rsidRDefault="00787C1C" w:rsidP="004B3B91">
                  <w:pPr>
                    <w:spacing w:after="0"/>
                    <w:jc w:val="right"/>
                    <w:rPr>
                      <w:b/>
                      <w:caps/>
                      <w:noProof/>
                    </w:rPr>
                  </w:pPr>
                  <w:r w:rsidRPr="00202564">
                    <w:rPr>
                      <w:b/>
                      <w:caps/>
                      <w:noProof/>
                    </w:rPr>
                    <w:t>Percentage of all licence holder suspensions by reason</w:t>
                  </w:r>
                </w:p>
                <w:p w:rsidR="00787C1C" w:rsidRPr="00202564" w:rsidRDefault="00787C1C" w:rsidP="004B3B91">
                  <w:pPr>
                    <w:spacing w:after="0"/>
                    <w:jc w:val="right"/>
                    <w:rPr>
                      <w:b/>
                      <w:caps/>
                      <w:noProof/>
                    </w:rPr>
                  </w:pPr>
                  <w:r w:rsidRPr="00202564">
                    <w:rPr>
                      <w:b/>
                      <w:caps/>
                      <w:noProof/>
                    </w:rPr>
                    <w:t>2011</w:t>
                  </w:r>
                </w:p>
              </w:txbxContent>
            </v:textbox>
          </v:shape>
        </w:pict>
      </w:r>
      <w:r w:rsidR="004B3B91" w:rsidRPr="004B3B91">
        <w:rPr>
          <w:noProof/>
          <w:lang w:val="en-AU" w:eastAsia="en-AU" w:bidi="ar-SA"/>
        </w:rPr>
        <w:drawing>
          <wp:inline distT="0" distB="0" distL="0" distR="0">
            <wp:extent cx="4562475" cy="2800350"/>
            <wp:effectExtent l="0" t="19050" r="66675" b="57150"/>
            <wp:docPr id="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AE3440" w:rsidRPr="004B3B91" w:rsidRDefault="00AE3440" w:rsidP="00482348">
      <w:pPr>
        <w:spacing w:after="0"/>
        <w:jc w:val="both"/>
        <w:rPr>
          <w:b/>
          <w:noProof/>
        </w:rPr>
      </w:pPr>
      <w:r w:rsidRPr="00886160">
        <w:rPr>
          <w:i/>
          <w:noProof/>
        </w:rPr>
        <w:t xml:space="preserve">Figure </w:t>
      </w:r>
      <w:r w:rsidR="00E659C5">
        <w:rPr>
          <w:i/>
          <w:noProof/>
        </w:rPr>
        <w:t>5</w:t>
      </w:r>
      <w:r w:rsidRPr="00886160">
        <w:rPr>
          <w:i/>
          <w:noProof/>
        </w:rPr>
        <w:t xml:space="preserve">: </w:t>
      </w:r>
      <w:r w:rsidRPr="004B3B91">
        <w:rPr>
          <w:i/>
          <w:noProof/>
        </w:rPr>
        <w:t>The</w:t>
      </w:r>
      <w:r w:rsidR="004B3B91" w:rsidRPr="004B3B91">
        <w:rPr>
          <w:i/>
          <w:noProof/>
        </w:rPr>
        <w:t xml:space="preserve"> Percentage of licence suspensions by reason</w:t>
      </w:r>
      <w:r w:rsidRPr="00886160">
        <w:rPr>
          <w:i/>
          <w:noProof/>
        </w:rPr>
        <w:t xml:space="preserve"> </w:t>
      </w:r>
      <w:r w:rsidR="00384ABE">
        <w:rPr>
          <w:i/>
          <w:noProof/>
        </w:rPr>
        <w:t>, Tasmania, 2011</w:t>
      </w:r>
    </w:p>
    <w:p w:rsidR="00482348" w:rsidRPr="00886160" w:rsidRDefault="00482348" w:rsidP="00482348">
      <w:pPr>
        <w:spacing w:after="0"/>
        <w:jc w:val="both"/>
        <w:rPr>
          <w:i/>
          <w:noProof/>
        </w:rPr>
      </w:pPr>
    </w:p>
    <w:p w:rsidR="0073791A" w:rsidRDefault="00AE3440" w:rsidP="0073791A">
      <w:pPr>
        <w:spacing w:after="0"/>
        <w:jc w:val="both"/>
        <w:rPr>
          <w:lang w:val="en-AU" w:eastAsia="en-AU" w:bidi="ar-SA"/>
        </w:rPr>
      </w:pPr>
      <w:r w:rsidRPr="000638E8">
        <w:rPr>
          <w:lang w:val="en-AU" w:eastAsia="en-AU" w:bidi="ar-SA"/>
        </w:rPr>
        <w:t xml:space="preserve">Despite increases in the number </w:t>
      </w:r>
      <w:r w:rsidRPr="00E67E98">
        <w:rPr>
          <w:lang w:val="en-AU" w:eastAsia="en-AU" w:bidi="ar-SA"/>
        </w:rPr>
        <w:t xml:space="preserve">of </w:t>
      </w:r>
      <w:r w:rsidR="00C3200E" w:rsidRPr="00E67E98">
        <w:rPr>
          <w:lang w:val="en-AU" w:eastAsia="en-AU" w:bidi="ar-SA"/>
        </w:rPr>
        <w:t>drivers detected driving unlicensed</w:t>
      </w:r>
      <w:r w:rsidR="00C3200E">
        <w:rPr>
          <w:lang w:val="en-AU" w:eastAsia="en-AU" w:bidi="ar-SA"/>
        </w:rPr>
        <w:t xml:space="preserve"> </w:t>
      </w:r>
      <w:r w:rsidRPr="000638E8">
        <w:rPr>
          <w:lang w:val="en-AU" w:eastAsia="en-AU" w:bidi="ar-SA"/>
        </w:rPr>
        <w:t xml:space="preserve">the </w:t>
      </w:r>
      <w:r>
        <w:rPr>
          <w:lang w:val="en-AU" w:eastAsia="en-AU" w:bidi="ar-SA"/>
        </w:rPr>
        <w:t xml:space="preserve">proportion </w:t>
      </w:r>
      <w:r w:rsidRPr="000638E8">
        <w:rPr>
          <w:lang w:val="en-AU" w:eastAsia="en-AU" w:bidi="ar-SA"/>
        </w:rPr>
        <w:t xml:space="preserve">of </w:t>
      </w:r>
      <w:r w:rsidR="00FD5731">
        <w:rPr>
          <w:lang w:val="en-AU" w:eastAsia="en-AU" w:bidi="ar-SA"/>
        </w:rPr>
        <w:t>unlicensed</w:t>
      </w:r>
      <w:r w:rsidRPr="000638E8">
        <w:rPr>
          <w:lang w:val="en-AU" w:eastAsia="en-AU" w:bidi="ar-SA"/>
        </w:rPr>
        <w:t xml:space="preserve"> drivers </w:t>
      </w:r>
      <w:r>
        <w:rPr>
          <w:lang w:val="en-AU" w:eastAsia="en-AU" w:bidi="ar-SA"/>
        </w:rPr>
        <w:t xml:space="preserve">remains </w:t>
      </w:r>
      <w:r w:rsidRPr="000638E8">
        <w:rPr>
          <w:lang w:val="en-AU" w:eastAsia="en-AU" w:bidi="ar-SA"/>
        </w:rPr>
        <w:t xml:space="preserve">comparatively low in relation to the </w:t>
      </w:r>
      <w:r>
        <w:rPr>
          <w:lang w:val="en-AU" w:eastAsia="en-AU" w:bidi="ar-SA"/>
        </w:rPr>
        <w:t xml:space="preserve">overall number of </w:t>
      </w:r>
      <w:r w:rsidR="007C5712">
        <w:rPr>
          <w:lang w:val="en-AU" w:eastAsia="en-AU" w:bidi="ar-SA"/>
        </w:rPr>
        <w:t>l</w:t>
      </w:r>
      <w:r w:rsidR="007C5712" w:rsidRPr="000638E8">
        <w:rPr>
          <w:lang w:val="en-AU" w:eastAsia="en-AU" w:bidi="ar-SA"/>
        </w:rPr>
        <w:t>icensed</w:t>
      </w:r>
      <w:r w:rsidRPr="000638E8">
        <w:rPr>
          <w:lang w:val="en-AU" w:eastAsia="en-AU" w:bidi="ar-SA"/>
        </w:rPr>
        <w:t xml:space="preserve"> drivers</w:t>
      </w:r>
      <w:r w:rsidR="00C3200E">
        <w:rPr>
          <w:lang w:val="en-AU" w:eastAsia="en-AU" w:bidi="ar-SA"/>
        </w:rPr>
        <w:t xml:space="preserve"> (See Figure 6)</w:t>
      </w:r>
      <w:r w:rsidRPr="000638E8">
        <w:rPr>
          <w:lang w:val="en-AU" w:eastAsia="en-AU" w:bidi="ar-SA"/>
        </w:rPr>
        <w:t>.</w:t>
      </w:r>
    </w:p>
    <w:p w:rsidR="0073791A" w:rsidRDefault="0073791A" w:rsidP="0073791A">
      <w:pPr>
        <w:spacing w:after="0"/>
        <w:jc w:val="both"/>
        <w:rPr>
          <w:lang w:val="en-AU" w:eastAsia="en-AU" w:bidi="ar-SA"/>
        </w:rPr>
      </w:pPr>
    </w:p>
    <w:p w:rsidR="0073791A" w:rsidRPr="000638E8" w:rsidRDefault="00AE3440" w:rsidP="0073791A">
      <w:pPr>
        <w:spacing w:after="0"/>
        <w:jc w:val="both"/>
        <w:rPr>
          <w:lang w:val="en-AU" w:eastAsia="en-AU" w:bidi="ar-SA"/>
        </w:rPr>
      </w:pPr>
      <w:r w:rsidRPr="000638E8">
        <w:rPr>
          <w:lang w:val="en-AU" w:eastAsia="en-AU" w:bidi="ar-SA"/>
        </w:rPr>
        <w:t xml:space="preserve">  </w:t>
      </w:r>
      <w:r w:rsidR="0073791A">
        <w:rPr>
          <w:noProof/>
          <w:lang w:val="en-AU" w:eastAsia="en-AU" w:bidi="ar-SA"/>
        </w:rPr>
        <w:drawing>
          <wp:inline distT="0" distB="0" distL="0" distR="0">
            <wp:extent cx="4680000" cy="2155331"/>
            <wp:effectExtent l="0" t="19050" r="82500" b="54469"/>
            <wp:docPr id="5" name="Picture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73791A" w:rsidRPr="00FC5AD6" w:rsidRDefault="0073791A" w:rsidP="0073791A">
      <w:pPr>
        <w:spacing w:after="0"/>
        <w:jc w:val="both"/>
        <w:rPr>
          <w:i/>
          <w:lang w:val="en-AU" w:eastAsia="en-AU" w:bidi="ar-SA"/>
        </w:rPr>
      </w:pPr>
      <w:r w:rsidRPr="00FC5AD6">
        <w:rPr>
          <w:i/>
          <w:lang w:val="en-AU" w:eastAsia="en-AU" w:bidi="ar-SA"/>
        </w:rPr>
        <w:t>Figure</w:t>
      </w:r>
      <w:r>
        <w:rPr>
          <w:i/>
          <w:lang w:val="en-AU" w:eastAsia="en-AU" w:bidi="ar-SA"/>
        </w:rPr>
        <w:t xml:space="preserve"> 6:</w:t>
      </w:r>
      <w:r w:rsidRPr="00FC5AD6">
        <w:rPr>
          <w:i/>
          <w:lang w:val="en-AU" w:eastAsia="en-AU" w:bidi="ar-SA"/>
        </w:rPr>
        <w:t xml:space="preserve"> </w:t>
      </w:r>
      <w:r>
        <w:rPr>
          <w:i/>
          <w:lang w:val="en-AU" w:eastAsia="en-AU" w:bidi="ar-SA"/>
        </w:rPr>
        <w:t>Percentage of unlicensed drivers by licence category</w:t>
      </w:r>
    </w:p>
    <w:p w:rsidR="00AE3440" w:rsidRDefault="00AE3440" w:rsidP="00995E2B">
      <w:pPr>
        <w:jc w:val="both"/>
        <w:rPr>
          <w:lang w:val="en-AU" w:eastAsia="en-AU" w:bidi="ar-SA"/>
        </w:rPr>
      </w:pPr>
    </w:p>
    <w:p w:rsidR="00AE3440" w:rsidRDefault="004F6C3B" w:rsidP="00995E2B">
      <w:pPr>
        <w:jc w:val="both"/>
        <w:rPr>
          <w:lang w:val="en-AU" w:eastAsia="en-AU" w:bidi="ar-SA"/>
        </w:rPr>
      </w:pPr>
      <w:r>
        <w:rPr>
          <w:lang w:val="en-AU" w:eastAsia="en-AU" w:bidi="ar-SA"/>
        </w:rPr>
        <w:t>Analysis of licence statistics revealed it</w:t>
      </w:r>
      <w:r w:rsidR="00AE3440">
        <w:rPr>
          <w:lang w:val="en-AU" w:eastAsia="en-AU" w:bidi="ar-SA"/>
        </w:rPr>
        <w:t xml:space="preserve"> is a small number of </w:t>
      </w:r>
      <w:r w:rsidR="00FD5731">
        <w:rPr>
          <w:lang w:val="en-AU" w:eastAsia="en-AU" w:bidi="ar-SA"/>
        </w:rPr>
        <w:t>unlicensed</w:t>
      </w:r>
      <w:r w:rsidR="00202564">
        <w:rPr>
          <w:lang w:val="en-AU" w:eastAsia="en-AU" w:bidi="ar-SA"/>
        </w:rPr>
        <w:t xml:space="preserve"> drivers who</w:t>
      </w:r>
      <w:r w:rsidR="00AE3440">
        <w:rPr>
          <w:lang w:val="en-AU" w:eastAsia="en-AU" w:bidi="ar-SA"/>
        </w:rPr>
        <w:t xml:space="preserve"> continue to repeat the primary cause </w:t>
      </w:r>
      <w:r w:rsidR="00482348">
        <w:rPr>
          <w:lang w:val="en-AU" w:eastAsia="en-AU" w:bidi="ar-SA"/>
        </w:rPr>
        <w:t>of</w:t>
      </w:r>
      <w:r w:rsidR="00942C67">
        <w:rPr>
          <w:lang w:val="en-AU" w:eastAsia="en-AU" w:bidi="ar-SA"/>
        </w:rPr>
        <w:t xml:space="preserve"> loss o</w:t>
      </w:r>
      <w:r w:rsidR="00AE3440">
        <w:rPr>
          <w:lang w:val="en-AU" w:eastAsia="en-AU" w:bidi="ar-SA"/>
        </w:rPr>
        <w:t xml:space="preserve">f licence or engage in other high risk behaviours whilst driving </w:t>
      </w:r>
      <w:r w:rsidR="00FD5731">
        <w:rPr>
          <w:lang w:val="en-AU" w:eastAsia="en-AU" w:bidi="ar-SA"/>
        </w:rPr>
        <w:t>unlicensed</w:t>
      </w:r>
      <w:r w:rsidR="00AE3440">
        <w:rPr>
          <w:lang w:val="en-AU" w:eastAsia="en-AU" w:bidi="ar-SA"/>
        </w:rPr>
        <w:t xml:space="preserve"> that are of most concern.</w:t>
      </w:r>
    </w:p>
    <w:p w:rsidR="00AE3440" w:rsidRPr="000638E8" w:rsidRDefault="00AE3440" w:rsidP="00604159">
      <w:pPr>
        <w:pStyle w:val="Heading1"/>
        <w:jc w:val="both"/>
        <w:rPr>
          <w:lang w:val="en-AU" w:eastAsia="en-AU" w:bidi="ar-SA"/>
        </w:rPr>
      </w:pPr>
      <w:bookmarkStart w:id="5" w:name="_Toc341047896"/>
      <w:r w:rsidRPr="000638E8">
        <w:rPr>
          <w:lang w:val="en-AU" w:eastAsia="en-AU" w:bidi="ar-SA"/>
        </w:rPr>
        <w:t xml:space="preserve">Why people drive </w:t>
      </w:r>
      <w:r w:rsidR="00BC0BEB">
        <w:rPr>
          <w:lang w:val="en-AU" w:eastAsia="en-AU" w:bidi="ar-SA"/>
        </w:rPr>
        <w:t>u</w:t>
      </w:r>
      <w:r w:rsidR="00A22E17">
        <w:rPr>
          <w:lang w:val="en-AU" w:eastAsia="en-AU" w:bidi="ar-SA"/>
        </w:rPr>
        <w:t>nlicensed</w:t>
      </w:r>
      <w:r w:rsidR="00FA4BB8">
        <w:rPr>
          <w:lang w:val="en-AU" w:eastAsia="en-AU" w:bidi="ar-SA"/>
        </w:rPr>
        <w:t>?</w:t>
      </w:r>
      <w:bookmarkEnd w:id="5"/>
    </w:p>
    <w:p w:rsidR="00AE3440" w:rsidRPr="000638E8" w:rsidRDefault="00B00B02" w:rsidP="00995E2B">
      <w:pPr>
        <w:jc w:val="both"/>
      </w:pPr>
      <w:r>
        <w:rPr>
          <w:rFonts w:cs="Arial"/>
        </w:rPr>
        <w:t xml:space="preserve">While Tasmanian data is not available, the </w:t>
      </w:r>
      <w:r w:rsidR="00AE3440" w:rsidRPr="000638E8">
        <w:t>Centre for Automotive Safety Research</w:t>
      </w:r>
      <w:r w:rsidR="00537540">
        <w:t xml:space="preserve"> (CASR)</w:t>
      </w:r>
      <w:r w:rsidR="00AE3440" w:rsidRPr="000638E8">
        <w:t xml:space="preserve"> from the University</w:t>
      </w:r>
      <w:r w:rsidR="00AE3440">
        <w:t xml:space="preserve"> of Adelaide</w:t>
      </w:r>
      <w:r w:rsidR="00537540">
        <w:t xml:space="preserve"> is currently investigating this issue. CASR’s</w:t>
      </w:r>
      <w:r w:rsidR="00AE3440">
        <w:t xml:space="preserve"> preliminary report </w:t>
      </w:r>
      <w:r w:rsidR="00AE3440" w:rsidRPr="000638E8">
        <w:t>revealed</w:t>
      </w:r>
      <w:r w:rsidR="00537540">
        <w:t>,</w:t>
      </w:r>
      <w:r w:rsidR="00AE3440" w:rsidRPr="000638E8">
        <w:t xml:space="preserve"> from a series of </w:t>
      </w:r>
      <w:r w:rsidR="00AE3440" w:rsidRPr="000638E8">
        <w:rPr>
          <w:rFonts w:cs="Arial"/>
        </w:rPr>
        <w:t>focus groups with disqualified drivers, 60</w:t>
      </w:r>
      <w:r w:rsidR="00094183">
        <w:rPr>
          <w:rFonts w:cs="Arial"/>
        </w:rPr>
        <w:t xml:space="preserve"> </w:t>
      </w:r>
      <w:r w:rsidR="00FD2A8A">
        <w:rPr>
          <w:rFonts w:cs="Arial"/>
        </w:rPr>
        <w:t>per cent</w:t>
      </w:r>
      <w:r w:rsidR="00AE3440" w:rsidRPr="000638E8">
        <w:rPr>
          <w:rFonts w:cs="Arial"/>
        </w:rPr>
        <w:t xml:space="preserve"> admitted to driving despite the</w:t>
      </w:r>
      <w:r w:rsidR="00AD1D9B">
        <w:rPr>
          <w:rFonts w:cs="Arial"/>
        </w:rPr>
        <w:t>ir</w:t>
      </w:r>
      <w:r w:rsidR="00AE3440" w:rsidRPr="000638E8">
        <w:rPr>
          <w:rFonts w:cs="Arial"/>
        </w:rPr>
        <w:t xml:space="preserve"> disqualification</w:t>
      </w:r>
      <w:r w:rsidR="00AE3440" w:rsidRPr="000638E8">
        <w:rPr>
          <w:rFonts w:cs="Arial"/>
          <w:i/>
        </w:rPr>
        <w:t xml:space="preserve">. </w:t>
      </w:r>
    </w:p>
    <w:p w:rsidR="00AE3440" w:rsidRPr="000638E8" w:rsidRDefault="00AE3440" w:rsidP="00995E2B">
      <w:pPr>
        <w:jc w:val="both"/>
        <w:rPr>
          <w:rFonts w:cs="Arial"/>
        </w:rPr>
      </w:pPr>
      <w:r w:rsidRPr="000638E8">
        <w:rPr>
          <w:rFonts w:cs="Arial"/>
        </w:rPr>
        <w:t>Reasons given</w:t>
      </w:r>
      <w:r>
        <w:rPr>
          <w:rFonts w:cs="Arial"/>
        </w:rPr>
        <w:t xml:space="preserve"> as justification</w:t>
      </w:r>
      <w:r w:rsidRPr="000638E8">
        <w:rPr>
          <w:rFonts w:cs="Arial"/>
        </w:rPr>
        <w:t xml:space="preserve"> for </w:t>
      </w:r>
      <w:r w:rsidR="00482348">
        <w:rPr>
          <w:rFonts w:cs="Arial"/>
        </w:rPr>
        <w:t>continuing</w:t>
      </w:r>
      <w:r w:rsidRPr="000638E8">
        <w:rPr>
          <w:rFonts w:cs="Arial"/>
        </w:rPr>
        <w:t xml:space="preserve"> to dr</w:t>
      </w:r>
      <w:r w:rsidR="006653A2">
        <w:rPr>
          <w:rFonts w:cs="Arial"/>
        </w:rPr>
        <w:t>ive whist disqualified included:</w:t>
      </w:r>
      <w:r w:rsidRPr="000638E8">
        <w:rPr>
          <w:rFonts w:cs="Arial"/>
        </w:rPr>
        <w:t xml:space="preserve"> not considering the primary offence as dangerous</w:t>
      </w:r>
      <w:r w:rsidR="006653A2">
        <w:rPr>
          <w:rFonts w:cs="Arial"/>
        </w:rPr>
        <w:t>;</w:t>
      </w:r>
      <w:r w:rsidRPr="000638E8">
        <w:rPr>
          <w:rFonts w:cs="Arial"/>
        </w:rPr>
        <w:t xml:space="preserve"> viewing</w:t>
      </w:r>
      <w:r w:rsidR="00942C67">
        <w:rPr>
          <w:rFonts w:cs="Arial"/>
        </w:rPr>
        <w:t xml:space="preserve"> the disqualification as unfair</w:t>
      </w:r>
      <w:r w:rsidR="006653A2">
        <w:rPr>
          <w:rFonts w:cs="Arial"/>
        </w:rPr>
        <w:t>;</w:t>
      </w:r>
      <w:r w:rsidRPr="000638E8">
        <w:rPr>
          <w:rFonts w:cs="Arial"/>
        </w:rPr>
        <w:t xml:space="preserve"> and rationalising fears of further penalties by the belief that the maximum penalties are rarely applied in the legal system. </w:t>
      </w:r>
    </w:p>
    <w:p w:rsidR="00AE3440" w:rsidRPr="000638E8" w:rsidRDefault="00AE3440" w:rsidP="00995E2B">
      <w:pPr>
        <w:jc w:val="both"/>
      </w:pPr>
      <w:r w:rsidRPr="000638E8">
        <w:t xml:space="preserve">The </w:t>
      </w:r>
      <w:r w:rsidR="006653A2">
        <w:t xml:space="preserve">CASR </w:t>
      </w:r>
      <w:r w:rsidRPr="000638E8">
        <w:t>survey reported:</w:t>
      </w:r>
    </w:p>
    <w:p w:rsidR="00AE3440" w:rsidRPr="00234A87" w:rsidRDefault="00AE3440" w:rsidP="00234A87">
      <w:pPr>
        <w:ind w:left="720"/>
        <w:jc w:val="both"/>
        <w:rPr>
          <w:rFonts w:cs="Arial"/>
        </w:rPr>
      </w:pPr>
      <w:r w:rsidRPr="000638E8">
        <w:rPr>
          <w:rFonts w:cs="Arial"/>
          <w:i/>
        </w:rPr>
        <w:t xml:space="preserve">…associated with disqualified driving was a low perceived risk of detection and instances of personal and vicarious experiences with punishment avoidance (i.e. driving while disqualified and not being detected).  </w:t>
      </w:r>
    </w:p>
    <w:p w:rsidR="006C1805" w:rsidRPr="000638E8" w:rsidRDefault="006C1805" w:rsidP="0097615E">
      <w:pPr>
        <w:spacing w:after="0"/>
        <w:jc w:val="both"/>
        <w:rPr>
          <w:noProof/>
        </w:rPr>
      </w:pPr>
      <w:r w:rsidRPr="006C1805">
        <w:rPr>
          <w:noProof/>
          <w:lang w:val="en-AU" w:eastAsia="en-AU" w:bidi="ar-SA"/>
        </w:rPr>
        <w:drawing>
          <wp:inline distT="0" distB="0" distL="0" distR="0">
            <wp:extent cx="4680000" cy="2155331"/>
            <wp:effectExtent l="0" t="19050" r="82500" b="54469"/>
            <wp:docPr id="24"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AE3440" w:rsidRDefault="00AE3440" w:rsidP="0097615E">
      <w:pPr>
        <w:spacing w:after="0"/>
        <w:jc w:val="both"/>
        <w:rPr>
          <w:i/>
          <w:noProof/>
        </w:rPr>
      </w:pPr>
      <w:r w:rsidRPr="00AD1D9B">
        <w:rPr>
          <w:i/>
          <w:noProof/>
        </w:rPr>
        <w:t xml:space="preserve">Figure </w:t>
      </w:r>
      <w:r w:rsidR="00E659C5">
        <w:rPr>
          <w:i/>
          <w:noProof/>
        </w:rPr>
        <w:t>7</w:t>
      </w:r>
      <w:r w:rsidRPr="00AD1D9B">
        <w:rPr>
          <w:i/>
          <w:noProof/>
        </w:rPr>
        <w:t xml:space="preserve">: Reasons cited </w:t>
      </w:r>
      <w:r w:rsidR="00AD1D9B">
        <w:rPr>
          <w:i/>
          <w:noProof/>
        </w:rPr>
        <w:t xml:space="preserve">by offenders </w:t>
      </w:r>
      <w:r w:rsidRPr="00AD1D9B">
        <w:rPr>
          <w:i/>
          <w:noProof/>
        </w:rPr>
        <w:t xml:space="preserve">for driving </w:t>
      </w:r>
      <w:r w:rsidR="00FD5731">
        <w:rPr>
          <w:i/>
          <w:noProof/>
        </w:rPr>
        <w:t>unlicensed</w:t>
      </w:r>
      <w:r w:rsidR="00AD1D9B">
        <w:rPr>
          <w:i/>
          <w:noProof/>
        </w:rPr>
        <w:t xml:space="preserve"> driving during a confidential study</w:t>
      </w:r>
      <w:r w:rsidR="00E67E98">
        <w:rPr>
          <w:i/>
          <w:noProof/>
        </w:rPr>
        <w:t xml:space="preserve"> - Queensland</w:t>
      </w:r>
      <w:r w:rsidR="00AD1D9B">
        <w:rPr>
          <w:i/>
          <w:noProof/>
        </w:rPr>
        <w:t>.</w:t>
      </w:r>
    </w:p>
    <w:p w:rsidR="006653A2" w:rsidRPr="00AD1D9B" w:rsidRDefault="006653A2" w:rsidP="0097615E">
      <w:pPr>
        <w:spacing w:after="0"/>
        <w:jc w:val="both"/>
        <w:rPr>
          <w:i/>
          <w:noProof/>
        </w:rPr>
      </w:pPr>
    </w:p>
    <w:p w:rsidR="00AE3440" w:rsidRDefault="00AE3440" w:rsidP="00995E2B">
      <w:pPr>
        <w:jc w:val="both"/>
      </w:pPr>
      <w:r>
        <w:t xml:space="preserve">A series of interviews with </w:t>
      </w:r>
      <w:r w:rsidR="00FD5731">
        <w:t>unlicensed</w:t>
      </w:r>
      <w:r>
        <w:t xml:space="preserve"> drivers in Brisbane revealed that most illegal driving </w:t>
      </w:r>
      <w:r w:rsidR="00384ABE">
        <w:t>involved trips to see friends or</w:t>
      </w:r>
      <w:r>
        <w:t xml:space="preserve"> take part in social</w:t>
      </w:r>
      <w:r w:rsidR="00384ABE">
        <w:t xml:space="preserve"> activities, as opposed to </w:t>
      </w:r>
      <w:r>
        <w:t>work or family commitments</w:t>
      </w:r>
      <w:r w:rsidR="006653A2">
        <w:t xml:space="preserve"> (Figure 7)</w:t>
      </w:r>
      <w:r>
        <w:t xml:space="preserve">. </w:t>
      </w:r>
    </w:p>
    <w:p w:rsidR="00F64BE3" w:rsidRDefault="00F64BE3" w:rsidP="00F64BE3">
      <w:pPr>
        <w:jc w:val="both"/>
        <w:rPr>
          <w:rFonts w:cs="Arial"/>
        </w:rPr>
      </w:pPr>
      <w:bookmarkStart w:id="6" w:name="_Toc341047897"/>
      <w:r>
        <w:rPr>
          <w:rFonts w:cs="Arial"/>
        </w:rPr>
        <w:t xml:space="preserve">A number of unlicenced drivers do not renter the licensing system when prohibition ceases, reasons include a medical condition preventing return, serving a period of imprisonment or institutionalization, moving interstate or overseas or voluntarily choosing to no longer drive.  Appendix C and D present data for unlicenced drivers returning to the system.  </w:t>
      </w:r>
    </w:p>
    <w:p w:rsidR="00AE3440" w:rsidRDefault="00AE3440" w:rsidP="00604159">
      <w:pPr>
        <w:pStyle w:val="Heading1"/>
        <w:jc w:val="both"/>
      </w:pPr>
      <w:r w:rsidRPr="000638E8">
        <w:t xml:space="preserve">Strategies to detect and deter </w:t>
      </w:r>
      <w:r w:rsidR="00FD5731">
        <w:t>unlicensed</w:t>
      </w:r>
      <w:r w:rsidRPr="000638E8">
        <w:t xml:space="preserve"> driving</w:t>
      </w:r>
      <w:bookmarkEnd w:id="6"/>
      <w:r w:rsidRPr="000638E8">
        <w:t xml:space="preserve"> </w:t>
      </w:r>
    </w:p>
    <w:p w:rsidR="00AE3440" w:rsidRDefault="00AE3440" w:rsidP="00995E2B">
      <w:pPr>
        <w:jc w:val="both"/>
        <w:rPr>
          <w:color w:val="000000"/>
        </w:rPr>
      </w:pPr>
      <w:r w:rsidRPr="000638E8">
        <w:t xml:space="preserve">Increases in the </w:t>
      </w:r>
      <w:r>
        <w:t>apprehension</w:t>
      </w:r>
      <w:r w:rsidRPr="000638E8">
        <w:t xml:space="preserve"> of </w:t>
      </w:r>
      <w:r w:rsidR="00FD5731">
        <w:t>unlicensed</w:t>
      </w:r>
      <w:r w:rsidRPr="000638E8">
        <w:t xml:space="preserve"> </w:t>
      </w:r>
      <w:r w:rsidR="00384ABE">
        <w:rPr>
          <w:color w:val="000000"/>
        </w:rPr>
        <w:t>drivers</w:t>
      </w:r>
      <w:r w:rsidRPr="000638E8">
        <w:rPr>
          <w:color w:val="000000"/>
        </w:rPr>
        <w:t xml:space="preserve"> </w:t>
      </w:r>
      <w:r w:rsidRPr="000638E8">
        <w:t xml:space="preserve">can be attributed to </w:t>
      </w:r>
      <w:r w:rsidRPr="000638E8">
        <w:rPr>
          <w:color w:val="000000"/>
        </w:rPr>
        <w:t>improve</w:t>
      </w:r>
      <w:r>
        <w:rPr>
          <w:color w:val="000000"/>
        </w:rPr>
        <w:t xml:space="preserve">d </w:t>
      </w:r>
      <w:r w:rsidR="00384ABE">
        <w:rPr>
          <w:color w:val="000000"/>
        </w:rPr>
        <w:t xml:space="preserve">detection methods, </w:t>
      </w:r>
      <w:r w:rsidR="00134097">
        <w:rPr>
          <w:color w:val="000000"/>
        </w:rPr>
        <w:t>initiatives</w:t>
      </w:r>
      <w:r w:rsidR="00384ABE">
        <w:rPr>
          <w:color w:val="000000"/>
        </w:rPr>
        <w:t xml:space="preserve"> such</w:t>
      </w:r>
      <w:r w:rsidR="00134097">
        <w:rPr>
          <w:color w:val="000000"/>
        </w:rPr>
        <w:t xml:space="preserve"> as</w:t>
      </w:r>
      <w:r w:rsidRPr="000638E8">
        <w:rPr>
          <w:color w:val="000000"/>
        </w:rPr>
        <w:t xml:space="preserve"> compulsory carriage of licence, automatic number plate recognition, prevalence of speed detection devices and the extent of random breath testing and targeted general enforcement of high risk offenders.</w:t>
      </w:r>
    </w:p>
    <w:p w:rsidR="000214AA" w:rsidRDefault="000214AA" w:rsidP="00995E2B">
      <w:pPr>
        <w:jc w:val="both"/>
        <w:rPr>
          <w:color w:val="000000"/>
        </w:rPr>
      </w:pPr>
      <w:r>
        <w:rPr>
          <w:color w:val="000000"/>
        </w:rPr>
        <w:t>A national assessment of how unlicensed drivers are detected is represented in Figure 8. It shows that, while a variety of detection measures are used, most are detected through committing further traffic offences and roadside enforcement, while only 3.9% came to be detected through involvement in a crash.</w:t>
      </w:r>
    </w:p>
    <w:p w:rsidR="00AE3440" w:rsidRPr="00712AD2" w:rsidRDefault="006C1805" w:rsidP="00E659C5">
      <w:pPr>
        <w:spacing w:after="0"/>
        <w:jc w:val="both"/>
      </w:pPr>
      <w:r w:rsidRPr="006C1805">
        <w:rPr>
          <w:noProof/>
          <w:lang w:val="en-AU" w:eastAsia="en-AU" w:bidi="ar-SA"/>
        </w:rPr>
        <w:drawing>
          <wp:inline distT="0" distB="0" distL="0" distR="0">
            <wp:extent cx="4680000" cy="2163092"/>
            <wp:effectExtent l="0" t="38100" r="101550" b="27658"/>
            <wp:docPr id="23"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E3440" w:rsidRPr="00570E0D" w:rsidRDefault="00AE3440" w:rsidP="00E659C5">
      <w:pPr>
        <w:spacing w:after="0"/>
        <w:jc w:val="both"/>
        <w:rPr>
          <w:i/>
          <w:noProof/>
          <w:lang w:val="en-AU" w:eastAsia="en-AU"/>
        </w:rPr>
      </w:pPr>
      <w:r w:rsidRPr="00570E0D">
        <w:rPr>
          <w:i/>
          <w:noProof/>
          <w:lang w:val="en-AU" w:eastAsia="en-AU"/>
        </w:rPr>
        <w:t>Figure</w:t>
      </w:r>
      <w:r w:rsidR="00DE1339">
        <w:rPr>
          <w:i/>
          <w:noProof/>
          <w:lang w:val="en-AU" w:eastAsia="en-AU"/>
        </w:rPr>
        <w:t xml:space="preserve"> </w:t>
      </w:r>
      <w:r w:rsidR="00E659C5">
        <w:rPr>
          <w:i/>
          <w:noProof/>
          <w:lang w:val="en-AU" w:eastAsia="en-AU"/>
        </w:rPr>
        <w:t>8</w:t>
      </w:r>
      <w:r w:rsidRPr="00570E0D">
        <w:rPr>
          <w:i/>
          <w:noProof/>
          <w:lang w:val="en-AU" w:eastAsia="en-AU"/>
        </w:rPr>
        <w:t xml:space="preserve">: </w:t>
      </w:r>
      <w:r w:rsidR="00FD5731">
        <w:rPr>
          <w:i/>
          <w:noProof/>
          <w:lang w:val="en-AU" w:eastAsia="en-AU"/>
        </w:rPr>
        <w:t>Unlicensed</w:t>
      </w:r>
      <w:r w:rsidRPr="00570E0D">
        <w:rPr>
          <w:i/>
          <w:noProof/>
          <w:lang w:val="en-AU" w:eastAsia="en-AU"/>
        </w:rPr>
        <w:t xml:space="preserve"> drivers are detected through a variety of enforcement activities, however the most common cause for detection was through further traffic offences.</w:t>
      </w:r>
    </w:p>
    <w:p w:rsidR="005F256F" w:rsidRDefault="005F256F" w:rsidP="005F256F">
      <w:pPr>
        <w:jc w:val="both"/>
        <w:rPr>
          <w:color w:val="000000"/>
        </w:rPr>
      </w:pPr>
      <w:bookmarkStart w:id="7" w:name="_Toc339962206"/>
    </w:p>
    <w:p w:rsidR="005F256F" w:rsidRPr="000638E8" w:rsidRDefault="005F256F" w:rsidP="005F256F">
      <w:pPr>
        <w:jc w:val="both"/>
        <w:rPr>
          <w:rFonts w:cs="Arial"/>
          <w:noProof/>
        </w:rPr>
      </w:pPr>
      <w:r>
        <w:rPr>
          <w:color w:val="000000"/>
        </w:rPr>
        <w:t>It is clear that one single approach to unlicensed driving will not be effective as there are a range of reasons for driving unlicensed as well as a number of ways this behavior is detected. A broader approach using a range of measures will have greater effect. A number of measures for deterring unlicensed driving are discussed below.</w:t>
      </w:r>
    </w:p>
    <w:p w:rsidR="00AE3440" w:rsidRPr="00E659C5" w:rsidRDefault="00AE3440" w:rsidP="00995E2B">
      <w:pPr>
        <w:pStyle w:val="Heading2"/>
        <w:jc w:val="both"/>
        <w:rPr>
          <w:caps w:val="0"/>
        </w:rPr>
      </w:pPr>
      <w:r w:rsidRPr="00E659C5">
        <w:rPr>
          <w:caps w:val="0"/>
        </w:rPr>
        <w:t>Automatic Number Plate Recognition</w:t>
      </w:r>
      <w:bookmarkEnd w:id="7"/>
      <w:r w:rsidRPr="00E659C5">
        <w:rPr>
          <w:caps w:val="0"/>
        </w:rPr>
        <w:t xml:space="preserve">  </w:t>
      </w:r>
    </w:p>
    <w:p w:rsidR="00AE3440" w:rsidRPr="000638E8" w:rsidRDefault="00AE3440" w:rsidP="00995E2B">
      <w:pPr>
        <w:jc w:val="both"/>
        <w:rPr>
          <w:rFonts w:cs="Arial"/>
        </w:rPr>
      </w:pPr>
      <w:r w:rsidRPr="000638E8">
        <w:rPr>
          <w:rFonts w:cs="Arial"/>
        </w:rPr>
        <w:t xml:space="preserve">The use of Automatic Number Plate Recognition (ANPR) software systems has been instrumental in </w:t>
      </w:r>
      <w:r w:rsidRPr="000638E8">
        <w:t xml:space="preserve">both detecting and deterring a range of illegal road user </w:t>
      </w:r>
      <w:r w:rsidR="00E06D38" w:rsidRPr="000638E8">
        <w:t>behaviors</w:t>
      </w:r>
      <w:r w:rsidRPr="000638E8">
        <w:t xml:space="preserve"> including </w:t>
      </w:r>
      <w:r w:rsidR="00FD5731">
        <w:t>unlicensed</w:t>
      </w:r>
      <w:r w:rsidRPr="000638E8">
        <w:t xml:space="preserve"> driving, the driving of unregistered vehicles, and the non</w:t>
      </w:r>
      <w:r w:rsidR="007D7321">
        <w:t>-</w:t>
      </w:r>
      <w:r w:rsidRPr="000638E8">
        <w:t>compliance of heavy vehicle drivers with driving hour regulations and novice drivers with provisional licence requirements.</w:t>
      </w:r>
    </w:p>
    <w:p w:rsidR="00AE3440" w:rsidRPr="000638E8" w:rsidRDefault="00AE3440" w:rsidP="00995E2B">
      <w:pPr>
        <w:jc w:val="both"/>
        <w:rPr>
          <w:rFonts w:cs="Arial"/>
        </w:rPr>
      </w:pPr>
      <w:r w:rsidRPr="000638E8">
        <w:rPr>
          <w:rFonts w:cs="Arial"/>
        </w:rPr>
        <w:t xml:space="preserve">The ANPR software system is linked to a camera that takes an image of a </w:t>
      </w:r>
      <w:r w:rsidR="00E06D38">
        <w:rPr>
          <w:rFonts w:cs="Arial"/>
        </w:rPr>
        <w:t>licence</w:t>
      </w:r>
      <w:r w:rsidRPr="000638E8">
        <w:rPr>
          <w:rFonts w:cs="Arial"/>
        </w:rPr>
        <w:t xml:space="preserve"> </w:t>
      </w:r>
      <w:r w:rsidR="00E06D38" w:rsidRPr="000638E8">
        <w:rPr>
          <w:rFonts w:cs="Arial"/>
        </w:rPr>
        <w:t>plate</w:t>
      </w:r>
      <w:r w:rsidRPr="000638E8">
        <w:rPr>
          <w:rFonts w:cs="Arial"/>
        </w:rPr>
        <w:t xml:space="preserve"> converts it to </w:t>
      </w:r>
      <w:r w:rsidR="00AD1D9B">
        <w:rPr>
          <w:rFonts w:cs="Arial"/>
        </w:rPr>
        <w:t xml:space="preserve">digital </w:t>
      </w:r>
      <w:r w:rsidRPr="000638E8">
        <w:rPr>
          <w:rFonts w:cs="Arial"/>
        </w:rPr>
        <w:t xml:space="preserve">data and compares the data with registration details from the licensing database to identify unregistered vehicles and vehicles registered to </w:t>
      </w:r>
      <w:r w:rsidR="00FD5731">
        <w:rPr>
          <w:rFonts w:cs="Arial"/>
        </w:rPr>
        <w:t>unlicensed</w:t>
      </w:r>
      <w:r w:rsidRPr="000638E8">
        <w:rPr>
          <w:rFonts w:cs="Arial"/>
        </w:rPr>
        <w:t xml:space="preserve"> drivers and motorcyclists. </w:t>
      </w:r>
    </w:p>
    <w:p w:rsidR="00AE3440" w:rsidRDefault="00AD1D9B" w:rsidP="00995E2B">
      <w:pPr>
        <w:jc w:val="both"/>
        <w:rPr>
          <w:rFonts w:cs="Arial"/>
        </w:rPr>
      </w:pPr>
      <w:r>
        <w:rPr>
          <w:rFonts w:cs="Arial"/>
        </w:rPr>
        <w:t>V</w:t>
      </w:r>
      <w:r w:rsidR="00AE3440" w:rsidRPr="000638E8">
        <w:rPr>
          <w:rFonts w:cs="Arial"/>
        </w:rPr>
        <w:t xml:space="preserve">ehicles belonging to </w:t>
      </w:r>
      <w:r w:rsidR="00FD5731">
        <w:rPr>
          <w:rFonts w:cs="Arial"/>
        </w:rPr>
        <w:t>unlicensed</w:t>
      </w:r>
      <w:r w:rsidR="00AE3440" w:rsidRPr="000638E8">
        <w:rPr>
          <w:rFonts w:cs="Arial"/>
        </w:rPr>
        <w:t xml:space="preserve"> drivers can be pulled over by police to ascertain whether an </w:t>
      </w:r>
      <w:r w:rsidR="00FD5731">
        <w:rPr>
          <w:rFonts w:cs="Arial"/>
        </w:rPr>
        <w:t>unlicensed</w:t>
      </w:r>
      <w:r w:rsidR="00AE3440" w:rsidRPr="000638E8">
        <w:rPr>
          <w:rFonts w:cs="Arial"/>
        </w:rPr>
        <w:t xml:space="preserve"> driver is in control of the vehicle</w:t>
      </w:r>
      <w:r>
        <w:rPr>
          <w:rFonts w:cs="Arial"/>
        </w:rPr>
        <w:t xml:space="preserve"> at that time</w:t>
      </w:r>
      <w:r w:rsidR="00AE3440" w:rsidRPr="000638E8">
        <w:rPr>
          <w:rFonts w:cs="Arial"/>
        </w:rPr>
        <w:t xml:space="preserve">. </w:t>
      </w:r>
    </w:p>
    <w:p w:rsidR="009A6F0F" w:rsidRPr="000638E8" w:rsidRDefault="009A6F0F" w:rsidP="00995E2B">
      <w:pPr>
        <w:jc w:val="both"/>
        <w:rPr>
          <w:rFonts w:cs="Arial"/>
        </w:rPr>
      </w:pPr>
      <w:r>
        <w:rPr>
          <w:rFonts w:cs="Arial"/>
        </w:rPr>
        <w:t xml:space="preserve">In </w:t>
      </w:r>
      <w:r w:rsidR="009D091F">
        <w:rPr>
          <w:rFonts w:cs="Arial"/>
        </w:rPr>
        <w:t xml:space="preserve">Tasmania, ANPR has been used since </w:t>
      </w:r>
      <w:r w:rsidR="00E67E98" w:rsidRPr="00E67E98">
        <w:rPr>
          <w:rFonts w:cs="Arial"/>
        </w:rPr>
        <w:t>2009</w:t>
      </w:r>
      <w:r w:rsidR="009D091F">
        <w:rPr>
          <w:rFonts w:cs="Arial"/>
        </w:rPr>
        <w:t xml:space="preserve"> to target unlicensed driving and unregistered vehicles.</w:t>
      </w:r>
    </w:p>
    <w:p w:rsidR="00AE3440" w:rsidRPr="00E659C5" w:rsidRDefault="00AE3440" w:rsidP="00995E2B">
      <w:pPr>
        <w:pStyle w:val="Heading2"/>
        <w:jc w:val="both"/>
        <w:rPr>
          <w:caps w:val="0"/>
        </w:rPr>
      </w:pPr>
      <w:r w:rsidRPr="00E659C5">
        <w:rPr>
          <w:caps w:val="0"/>
        </w:rPr>
        <w:t>Mandatory carriage of a driver licence</w:t>
      </w:r>
    </w:p>
    <w:p w:rsidR="00AE3440" w:rsidRPr="000638E8" w:rsidRDefault="00AE3440" w:rsidP="00995E2B">
      <w:pPr>
        <w:jc w:val="both"/>
      </w:pPr>
      <w:r w:rsidRPr="000638E8">
        <w:t>Tasmania int</w:t>
      </w:r>
      <w:r w:rsidR="00134097">
        <w:t>roduced compulsory carriage of l</w:t>
      </w:r>
      <w:r w:rsidRPr="000638E8">
        <w:t xml:space="preserve">icence in December 2002, its primary purpose was to act as a deterrent to </w:t>
      </w:r>
      <w:r w:rsidR="00FD5731">
        <w:rPr>
          <w:rFonts w:cs="Arial"/>
        </w:rPr>
        <w:t>unlicensed</w:t>
      </w:r>
      <w:r w:rsidRPr="000638E8">
        <w:rPr>
          <w:rFonts w:cs="Arial"/>
        </w:rPr>
        <w:t xml:space="preserve"> drivers </w:t>
      </w:r>
      <w:r w:rsidRPr="000638E8">
        <w:t>continuing to drive during their prohibition.</w:t>
      </w:r>
    </w:p>
    <w:p w:rsidR="00AE3440" w:rsidRPr="000638E8" w:rsidRDefault="00AE3440" w:rsidP="00995E2B">
      <w:pPr>
        <w:jc w:val="both"/>
        <w:rPr>
          <w:rFonts w:cs="Arial"/>
        </w:rPr>
      </w:pPr>
      <w:r w:rsidRPr="000638E8">
        <w:rPr>
          <w:rFonts w:cs="Arial"/>
        </w:rPr>
        <w:t xml:space="preserve">The advantage of strict mandatory carriage of licence laws is that once a driver has been pulled over by police, they must produce a </w:t>
      </w:r>
      <w:r>
        <w:rPr>
          <w:rFonts w:cs="Arial"/>
        </w:rPr>
        <w:t xml:space="preserve">photographic </w:t>
      </w:r>
      <w:r w:rsidRPr="000638E8">
        <w:rPr>
          <w:rFonts w:cs="Arial"/>
        </w:rPr>
        <w:t xml:space="preserve">licence that can then be verified by the police officer to ensure that the driver is </w:t>
      </w:r>
      <w:r w:rsidR="007C5712">
        <w:rPr>
          <w:rFonts w:cs="Arial"/>
        </w:rPr>
        <w:t>license</w:t>
      </w:r>
      <w:r w:rsidR="007C5712" w:rsidRPr="000638E8">
        <w:rPr>
          <w:rFonts w:cs="Arial"/>
        </w:rPr>
        <w:t>d</w:t>
      </w:r>
      <w:r w:rsidRPr="000638E8">
        <w:rPr>
          <w:rFonts w:cs="Arial"/>
        </w:rPr>
        <w:t xml:space="preserve"> to be driving the vehicle. Failure to produce a driver’s licence on request can result in a $70 penalty. </w:t>
      </w:r>
    </w:p>
    <w:p w:rsidR="008329FE" w:rsidRDefault="008329FE" w:rsidP="00995E2B">
      <w:pPr>
        <w:pStyle w:val="Heading2"/>
        <w:jc w:val="both"/>
        <w:rPr>
          <w:caps w:val="0"/>
        </w:rPr>
      </w:pPr>
    </w:p>
    <w:p w:rsidR="00AE3440" w:rsidRPr="00E659C5" w:rsidRDefault="00AE3440" w:rsidP="00995E2B">
      <w:pPr>
        <w:pStyle w:val="Heading2"/>
        <w:jc w:val="both"/>
        <w:rPr>
          <w:caps w:val="0"/>
        </w:rPr>
      </w:pPr>
      <w:r w:rsidRPr="00E659C5">
        <w:rPr>
          <w:caps w:val="0"/>
        </w:rPr>
        <w:t>Encouragement to enter the Licensing system</w:t>
      </w:r>
    </w:p>
    <w:p w:rsidR="00AE3440" w:rsidRDefault="00AE3440" w:rsidP="00995E2B">
      <w:pPr>
        <w:jc w:val="both"/>
        <w:rPr>
          <w:rFonts w:cs="Arial"/>
        </w:rPr>
      </w:pPr>
      <w:r w:rsidRPr="000638E8">
        <w:rPr>
          <w:rFonts w:cs="Arial"/>
        </w:rPr>
        <w:t xml:space="preserve">The most common reason given by persons apprehended for driving whilst never having held a </w:t>
      </w:r>
      <w:r w:rsidR="00E06D38">
        <w:rPr>
          <w:rFonts w:cs="Arial"/>
        </w:rPr>
        <w:t>licence</w:t>
      </w:r>
      <w:r w:rsidRPr="000638E8">
        <w:rPr>
          <w:rFonts w:cs="Arial"/>
        </w:rPr>
        <w:t xml:space="preserve"> is the difficulty or perceived difficulty of entering the official system.  This is particularly common for those living in remote communities, with low levels of literacy</w:t>
      </w:r>
      <w:r w:rsidR="00033A09">
        <w:rPr>
          <w:rFonts w:cs="Arial"/>
        </w:rPr>
        <w:t>,</w:t>
      </w:r>
      <w:r w:rsidRPr="000638E8">
        <w:rPr>
          <w:rFonts w:cs="Arial"/>
        </w:rPr>
        <w:t xml:space="preserve"> </w:t>
      </w:r>
      <w:r w:rsidR="00033A09">
        <w:rPr>
          <w:rFonts w:cs="Arial"/>
        </w:rPr>
        <w:t xml:space="preserve">with difficulty in </w:t>
      </w:r>
      <w:r w:rsidRPr="000638E8">
        <w:rPr>
          <w:rFonts w:cs="Arial"/>
        </w:rPr>
        <w:t xml:space="preserve">understanding the English language and </w:t>
      </w:r>
      <w:r w:rsidR="00033A09">
        <w:rPr>
          <w:rFonts w:cs="Arial"/>
        </w:rPr>
        <w:t xml:space="preserve">with </w:t>
      </w:r>
      <w:r w:rsidRPr="000638E8">
        <w:rPr>
          <w:rFonts w:cs="Arial"/>
        </w:rPr>
        <w:t xml:space="preserve">difficulty in establishing identity through official documentation.  </w:t>
      </w:r>
    </w:p>
    <w:p w:rsidR="00AE3440" w:rsidRPr="000638E8" w:rsidRDefault="00033A09" w:rsidP="00995E2B">
      <w:pPr>
        <w:jc w:val="both"/>
        <w:rPr>
          <w:rFonts w:cs="Arial"/>
        </w:rPr>
      </w:pPr>
      <w:r>
        <w:rPr>
          <w:rFonts w:cs="Arial"/>
        </w:rPr>
        <w:t>For these groups when</w:t>
      </w:r>
      <w:r w:rsidR="00AE3440" w:rsidRPr="000638E8">
        <w:rPr>
          <w:rFonts w:cs="Arial"/>
        </w:rPr>
        <w:t xml:space="preserve"> entrance into the licen</w:t>
      </w:r>
      <w:r>
        <w:rPr>
          <w:rFonts w:cs="Arial"/>
        </w:rPr>
        <w:t>sing system is successful,</w:t>
      </w:r>
      <w:r w:rsidR="00AE3440" w:rsidRPr="000638E8">
        <w:rPr>
          <w:rFonts w:cs="Arial"/>
        </w:rPr>
        <w:t xml:space="preserve"> access to roadworthy, registered vehicles, and to appropriate supervising drivers willing and able to fulfill the minimum hours of supervised driving requirements</w:t>
      </w:r>
      <w:r>
        <w:rPr>
          <w:rFonts w:cs="Arial"/>
        </w:rPr>
        <w:t xml:space="preserve"> can be difficult to access</w:t>
      </w:r>
      <w:r w:rsidR="00AE3440" w:rsidRPr="000638E8">
        <w:rPr>
          <w:rFonts w:cs="Arial"/>
        </w:rPr>
        <w:t xml:space="preserve">.  Consequently </w:t>
      </w:r>
      <w:r>
        <w:rPr>
          <w:rFonts w:cs="Arial"/>
        </w:rPr>
        <w:t xml:space="preserve">such people </w:t>
      </w:r>
      <w:r w:rsidR="00E96C42">
        <w:rPr>
          <w:rFonts w:cs="Arial"/>
        </w:rPr>
        <w:t xml:space="preserve">may </w:t>
      </w:r>
      <w:r>
        <w:rPr>
          <w:rFonts w:cs="Arial"/>
        </w:rPr>
        <w:t>choose to drive</w:t>
      </w:r>
      <w:r w:rsidR="00AE3440" w:rsidRPr="000638E8">
        <w:rPr>
          <w:rFonts w:cs="Arial"/>
        </w:rPr>
        <w:t xml:space="preserve"> </w:t>
      </w:r>
      <w:r w:rsidR="00FD5731">
        <w:rPr>
          <w:rFonts w:cs="Arial"/>
        </w:rPr>
        <w:t>unlicensed</w:t>
      </w:r>
      <w:r>
        <w:rPr>
          <w:rFonts w:cs="Arial"/>
        </w:rPr>
        <w:t xml:space="preserve"> or unsupervised</w:t>
      </w:r>
      <w:r w:rsidR="00AE3440" w:rsidRPr="000638E8">
        <w:rPr>
          <w:rFonts w:cs="Arial"/>
        </w:rPr>
        <w:t>.</w:t>
      </w:r>
      <w:r>
        <w:rPr>
          <w:rFonts w:cs="Arial"/>
        </w:rPr>
        <w:t xml:space="preserve">  </w:t>
      </w:r>
    </w:p>
    <w:p w:rsidR="00CA1C5B" w:rsidRDefault="00AE3440" w:rsidP="00995E2B">
      <w:pPr>
        <w:jc w:val="both"/>
        <w:rPr>
          <w:rFonts w:cs="Arial"/>
        </w:rPr>
      </w:pPr>
      <w:r w:rsidRPr="000638E8">
        <w:rPr>
          <w:rFonts w:cs="Arial"/>
        </w:rPr>
        <w:t>In order to address these issues</w:t>
      </w:r>
      <w:r w:rsidR="00E96C42">
        <w:rPr>
          <w:rFonts w:cs="Arial"/>
        </w:rPr>
        <w:t xml:space="preserve"> in Tasmania</w:t>
      </w:r>
      <w:r w:rsidRPr="000638E8">
        <w:rPr>
          <w:rFonts w:cs="Arial"/>
        </w:rPr>
        <w:t>, DIER has enabled community based assistance programs targeting the socially disadvantaged.  Assistance with the driver knowledge testing system or ‘learner test’ is provided through local L</w:t>
      </w:r>
      <w:r w:rsidR="00134097">
        <w:rPr>
          <w:rFonts w:cs="Arial"/>
        </w:rPr>
        <w:t>INCS</w:t>
      </w:r>
      <w:r w:rsidRPr="000638E8">
        <w:rPr>
          <w:rFonts w:cs="Arial"/>
        </w:rPr>
        <w:t>, job networks, neighborhood houses, corre</w:t>
      </w:r>
      <w:r w:rsidR="001521C8">
        <w:rPr>
          <w:rFonts w:cs="Arial"/>
        </w:rPr>
        <w:t>ctional institutions and organis</w:t>
      </w:r>
      <w:r w:rsidRPr="000638E8">
        <w:rPr>
          <w:rFonts w:cs="Arial"/>
        </w:rPr>
        <w:t xml:space="preserve">ations targeting cultural and spatial disadvantage. </w:t>
      </w:r>
    </w:p>
    <w:p w:rsidR="00AE3440" w:rsidRPr="000638E8" w:rsidRDefault="00AE3440" w:rsidP="00995E2B">
      <w:pPr>
        <w:jc w:val="both"/>
        <w:rPr>
          <w:rFonts w:cs="Arial"/>
          <w:lang w:eastAsia="en-AU"/>
        </w:rPr>
      </w:pPr>
      <w:r w:rsidRPr="000638E8">
        <w:rPr>
          <w:rFonts w:cs="Arial"/>
        </w:rPr>
        <w:t>In addition</w:t>
      </w:r>
      <w:r w:rsidR="00134097">
        <w:rPr>
          <w:rFonts w:cs="Arial"/>
        </w:rPr>
        <w:t>,</w:t>
      </w:r>
      <w:r w:rsidRPr="000638E8">
        <w:rPr>
          <w:rFonts w:cs="Arial"/>
        </w:rPr>
        <w:t xml:space="preserve"> DIER has assisted in providing funding and support for Learner Driver Mentor Programs (LDMP). A LDMP arranges a suitable vehicle and supervisor driver for a disadvantaged community member, giving them the opportunity to </w:t>
      </w:r>
      <w:r w:rsidRPr="000638E8">
        <w:rPr>
          <w:rFonts w:cs="Arial"/>
          <w:lang w:eastAsia="en-AU"/>
        </w:rPr>
        <w:t xml:space="preserve">achieve the </w:t>
      </w:r>
      <w:r w:rsidR="00134097">
        <w:rPr>
          <w:rFonts w:cs="Arial"/>
          <w:lang w:eastAsia="en-AU"/>
        </w:rPr>
        <w:t>minimum</w:t>
      </w:r>
      <w:r w:rsidRPr="000638E8">
        <w:rPr>
          <w:rFonts w:cs="Arial"/>
          <w:lang w:eastAsia="en-AU"/>
        </w:rPr>
        <w:t xml:space="preserve"> 50 hours of supervised driving before becoming eligible to sit for a provisional </w:t>
      </w:r>
      <w:r w:rsidR="00E06D38">
        <w:rPr>
          <w:rFonts w:cs="Arial"/>
          <w:lang w:eastAsia="en-AU"/>
        </w:rPr>
        <w:t>licence</w:t>
      </w:r>
      <w:r w:rsidRPr="000638E8">
        <w:rPr>
          <w:rFonts w:cs="Arial"/>
          <w:lang w:eastAsia="en-AU"/>
        </w:rPr>
        <w:t>.</w:t>
      </w:r>
    </w:p>
    <w:p w:rsidR="00AE3440" w:rsidRPr="00E659C5" w:rsidRDefault="00AE3440" w:rsidP="00995E2B">
      <w:pPr>
        <w:pStyle w:val="Heading2"/>
        <w:jc w:val="both"/>
        <w:rPr>
          <w:caps w:val="0"/>
        </w:rPr>
      </w:pPr>
      <w:r w:rsidRPr="00E659C5">
        <w:rPr>
          <w:caps w:val="0"/>
        </w:rPr>
        <w:t>Fines</w:t>
      </w:r>
    </w:p>
    <w:p w:rsidR="00AE3440" w:rsidRPr="000638E8" w:rsidRDefault="00AE3440" w:rsidP="00995E2B">
      <w:pPr>
        <w:jc w:val="both"/>
        <w:rPr>
          <w:rFonts w:cs="Arial"/>
        </w:rPr>
      </w:pPr>
      <w:r w:rsidRPr="000638E8">
        <w:rPr>
          <w:rFonts w:cs="Arial"/>
        </w:rPr>
        <w:t xml:space="preserve">The most common form of </w:t>
      </w:r>
      <w:r w:rsidR="00005568">
        <w:rPr>
          <w:rFonts w:cs="Arial"/>
        </w:rPr>
        <w:t>sanction</w:t>
      </w:r>
      <w:r w:rsidRPr="000638E8">
        <w:rPr>
          <w:rFonts w:cs="Arial"/>
        </w:rPr>
        <w:t xml:space="preserve"> routinely administered to offenders is a monetary fine. </w:t>
      </w:r>
      <w:r w:rsidR="00E659C5" w:rsidRPr="00E659C5">
        <w:rPr>
          <w:rFonts w:cs="Arial"/>
        </w:rPr>
        <w:t>Appendix A</w:t>
      </w:r>
      <w:r w:rsidRPr="00E659C5">
        <w:rPr>
          <w:rFonts w:cs="Arial"/>
        </w:rPr>
        <w:t xml:space="preserve"> displays the monetary sanctions for driving without a </w:t>
      </w:r>
      <w:r w:rsidR="00E06D38">
        <w:rPr>
          <w:rFonts w:cs="Arial"/>
        </w:rPr>
        <w:t>licence</w:t>
      </w:r>
      <w:r w:rsidRPr="00E659C5">
        <w:rPr>
          <w:rFonts w:cs="Arial"/>
        </w:rPr>
        <w:t>, driving whilst suspended</w:t>
      </w:r>
      <w:r w:rsidRPr="000638E8">
        <w:rPr>
          <w:rFonts w:cs="Arial"/>
        </w:rPr>
        <w:t xml:space="preserve"> and driving whilst disqualified in each jurisdiction.</w:t>
      </w:r>
    </w:p>
    <w:p w:rsidR="00AE3440" w:rsidRPr="00005568" w:rsidRDefault="00005568" w:rsidP="00995E2B">
      <w:pPr>
        <w:jc w:val="both"/>
        <w:rPr>
          <w:rFonts w:cs="Arial"/>
        </w:rPr>
      </w:pPr>
      <w:r>
        <w:rPr>
          <w:rFonts w:cs="Arial"/>
        </w:rPr>
        <w:t xml:space="preserve">The ability to pay a fine is often discussed when monetary fines are considered. To </w:t>
      </w:r>
      <w:r w:rsidR="0023263B">
        <w:rPr>
          <w:rFonts w:cs="Arial"/>
        </w:rPr>
        <w:t>address this concern, the Monetary Penalties Enforcement System (MPES) allows for payment plans to be entered into.</w:t>
      </w:r>
      <w:r>
        <w:rPr>
          <w:rFonts w:cs="Arial"/>
        </w:rPr>
        <w:t xml:space="preserve"> </w:t>
      </w:r>
    </w:p>
    <w:p w:rsidR="00AE3440" w:rsidRPr="00DE1339" w:rsidRDefault="00234A87" w:rsidP="00995E2B">
      <w:pPr>
        <w:pStyle w:val="Heading2"/>
        <w:jc w:val="both"/>
        <w:rPr>
          <w:caps w:val="0"/>
        </w:rPr>
      </w:pPr>
      <w:r>
        <w:rPr>
          <w:caps w:val="0"/>
        </w:rPr>
        <w:t>Period of Good Behavior</w:t>
      </w:r>
    </w:p>
    <w:p w:rsidR="00234A87" w:rsidRPr="00234A87" w:rsidRDefault="00234A87" w:rsidP="00995E2B">
      <w:pPr>
        <w:pStyle w:val="Heading2"/>
        <w:jc w:val="both"/>
        <w:rPr>
          <w:b w:val="0"/>
          <w:caps w:val="0"/>
        </w:rPr>
      </w:pPr>
      <w:r w:rsidRPr="00070AF4">
        <w:rPr>
          <w:b w:val="0"/>
          <w:caps w:val="0"/>
          <w:sz w:val="22"/>
          <w:szCs w:val="22"/>
        </w:rPr>
        <w:t>In Tasmania</w:t>
      </w:r>
      <w:r w:rsidR="00DC1D78">
        <w:rPr>
          <w:b w:val="0"/>
          <w:caps w:val="0"/>
          <w:sz w:val="22"/>
          <w:szCs w:val="22"/>
        </w:rPr>
        <w:t>,</w:t>
      </w:r>
      <w:r w:rsidRPr="00070AF4">
        <w:rPr>
          <w:b w:val="0"/>
          <w:caps w:val="0"/>
          <w:sz w:val="22"/>
          <w:szCs w:val="22"/>
        </w:rPr>
        <w:t xml:space="preserve"> instead of a driver having their licence suspended, they may in specific circumstances apply for a period of good behavior</w:t>
      </w:r>
      <w:r w:rsidR="00DC1D78">
        <w:rPr>
          <w:b w:val="0"/>
          <w:caps w:val="0"/>
          <w:sz w:val="22"/>
          <w:szCs w:val="22"/>
        </w:rPr>
        <w:t>. This is</w:t>
      </w:r>
      <w:r w:rsidR="00E50914">
        <w:rPr>
          <w:b w:val="0"/>
          <w:caps w:val="0"/>
          <w:sz w:val="22"/>
          <w:szCs w:val="22"/>
        </w:rPr>
        <w:t xml:space="preserve"> an option to avoid suspension</w:t>
      </w:r>
      <w:r w:rsidRPr="00070AF4">
        <w:rPr>
          <w:b w:val="0"/>
          <w:caps w:val="0"/>
          <w:sz w:val="22"/>
          <w:szCs w:val="22"/>
        </w:rPr>
        <w:t xml:space="preserve"> </w:t>
      </w:r>
      <w:r w:rsidR="007F00CE" w:rsidRPr="00070AF4">
        <w:rPr>
          <w:b w:val="0"/>
          <w:caps w:val="0"/>
          <w:sz w:val="22"/>
          <w:szCs w:val="22"/>
        </w:rPr>
        <w:t>providing the proposed suspension is due to accumulation of demerit points and they are not a learner or provisional licence holder</w:t>
      </w:r>
      <w:r w:rsidR="007F00CE">
        <w:rPr>
          <w:b w:val="0"/>
          <w:caps w:val="0"/>
        </w:rPr>
        <w:t xml:space="preserve">. </w:t>
      </w:r>
    </w:p>
    <w:p w:rsidR="00AE3440" w:rsidRPr="00DE1339" w:rsidRDefault="00033A09" w:rsidP="00995E2B">
      <w:pPr>
        <w:pStyle w:val="Heading2"/>
        <w:jc w:val="both"/>
        <w:rPr>
          <w:caps w:val="0"/>
        </w:rPr>
      </w:pPr>
      <w:r>
        <w:rPr>
          <w:caps w:val="0"/>
        </w:rPr>
        <w:t>Restricted L</w:t>
      </w:r>
      <w:r w:rsidR="00AE3440" w:rsidRPr="00DE1339">
        <w:rPr>
          <w:caps w:val="0"/>
        </w:rPr>
        <w:t>icence</w:t>
      </w:r>
    </w:p>
    <w:p w:rsidR="00AE3440" w:rsidRPr="000638E8" w:rsidRDefault="00AE3440" w:rsidP="00995E2B">
      <w:pPr>
        <w:jc w:val="both"/>
      </w:pPr>
      <w:r w:rsidRPr="000638E8">
        <w:t xml:space="preserve">A concern </w:t>
      </w:r>
      <w:r>
        <w:t xml:space="preserve">often </w:t>
      </w:r>
      <w:r w:rsidRPr="000638E8">
        <w:t xml:space="preserve">raised about licence suspension or disqualification is that it can be overly punitive, particularly if it prevents offenders from earning a living. </w:t>
      </w:r>
    </w:p>
    <w:p w:rsidR="00AE3440" w:rsidRPr="000638E8" w:rsidRDefault="00AE3440" w:rsidP="00995E2B">
      <w:pPr>
        <w:jc w:val="both"/>
      </w:pPr>
      <w:r w:rsidRPr="000638E8">
        <w:t>Many jurisdictions</w:t>
      </w:r>
      <w:r w:rsidR="005D2E7E">
        <w:t>, including Tasmania,</w:t>
      </w:r>
      <w:r w:rsidRPr="000638E8">
        <w:t xml:space="preserve"> utilise restricted licences for offenders who can demonstrate that they (an</w:t>
      </w:r>
      <w:r w:rsidR="00033A09">
        <w:t xml:space="preserve">d/or their family) would </w:t>
      </w:r>
      <w:r w:rsidRPr="000638E8">
        <w:t>suffer</w:t>
      </w:r>
      <w:r w:rsidR="00033A09">
        <w:t xml:space="preserve"> disadvantage</w:t>
      </w:r>
      <w:r w:rsidRPr="000638E8">
        <w:t xml:space="preserve"> from the loss of their licence. Restricted licences typically permit offenders to drive for specific purposes, such as travelling to and from employment. </w:t>
      </w:r>
    </w:p>
    <w:p w:rsidR="00AE3440" w:rsidRPr="00DE1339" w:rsidRDefault="00AE3440" w:rsidP="00995E2B">
      <w:pPr>
        <w:pStyle w:val="Heading2"/>
        <w:jc w:val="both"/>
        <w:rPr>
          <w:caps w:val="0"/>
        </w:rPr>
      </w:pPr>
      <w:r w:rsidRPr="00DE1339">
        <w:rPr>
          <w:caps w:val="0"/>
        </w:rPr>
        <w:t>Rehabilitation and education programs</w:t>
      </w:r>
    </w:p>
    <w:p w:rsidR="00AE3440" w:rsidRPr="000638E8" w:rsidRDefault="00AE3440" w:rsidP="00995E2B">
      <w:pPr>
        <w:jc w:val="both"/>
      </w:pPr>
      <w:r w:rsidRPr="000638E8">
        <w:t>Evidence suggests tha</w:t>
      </w:r>
      <w:r w:rsidR="00033A09">
        <w:t>t rehabilitation and education</w:t>
      </w:r>
      <w:r w:rsidRPr="000638E8">
        <w:t xml:space="preserve"> programs have their place in the correctional system. </w:t>
      </w:r>
      <w:r w:rsidR="00033A09">
        <w:t xml:space="preserve">For example, these types of programs have been established to target drink drivers.   </w:t>
      </w:r>
      <w:r w:rsidRPr="000638E8">
        <w:t xml:space="preserve">The primary aim of drink driving programs </w:t>
      </w:r>
      <w:r w:rsidR="00033A09">
        <w:t xml:space="preserve">is to separate </w:t>
      </w:r>
      <w:r w:rsidRPr="000638E8">
        <w:t xml:space="preserve">drinking from driving by providing participants with the knowledge, skills and strategies to avoid further offending </w:t>
      </w:r>
      <w:r w:rsidR="00E06D38" w:rsidRPr="000638E8">
        <w:t>behavior</w:t>
      </w:r>
      <w:r w:rsidRPr="000638E8">
        <w:t>.</w:t>
      </w:r>
    </w:p>
    <w:p w:rsidR="00AE3440" w:rsidRPr="000638E8" w:rsidRDefault="00AE3440" w:rsidP="00995E2B">
      <w:pPr>
        <w:jc w:val="both"/>
        <w:rPr>
          <w:u w:val="single"/>
        </w:rPr>
      </w:pPr>
      <w:r w:rsidRPr="000638E8">
        <w:t>One such example is the Sober Driver Program (SDP) developed by the Department of Corrective Services, NSW, in collaboration with the Motor Accidents Authority and the Roads and Traffic Authority. The most conservative independent study in relation to the outcomes of the NSW SDP found that 43</w:t>
      </w:r>
      <w:r w:rsidR="00FD2A8A">
        <w:t xml:space="preserve"> per cent</w:t>
      </w:r>
      <w:r w:rsidRPr="000638E8">
        <w:t xml:space="preserve"> of participants were less likely to re-offend over a 2 year period.  </w:t>
      </w:r>
    </w:p>
    <w:p w:rsidR="00AE3440" w:rsidRDefault="00AE3440" w:rsidP="00995E2B">
      <w:pPr>
        <w:jc w:val="both"/>
        <w:rPr>
          <w:lang w:val="de-DE"/>
        </w:rPr>
      </w:pPr>
      <w:r w:rsidRPr="000638E8">
        <w:t>The SDP was introduced into Tasmanian Community Corrections in July 2008.  It has been designed specifically for repeat drink driving offenders who a</w:t>
      </w:r>
      <w:r w:rsidRPr="000638E8">
        <w:rPr>
          <w:lang w:val="de-DE"/>
        </w:rPr>
        <w:t xml:space="preserve">re over the age of 18, </w:t>
      </w:r>
      <w:r w:rsidRPr="000638E8">
        <w:t>h</w:t>
      </w:r>
      <w:r w:rsidRPr="000638E8">
        <w:rPr>
          <w:lang w:val="de-DE"/>
        </w:rPr>
        <w:t>ave been convicted of two or more drink driving convictions within a 5-year period, are subject to a community based order (e.g. a Probation and/or Community Service Order) and are directed to attend the program.</w:t>
      </w:r>
    </w:p>
    <w:p w:rsidR="00631623" w:rsidRPr="000638E8" w:rsidRDefault="00631623" w:rsidP="00995E2B">
      <w:pPr>
        <w:jc w:val="both"/>
        <w:rPr>
          <w:lang w:val="de-DE"/>
        </w:rPr>
      </w:pPr>
      <w:r>
        <w:rPr>
          <w:lang w:val="de-DE"/>
        </w:rPr>
        <w:t>Targeting and changing the high risk behaviour</w:t>
      </w:r>
      <w:r w:rsidR="00202564">
        <w:rPr>
          <w:lang w:val="de-DE"/>
        </w:rPr>
        <w:t>s</w:t>
      </w:r>
      <w:r>
        <w:rPr>
          <w:lang w:val="de-DE"/>
        </w:rPr>
        <w:t xml:space="preserve"> </w:t>
      </w:r>
      <w:r w:rsidR="003F6264">
        <w:rPr>
          <w:lang w:val="de-DE"/>
        </w:rPr>
        <w:t xml:space="preserve">that </w:t>
      </w:r>
      <w:r>
        <w:rPr>
          <w:lang w:val="de-DE"/>
        </w:rPr>
        <w:t>often</w:t>
      </w:r>
      <w:r w:rsidR="003F6264">
        <w:rPr>
          <w:lang w:val="de-DE"/>
        </w:rPr>
        <w:t xml:space="preserve"> lead to</w:t>
      </w:r>
      <w:r>
        <w:rPr>
          <w:lang w:val="de-DE"/>
        </w:rPr>
        <w:t xml:space="preserve"> unlicensed driving </w:t>
      </w:r>
      <w:r w:rsidR="00BC6635">
        <w:rPr>
          <w:lang w:val="de-DE"/>
        </w:rPr>
        <w:t>should also flow on to deter driving unlicensed itself and future loss of licence.</w:t>
      </w:r>
    </w:p>
    <w:p w:rsidR="00AE3440" w:rsidRPr="00DE1339" w:rsidRDefault="00AE3440" w:rsidP="00995E2B">
      <w:pPr>
        <w:pStyle w:val="Heading2"/>
        <w:jc w:val="both"/>
        <w:rPr>
          <w:caps w:val="0"/>
        </w:rPr>
      </w:pPr>
      <w:r w:rsidRPr="00DE1339">
        <w:rPr>
          <w:caps w:val="0"/>
        </w:rPr>
        <w:t>Alcohol Interlocks</w:t>
      </w:r>
    </w:p>
    <w:p w:rsidR="00AE3440" w:rsidRPr="000638E8" w:rsidRDefault="00AE3440" w:rsidP="00995E2B">
      <w:pPr>
        <w:jc w:val="both"/>
        <w:rPr>
          <w:color w:val="000000"/>
        </w:rPr>
      </w:pPr>
      <w:r w:rsidRPr="000638E8">
        <w:rPr>
          <w:color w:val="000000"/>
        </w:rPr>
        <w:t xml:space="preserve">An alcohol ignition interlock is a device that measures an individual’s blood alcohol content (BAC). It is connected to the ignition and power system of a vehicle and is designed to prevent the vehicle from being started if the driver’s BAC exceeds the legal limit. </w:t>
      </w:r>
    </w:p>
    <w:p w:rsidR="00AE3440" w:rsidRDefault="00AE3440" w:rsidP="00995E2B">
      <w:pPr>
        <w:jc w:val="both"/>
      </w:pPr>
      <w:r w:rsidRPr="000638E8">
        <w:t xml:space="preserve">Alcohol Interlock trials in Ohio </w:t>
      </w:r>
      <w:r w:rsidR="00033A09">
        <w:t>reported that when an interlock</w:t>
      </w:r>
      <w:r w:rsidRPr="000638E8">
        <w:t xml:space="preserve"> was installed, recidivism rates were lower by 65</w:t>
      </w:r>
      <w:r w:rsidR="00FD2A8A">
        <w:t xml:space="preserve"> per cent</w:t>
      </w:r>
      <w:r w:rsidRPr="000638E8">
        <w:t xml:space="preserve">, while </w:t>
      </w:r>
      <w:r w:rsidR="00FD5731">
        <w:t>unlicensed</w:t>
      </w:r>
      <w:r w:rsidRPr="000638E8">
        <w:t xml:space="preserve"> driving was reduced by 91</w:t>
      </w:r>
      <w:r w:rsidR="00FD2A8A">
        <w:t xml:space="preserve"> per cent</w:t>
      </w:r>
      <w:r w:rsidRPr="000638E8">
        <w:t>. Similar patterns are emerging in early evaluations across Australia.</w:t>
      </w:r>
    </w:p>
    <w:p w:rsidR="003D4990" w:rsidRPr="000638E8" w:rsidRDefault="003D4990" w:rsidP="00995E2B">
      <w:pPr>
        <w:jc w:val="both"/>
      </w:pPr>
      <w:r>
        <w:t>Alcohol Interlocks are being introduced in Tasmania in early 2013.</w:t>
      </w:r>
    </w:p>
    <w:p w:rsidR="00AE3440" w:rsidRPr="00DE1339" w:rsidRDefault="00AE3440" w:rsidP="00995E2B">
      <w:pPr>
        <w:pStyle w:val="Heading2"/>
        <w:jc w:val="both"/>
        <w:rPr>
          <w:caps w:val="0"/>
        </w:rPr>
      </w:pPr>
      <w:r w:rsidRPr="00DE1339">
        <w:rPr>
          <w:caps w:val="0"/>
        </w:rPr>
        <w:t xml:space="preserve">Vehicle </w:t>
      </w:r>
      <w:r w:rsidRPr="00DE1339">
        <w:rPr>
          <w:rFonts w:cs="Arial"/>
          <w:caps w:val="0"/>
        </w:rPr>
        <w:t>immobilisation and</w:t>
      </w:r>
      <w:r w:rsidRPr="00DE1339">
        <w:rPr>
          <w:caps w:val="0"/>
        </w:rPr>
        <w:t xml:space="preserve"> impoundment</w:t>
      </w:r>
    </w:p>
    <w:p w:rsidR="00AE3440" w:rsidRPr="000638E8" w:rsidRDefault="00AE3440" w:rsidP="00995E2B">
      <w:pPr>
        <w:jc w:val="both"/>
        <w:rPr>
          <w:rFonts w:cs="Arial"/>
        </w:rPr>
      </w:pPr>
      <w:r w:rsidRPr="000638E8">
        <w:rPr>
          <w:rFonts w:cs="Arial"/>
        </w:rPr>
        <w:t xml:space="preserve">In instances where licensing sanctions have proved </w:t>
      </w:r>
      <w:r w:rsidR="00033A09">
        <w:rPr>
          <w:rFonts w:cs="Arial"/>
        </w:rPr>
        <w:t xml:space="preserve">to be </w:t>
      </w:r>
      <w:r w:rsidRPr="000638E8">
        <w:rPr>
          <w:rFonts w:cs="Arial"/>
        </w:rPr>
        <w:t>i</w:t>
      </w:r>
      <w:r w:rsidR="00033A09">
        <w:rPr>
          <w:rFonts w:cs="Arial"/>
        </w:rPr>
        <w:t>neffective and</w:t>
      </w:r>
      <w:r w:rsidRPr="000638E8">
        <w:rPr>
          <w:rFonts w:cs="Arial"/>
        </w:rPr>
        <w:t xml:space="preserve"> drivers continue to drive </w:t>
      </w:r>
      <w:r w:rsidR="00FD5731">
        <w:rPr>
          <w:rFonts w:cs="Arial"/>
        </w:rPr>
        <w:t>unlicensed</w:t>
      </w:r>
      <w:r w:rsidR="00033A09">
        <w:rPr>
          <w:rFonts w:cs="Arial"/>
        </w:rPr>
        <w:t>, vehicle sanctions have proven</w:t>
      </w:r>
      <w:r w:rsidRPr="000638E8">
        <w:rPr>
          <w:rFonts w:cs="Arial"/>
        </w:rPr>
        <w:t xml:space="preserve"> to be successful.</w:t>
      </w:r>
    </w:p>
    <w:p w:rsidR="00AE3440" w:rsidRDefault="00AE3440" w:rsidP="00995E2B">
      <w:pPr>
        <w:jc w:val="both"/>
        <w:rPr>
          <w:rFonts w:cs="Arial"/>
        </w:rPr>
      </w:pPr>
      <w:r w:rsidRPr="000638E8">
        <w:rPr>
          <w:rFonts w:cs="Arial"/>
        </w:rPr>
        <w:t xml:space="preserve">All Australian jurisdictions have introduced vehicle </w:t>
      </w:r>
      <w:r w:rsidRPr="002C612A">
        <w:rPr>
          <w:rFonts w:cs="Arial"/>
          <w:lang w:val="en-AU"/>
        </w:rPr>
        <w:t>immobilisation</w:t>
      </w:r>
      <w:r w:rsidRPr="000638E8">
        <w:rPr>
          <w:rFonts w:cs="Arial"/>
        </w:rPr>
        <w:t xml:space="preserve"> and impoundment schemes. </w:t>
      </w:r>
      <w:r w:rsidR="006B2D89">
        <w:rPr>
          <w:rFonts w:cs="Arial"/>
        </w:rPr>
        <w:t>The primary purpose of these is</w:t>
      </w:r>
      <w:r w:rsidRPr="000638E8">
        <w:rPr>
          <w:rFonts w:cs="Arial"/>
        </w:rPr>
        <w:t xml:space="preserve"> to curb h</w:t>
      </w:r>
      <w:r w:rsidR="003D4990">
        <w:rPr>
          <w:rFonts w:cs="Arial"/>
        </w:rPr>
        <w:t>o</w:t>
      </w:r>
      <w:r w:rsidRPr="000638E8">
        <w:rPr>
          <w:rFonts w:cs="Arial"/>
        </w:rPr>
        <w:t>oning activity, bu</w:t>
      </w:r>
      <w:r w:rsidR="006B2D89">
        <w:rPr>
          <w:rFonts w:cs="Arial"/>
        </w:rPr>
        <w:t xml:space="preserve">t the initiative </w:t>
      </w:r>
      <w:r w:rsidR="002C612A">
        <w:rPr>
          <w:rFonts w:cs="Arial"/>
        </w:rPr>
        <w:t xml:space="preserve">has </w:t>
      </w:r>
      <w:r w:rsidR="006B2D89">
        <w:rPr>
          <w:rFonts w:cs="Arial"/>
        </w:rPr>
        <w:t xml:space="preserve">also been successful </w:t>
      </w:r>
      <w:r w:rsidR="007C5712">
        <w:rPr>
          <w:rFonts w:cs="Arial"/>
        </w:rPr>
        <w:t>in</w:t>
      </w:r>
      <w:r w:rsidR="007C5712" w:rsidRPr="000638E8">
        <w:rPr>
          <w:rFonts w:cs="Arial"/>
        </w:rPr>
        <w:t xml:space="preserve"> limiting</w:t>
      </w:r>
      <w:r w:rsidRPr="000638E8">
        <w:rPr>
          <w:rFonts w:cs="Arial"/>
        </w:rPr>
        <w:t xml:space="preserve"> </w:t>
      </w:r>
      <w:r w:rsidR="00FD5731">
        <w:rPr>
          <w:rFonts w:cs="Arial"/>
        </w:rPr>
        <w:t>unlicensed</w:t>
      </w:r>
      <w:r w:rsidRPr="000638E8">
        <w:rPr>
          <w:rFonts w:cs="Arial"/>
        </w:rPr>
        <w:t xml:space="preserve"> driving </w:t>
      </w:r>
      <w:r w:rsidR="00E06D38" w:rsidRPr="000638E8">
        <w:rPr>
          <w:rFonts w:cs="Arial"/>
        </w:rPr>
        <w:t>behavior</w:t>
      </w:r>
      <w:r w:rsidRPr="000638E8">
        <w:rPr>
          <w:rFonts w:cs="Arial"/>
        </w:rPr>
        <w:t xml:space="preserve">. </w:t>
      </w:r>
    </w:p>
    <w:p w:rsidR="00487FC6" w:rsidRDefault="00487FC6" w:rsidP="00995E2B">
      <w:pPr>
        <w:jc w:val="both"/>
        <w:rPr>
          <w:rFonts w:cs="Arial"/>
        </w:rPr>
      </w:pPr>
      <w:r>
        <w:rPr>
          <w:rFonts w:cs="Arial"/>
        </w:rPr>
        <w:t>National research has found that, for unlicensed drivers to which vehicle sanctions were applied, the majority (62.5 per cent) were driving their own vehicle. A further 11.4 per cent were driving a vehicle owned by a family member. (See Figure 7).</w:t>
      </w:r>
    </w:p>
    <w:p w:rsidR="006C1805" w:rsidRDefault="006C1805" w:rsidP="00DE1339">
      <w:pPr>
        <w:spacing w:after="0"/>
        <w:jc w:val="both"/>
        <w:rPr>
          <w:rFonts w:cs="Arial"/>
        </w:rPr>
      </w:pPr>
      <w:r w:rsidRPr="006C1805">
        <w:rPr>
          <w:rFonts w:cs="Arial"/>
          <w:noProof/>
          <w:lang w:val="en-AU" w:eastAsia="en-AU" w:bidi="ar-SA"/>
        </w:rPr>
        <w:drawing>
          <wp:inline distT="0" distB="0" distL="0" distR="0">
            <wp:extent cx="4680000" cy="2163092"/>
            <wp:effectExtent l="0" t="38100" r="101550" b="27658"/>
            <wp:docPr id="22"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AE3440" w:rsidRDefault="00AE3440" w:rsidP="00DE1339">
      <w:pPr>
        <w:spacing w:after="0"/>
        <w:jc w:val="both"/>
        <w:rPr>
          <w:rFonts w:cs="Arial"/>
          <w:i/>
        </w:rPr>
      </w:pPr>
      <w:r w:rsidRPr="001B3481">
        <w:rPr>
          <w:rFonts w:cs="Arial"/>
          <w:i/>
        </w:rPr>
        <w:t xml:space="preserve">Figure </w:t>
      </w:r>
      <w:r w:rsidR="00DE1339">
        <w:rPr>
          <w:rFonts w:cs="Arial"/>
          <w:i/>
        </w:rPr>
        <w:t>9</w:t>
      </w:r>
      <w:r w:rsidR="00632B37">
        <w:rPr>
          <w:rFonts w:cs="Arial"/>
          <w:i/>
        </w:rPr>
        <w:t xml:space="preserve">: Vehicle sanctions prove </w:t>
      </w:r>
      <w:r w:rsidRPr="001B3481">
        <w:rPr>
          <w:rFonts w:cs="Arial"/>
          <w:i/>
        </w:rPr>
        <w:t xml:space="preserve">effective, 62.5% of </w:t>
      </w:r>
      <w:r w:rsidR="00FD5731">
        <w:rPr>
          <w:rFonts w:cs="Arial"/>
          <w:i/>
        </w:rPr>
        <w:t>unlicensed</w:t>
      </w:r>
      <w:r w:rsidRPr="001B3481">
        <w:rPr>
          <w:rFonts w:cs="Arial"/>
          <w:i/>
        </w:rPr>
        <w:t xml:space="preserve"> drivers</w:t>
      </w:r>
      <w:r w:rsidR="007D7321">
        <w:rPr>
          <w:rFonts w:cs="Arial"/>
          <w:i/>
        </w:rPr>
        <w:t xml:space="preserve"> were driving their own vehicle (National research). </w:t>
      </w:r>
    </w:p>
    <w:p w:rsidR="00DE1339" w:rsidRPr="001B3481" w:rsidRDefault="00DE1339" w:rsidP="00DE1339">
      <w:pPr>
        <w:spacing w:after="0"/>
        <w:jc w:val="both"/>
        <w:rPr>
          <w:rFonts w:cs="Arial"/>
          <w:i/>
        </w:rPr>
      </w:pPr>
    </w:p>
    <w:p w:rsidR="00AE3440" w:rsidRPr="000638E8" w:rsidRDefault="00AE3440" w:rsidP="00995E2B">
      <w:pPr>
        <w:jc w:val="both"/>
        <w:rPr>
          <w:rFonts w:cs="Arial"/>
        </w:rPr>
      </w:pPr>
      <w:r w:rsidRPr="000638E8">
        <w:rPr>
          <w:rFonts w:cs="Arial"/>
        </w:rPr>
        <w:t xml:space="preserve">Currently vehicle immobilisation or impoundment </w:t>
      </w:r>
      <w:r w:rsidR="008A72C2">
        <w:rPr>
          <w:rFonts w:cs="Arial"/>
        </w:rPr>
        <w:t>is</w:t>
      </w:r>
      <w:r w:rsidR="003D4990">
        <w:rPr>
          <w:rFonts w:cs="Arial"/>
        </w:rPr>
        <w:t xml:space="preserve"> applied </w:t>
      </w:r>
      <w:r w:rsidR="008A72C2">
        <w:rPr>
          <w:rFonts w:cs="Arial"/>
        </w:rPr>
        <w:t xml:space="preserve">in Tasmania </w:t>
      </w:r>
      <w:r w:rsidR="003D4990">
        <w:rPr>
          <w:rFonts w:cs="Arial"/>
        </w:rPr>
        <w:t xml:space="preserve">to those driving whilst </w:t>
      </w:r>
      <w:r w:rsidRPr="000638E8">
        <w:rPr>
          <w:rFonts w:cs="Arial"/>
        </w:rPr>
        <w:t>disqualified</w:t>
      </w:r>
      <w:r w:rsidR="003D4990">
        <w:rPr>
          <w:rFonts w:cs="Arial"/>
        </w:rPr>
        <w:t xml:space="preserve"> for a</w:t>
      </w:r>
      <w:r w:rsidR="00D02BD0">
        <w:rPr>
          <w:rFonts w:cs="Arial"/>
        </w:rPr>
        <w:t xml:space="preserve"> </w:t>
      </w:r>
      <w:r w:rsidR="003D4990">
        <w:rPr>
          <w:rFonts w:cs="Arial"/>
        </w:rPr>
        <w:t>second or subsequent offence</w:t>
      </w:r>
      <w:r w:rsidRPr="000638E8">
        <w:rPr>
          <w:rFonts w:cs="Arial"/>
        </w:rPr>
        <w:t>.  A</w:t>
      </w:r>
      <w:r w:rsidR="007D7321">
        <w:rPr>
          <w:rFonts w:cs="Arial"/>
        </w:rPr>
        <w:t xml:space="preserve"> second offence of driving whilst</w:t>
      </w:r>
      <w:r w:rsidRPr="000638E8">
        <w:rPr>
          <w:rFonts w:cs="Arial"/>
        </w:rPr>
        <w:t xml:space="preserve"> disqualified can result in a 28 day immobilisation or impoundment. For a third offence, the period is three months, and for a fourth offence, the vehicle is held until a court appearance, with vehicle forfeiture the likely result. </w:t>
      </w:r>
    </w:p>
    <w:p w:rsidR="00AE3440" w:rsidRPr="000638E8" w:rsidRDefault="00DE1339" w:rsidP="00995E2B">
      <w:pPr>
        <w:jc w:val="both"/>
        <w:rPr>
          <w:rFonts w:cs="Arial"/>
        </w:rPr>
      </w:pPr>
      <w:r>
        <w:rPr>
          <w:rFonts w:cs="Arial"/>
          <w:noProof/>
          <w:lang w:val="en-AU" w:eastAsia="en-AU" w:bidi="ar-SA"/>
        </w:rPr>
        <w:drawing>
          <wp:anchor distT="0" distB="0" distL="114300" distR="114300" simplePos="0" relativeHeight="251663360" behindDoc="0" locked="0" layoutInCell="1" allowOverlap="1">
            <wp:simplePos x="0" y="0"/>
            <wp:positionH relativeFrom="column">
              <wp:posOffset>34925</wp:posOffset>
            </wp:positionH>
            <wp:positionV relativeFrom="paragraph">
              <wp:posOffset>1202690</wp:posOffset>
            </wp:positionV>
            <wp:extent cx="4679950" cy="2154555"/>
            <wp:effectExtent l="0" t="19050" r="82550" b="55245"/>
            <wp:wrapTopAndBottom/>
            <wp:docPr id="2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anchor>
        </w:drawing>
      </w:r>
      <w:r w:rsidR="00AE3440" w:rsidRPr="000638E8">
        <w:rPr>
          <w:rFonts w:cs="Arial"/>
        </w:rPr>
        <w:t xml:space="preserve">In Tasmania, over a period of 17 months, there were 622 vehicles impounded and 1189 vehicles </w:t>
      </w:r>
      <w:r w:rsidR="00420BA5">
        <w:rPr>
          <w:rFonts w:cs="Arial"/>
        </w:rPr>
        <w:t xml:space="preserve">immobilized. Light vehicles accounted for </w:t>
      </w:r>
      <w:r w:rsidR="00AE3440" w:rsidRPr="000638E8">
        <w:rPr>
          <w:rFonts w:cs="Arial"/>
        </w:rPr>
        <w:t>89</w:t>
      </w:r>
      <w:r w:rsidR="00FD2A8A">
        <w:rPr>
          <w:rFonts w:cs="Arial"/>
        </w:rPr>
        <w:t xml:space="preserve"> per cent</w:t>
      </w:r>
      <w:r w:rsidR="00AE3440" w:rsidRPr="000638E8">
        <w:rPr>
          <w:rFonts w:cs="Arial"/>
        </w:rPr>
        <w:t xml:space="preserve"> of these and 10</w:t>
      </w:r>
      <w:r w:rsidR="00FD2A8A">
        <w:rPr>
          <w:rFonts w:cs="Arial"/>
        </w:rPr>
        <w:t xml:space="preserve"> per cent</w:t>
      </w:r>
      <w:r w:rsidR="00AE3440" w:rsidRPr="000638E8">
        <w:rPr>
          <w:rFonts w:cs="Arial"/>
        </w:rPr>
        <w:t xml:space="preserve"> were motorcycles.</w:t>
      </w:r>
      <w:r w:rsidR="00AE3440">
        <w:rPr>
          <w:rFonts w:cs="Arial"/>
        </w:rPr>
        <w:t xml:space="preserve">  </w:t>
      </w:r>
      <w:r w:rsidR="00AE3440" w:rsidRPr="000638E8">
        <w:rPr>
          <w:rFonts w:cs="Arial"/>
        </w:rPr>
        <w:t xml:space="preserve">The offence of driving while disqualified accounted for 130 impoundments (21%) and 334 immobilisations (28%). </w:t>
      </w:r>
      <w:r w:rsidR="00867B83">
        <w:rPr>
          <w:rFonts w:cs="Arial"/>
        </w:rPr>
        <w:t>Figure 10 below shows the total number of vehicle sanctions in Tasmania since 2007.</w:t>
      </w:r>
    </w:p>
    <w:p w:rsidR="007A7A66" w:rsidRPr="001B3481" w:rsidRDefault="007A7A66" w:rsidP="007A7A66">
      <w:pPr>
        <w:jc w:val="both"/>
        <w:rPr>
          <w:rFonts w:cs="Arial"/>
          <w:i/>
        </w:rPr>
      </w:pPr>
      <w:r w:rsidRPr="001B3481">
        <w:rPr>
          <w:rFonts w:cs="Arial"/>
          <w:i/>
        </w:rPr>
        <w:t xml:space="preserve">Figure </w:t>
      </w:r>
      <w:r w:rsidR="00DE1339">
        <w:rPr>
          <w:rFonts w:cs="Arial"/>
          <w:i/>
        </w:rPr>
        <w:t>10</w:t>
      </w:r>
      <w:r w:rsidRPr="001B3481">
        <w:rPr>
          <w:rFonts w:cs="Arial"/>
          <w:i/>
        </w:rPr>
        <w:t xml:space="preserve">: </w:t>
      </w:r>
      <w:r>
        <w:rPr>
          <w:rFonts w:cs="Arial"/>
          <w:i/>
        </w:rPr>
        <w:t>The number of vehicles clamped or impounded by police is growing each year.</w:t>
      </w:r>
    </w:p>
    <w:p w:rsidR="00AE3440" w:rsidRPr="00DE1339" w:rsidRDefault="00AE3440" w:rsidP="00995E2B">
      <w:pPr>
        <w:pStyle w:val="Heading2"/>
        <w:jc w:val="both"/>
        <w:rPr>
          <w:caps w:val="0"/>
        </w:rPr>
      </w:pPr>
      <w:r w:rsidRPr="00DE1339">
        <w:rPr>
          <w:caps w:val="0"/>
        </w:rPr>
        <w:t>Imprisonment</w:t>
      </w:r>
    </w:p>
    <w:p w:rsidR="00AE3440" w:rsidRPr="000638E8" w:rsidRDefault="00AE3440" w:rsidP="00995E2B">
      <w:pPr>
        <w:jc w:val="both"/>
        <w:rPr>
          <w:rFonts w:cs="Arial"/>
        </w:rPr>
      </w:pPr>
      <w:r w:rsidRPr="000638E8">
        <w:rPr>
          <w:rFonts w:cs="Arial"/>
        </w:rPr>
        <w:t xml:space="preserve">Imprisonment is used as a punishment for the more serious </w:t>
      </w:r>
      <w:r w:rsidR="00FD5731">
        <w:rPr>
          <w:rFonts w:cs="Arial"/>
        </w:rPr>
        <w:t>unlicensed</w:t>
      </w:r>
      <w:r w:rsidRPr="000638E8">
        <w:rPr>
          <w:rFonts w:cs="Arial"/>
        </w:rPr>
        <w:t xml:space="preserve"> driving offenders. For the offence of driving without a licence, only Victoria, Northern Territory and Queensland provide for a possible prison term for all offenders. In the Australian Capital Territory, New South Wales, South Australia and Tasmania, it is only repeat offenders who risk imprisonment, while in New Zealand and Western Australia, imprisonment for not being </w:t>
      </w:r>
      <w:r w:rsidR="006B2D89">
        <w:rPr>
          <w:rFonts w:cs="Arial"/>
        </w:rPr>
        <w:t>licens</w:t>
      </w:r>
      <w:r w:rsidR="00E06D38">
        <w:rPr>
          <w:rFonts w:cs="Arial"/>
        </w:rPr>
        <w:t>e</w:t>
      </w:r>
      <w:r w:rsidRPr="000638E8">
        <w:rPr>
          <w:rFonts w:cs="Arial"/>
        </w:rPr>
        <w:t xml:space="preserve">d is not available as a penalty. </w:t>
      </w:r>
    </w:p>
    <w:p w:rsidR="00AE3440" w:rsidRPr="00DE1339" w:rsidRDefault="00AE3440" w:rsidP="00995E2B">
      <w:pPr>
        <w:pStyle w:val="Heading2"/>
        <w:jc w:val="both"/>
        <w:rPr>
          <w:caps w:val="0"/>
        </w:rPr>
      </w:pPr>
      <w:r w:rsidRPr="00DE1339">
        <w:rPr>
          <w:caps w:val="0"/>
        </w:rPr>
        <w:t>Better communication with drivers</w:t>
      </w:r>
    </w:p>
    <w:p w:rsidR="00AE3440" w:rsidRPr="00D02BD0" w:rsidRDefault="00AE3440" w:rsidP="00995E2B">
      <w:pPr>
        <w:jc w:val="both"/>
        <w:rPr>
          <w:rFonts w:cs="Arial"/>
          <w:i/>
        </w:rPr>
      </w:pPr>
      <w:r w:rsidRPr="000638E8">
        <w:rPr>
          <w:rFonts w:cs="Arial"/>
        </w:rPr>
        <w:t xml:space="preserve">A common claim by those detected driving </w:t>
      </w:r>
      <w:r w:rsidR="00FD5731">
        <w:rPr>
          <w:rFonts w:cs="Arial"/>
        </w:rPr>
        <w:t>unlicensed</w:t>
      </w:r>
      <w:r w:rsidRPr="000638E8">
        <w:rPr>
          <w:rFonts w:cs="Arial"/>
        </w:rPr>
        <w:t xml:space="preserve"> is that they are unaware that their licence has been cancelled or suspended. This primarily relates to licence suspensions occurring due to unpaid fines under the </w:t>
      </w:r>
      <w:r w:rsidRPr="00D02BD0">
        <w:rPr>
          <w:rFonts w:cs="Arial"/>
          <w:i/>
        </w:rPr>
        <w:t>Monetary Penalties Act.</w:t>
      </w:r>
    </w:p>
    <w:p w:rsidR="00AE3440" w:rsidRDefault="00AE3440" w:rsidP="00995E2B">
      <w:pPr>
        <w:jc w:val="both"/>
        <w:rPr>
          <w:rFonts w:cs="Arial"/>
        </w:rPr>
      </w:pPr>
      <w:r w:rsidRPr="000638E8">
        <w:rPr>
          <w:rFonts w:cs="Arial"/>
        </w:rPr>
        <w:t xml:space="preserve">A survey of 309 </w:t>
      </w:r>
      <w:r w:rsidR="00FD5731">
        <w:rPr>
          <w:rFonts w:cs="Arial"/>
        </w:rPr>
        <w:t>unlicensed</w:t>
      </w:r>
      <w:r w:rsidRPr="000638E8">
        <w:rPr>
          <w:rFonts w:cs="Arial"/>
        </w:rPr>
        <w:t xml:space="preserve"> driving offenders in Queensland found that 36</w:t>
      </w:r>
      <w:r w:rsidR="00FD2A8A">
        <w:rPr>
          <w:rFonts w:cs="Arial"/>
        </w:rPr>
        <w:t xml:space="preserve"> per cent</w:t>
      </w:r>
      <w:r w:rsidRPr="000638E8">
        <w:rPr>
          <w:rFonts w:cs="Arial"/>
        </w:rPr>
        <w:t xml:space="preserve"> of them were unaware that they were </w:t>
      </w:r>
      <w:r w:rsidR="00FD5731">
        <w:rPr>
          <w:rFonts w:cs="Arial"/>
        </w:rPr>
        <w:t>unlicensed</w:t>
      </w:r>
      <w:r w:rsidRPr="000638E8">
        <w:rPr>
          <w:rFonts w:cs="Arial"/>
        </w:rPr>
        <w:t>. Among drivers with cancelled licences, nearly 60</w:t>
      </w:r>
      <w:r w:rsidR="00FD2A8A">
        <w:rPr>
          <w:rFonts w:cs="Arial"/>
        </w:rPr>
        <w:t xml:space="preserve"> per cent</w:t>
      </w:r>
      <w:r w:rsidRPr="000638E8">
        <w:rPr>
          <w:rFonts w:cs="Arial"/>
        </w:rPr>
        <w:t xml:space="preserve"> claimed that they had not received notification in the mail, although some acknowledged that they had changed address.</w:t>
      </w:r>
    </w:p>
    <w:p w:rsidR="00AE3440" w:rsidRPr="000638E8" w:rsidRDefault="006B2D89" w:rsidP="00995E2B">
      <w:pPr>
        <w:jc w:val="both"/>
        <w:rPr>
          <w:rFonts w:cs="Arial"/>
        </w:rPr>
      </w:pPr>
      <w:r>
        <w:rPr>
          <w:rFonts w:cs="Arial"/>
        </w:rPr>
        <w:t>When</w:t>
      </w:r>
      <w:r w:rsidR="00AE3440" w:rsidRPr="000638E8">
        <w:rPr>
          <w:rFonts w:cs="Arial"/>
        </w:rPr>
        <w:t xml:space="preserve"> a driver claims no knowledge of a licence suspension, Magistrates have generally accepted this excuse, as it is plausible that suspension orders sent in the mail may not reach the drivers involved.</w:t>
      </w:r>
    </w:p>
    <w:p w:rsidR="00AE3440" w:rsidRPr="000638E8" w:rsidRDefault="00E21A4C" w:rsidP="00995E2B">
      <w:pPr>
        <w:jc w:val="both"/>
        <w:rPr>
          <w:rFonts w:cs="Arial"/>
        </w:rPr>
      </w:pPr>
      <w:r>
        <w:rPr>
          <w:rFonts w:cs="Arial"/>
        </w:rPr>
        <w:t>This has</w:t>
      </w:r>
      <w:r w:rsidR="00AE3440" w:rsidRPr="000638E8">
        <w:rPr>
          <w:rFonts w:cs="Arial"/>
        </w:rPr>
        <w:t xml:space="preserve"> lead to some jurisdictions, such as South Australia</w:t>
      </w:r>
      <w:r>
        <w:rPr>
          <w:rFonts w:cs="Arial"/>
        </w:rPr>
        <w:t>,</w:t>
      </w:r>
      <w:r w:rsidR="00AE3440" w:rsidRPr="000638E8">
        <w:rPr>
          <w:rFonts w:cs="Arial"/>
        </w:rPr>
        <w:t xml:space="preserve"> invoking ‘Proof of Service’ legislation. Proof of Service legislation requires that drivers sent suspension orders attend a licensing office in person and acknowledge that they have received the letter advising of the suspension. If a driver is not seen within a specified period of time, the Sheriff is dispatched to find the driver and inform him or her of the suspension. This has led to a marked increase in the proportion of drivers with suspended licences who come in to acknowledge a suspension (now 97%) and who can no longer claim ignorance if detected driving </w:t>
      </w:r>
      <w:r w:rsidR="00FD5731">
        <w:rPr>
          <w:rFonts w:cs="Arial"/>
        </w:rPr>
        <w:t>unlicensed</w:t>
      </w:r>
      <w:r w:rsidR="00AE3440" w:rsidRPr="000638E8">
        <w:rPr>
          <w:rFonts w:cs="Arial"/>
        </w:rPr>
        <w:t xml:space="preserve">. </w:t>
      </w:r>
    </w:p>
    <w:p w:rsidR="00AE3440" w:rsidRPr="00DE1339" w:rsidRDefault="00AE3440" w:rsidP="00995E2B">
      <w:pPr>
        <w:pStyle w:val="Heading2"/>
        <w:jc w:val="both"/>
        <w:rPr>
          <w:caps w:val="0"/>
        </w:rPr>
      </w:pPr>
      <w:r w:rsidRPr="00DE1339">
        <w:rPr>
          <w:caps w:val="0"/>
        </w:rPr>
        <w:t>Technology</w:t>
      </w:r>
    </w:p>
    <w:p w:rsidR="00AE3440" w:rsidRPr="000638E8" w:rsidRDefault="00AE3440" w:rsidP="00995E2B">
      <w:pPr>
        <w:jc w:val="both"/>
        <w:rPr>
          <w:rFonts w:cs="Arial"/>
        </w:rPr>
      </w:pPr>
      <w:r w:rsidRPr="000638E8">
        <w:rPr>
          <w:rFonts w:cs="Arial"/>
        </w:rPr>
        <w:t>Technological advancements provide opportunities to further reduc</w:t>
      </w:r>
      <w:r w:rsidR="00D02BD0">
        <w:rPr>
          <w:rFonts w:cs="Arial"/>
        </w:rPr>
        <w:t>e</w:t>
      </w:r>
      <w:r w:rsidRPr="000638E8">
        <w:rPr>
          <w:rFonts w:cs="Arial"/>
        </w:rPr>
        <w:t xml:space="preserve"> the incidence of </w:t>
      </w:r>
      <w:r w:rsidR="00FD5731">
        <w:rPr>
          <w:rFonts w:cs="Arial"/>
        </w:rPr>
        <w:t>unlicensed</w:t>
      </w:r>
      <w:r w:rsidRPr="000638E8">
        <w:rPr>
          <w:rFonts w:cs="Arial"/>
        </w:rPr>
        <w:t xml:space="preserve"> driving, however most initiatives are still cost prohibitive.</w:t>
      </w:r>
    </w:p>
    <w:p w:rsidR="00D02BD0" w:rsidRPr="006C0CA7" w:rsidRDefault="00AE3440" w:rsidP="00D02BD0">
      <w:pPr>
        <w:jc w:val="both"/>
        <w:rPr>
          <w:rFonts w:cs="Arial"/>
        </w:rPr>
      </w:pPr>
      <w:r w:rsidRPr="000638E8">
        <w:rPr>
          <w:rFonts w:cs="Arial"/>
        </w:rPr>
        <w:t xml:space="preserve">The use of electronic driver licences that double as an ignition key, has been suggested as </w:t>
      </w:r>
      <w:r w:rsidR="00202564">
        <w:rPr>
          <w:rFonts w:cs="Arial"/>
        </w:rPr>
        <w:t>an</w:t>
      </w:r>
      <w:r w:rsidRPr="000638E8">
        <w:rPr>
          <w:rFonts w:cs="Arial"/>
        </w:rPr>
        <w:t xml:space="preserve"> effective tool for reducing the incidence of </w:t>
      </w:r>
      <w:r w:rsidR="00FD5731">
        <w:rPr>
          <w:rFonts w:cs="Arial"/>
        </w:rPr>
        <w:t>unlicensed</w:t>
      </w:r>
      <w:r w:rsidRPr="000638E8">
        <w:rPr>
          <w:rFonts w:cs="Arial"/>
        </w:rPr>
        <w:t xml:space="preserve"> driving.</w:t>
      </w:r>
      <w:r w:rsidR="00FC3A4C">
        <w:rPr>
          <w:rFonts w:cs="Arial"/>
        </w:rPr>
        <w:t xml:space="preserve">  Trial outcomes will be monitored.  </w:t>
      </w:r>
    </w:p>
    <w:p w:rsidR="00AE3440" w:rsidRPr="000638E8" w:rsidRDefault="00BC0BEB" w:rsidP="00604159">
      <w:pPr>
        <w:pStyle w:val="Heading1"/>
        <w:jc w:val="both"/>
        <w:rPr>
          <w:lang w:val="en-AU" w:eastAsia="en-AU"/>
        </w:rPr>
      </w:pPr>
      <w:bookmarkStart w:id="8" w:name="_Toc341047898"/>
      <w:r>
        <w:rPr>
          <w:lang w:val="en-AU" w:eastAsia="en-AU"/>
        </w:rPr>
        <w:t>U</w:t>
      </w:r>
      <w:r w:rsidR="00520E0E">
        <w:rPr>
          <w:lang w:val="en-AU" w:eastAsia="en-AU"/>
        </w:rPr>
        <w:t xml:space="preserve">nlicensed </w:t>
      </w:r>
      <w:r>
        <w:rPr>
          <w:lang w:val="en-AU" w:eastAsia="en-AU"/>
        </w:rPr>
        <w:t>D</w:t>
      </w:r>
      <w:r w:rsidR="00520E0E">
        <w:rPr>
          <w:lang w:val="en-AU" w:eastAsia="en-AU"/>
        </w:rPr>
        <w:t xml:space="preserve">rivers in </w:t>
      </w:r>
      <w:r>
        <w:rPr>
          <w:lang w:val="en-AU" w:eastAsia="en-AU"/>
        </w:rPr>
        <w:t>C</w:t>
      </w:r>
      <w:r w:rsidR="00520E0E">
        <w:rPr>
          <w:lang w:val="en-AU" w:eastAsia="en-AU"/>
        </w:rPr>
        <w:t>rashes</w:t>
      </w:r>
      <w:bookmarkEnd w:id="8"/>
    </w:p>
    <w:p w:rsidR="00AE3440" w:rsidRPr="000638E8" w:rsidRDefault="00AE3440" w:rsidP="00995E2B">
      <w:pPr>
        <w:jc w:val="both"/>
      </w:pPr>
      <w:r w:rsidRPr="000638E8">
        <w:rPr>
          <w:rFonts w:cs="Arial"/>
          <w:color w:val="121212"/>
        </w:rPr>
        <w:t xml:space="preserve">The Australian Transport Council (ATC) </w:t>
      </w:r>
      <w:r w:rsidR="00BE459A">
        <w:rPr>
          <w:rFonts w:cs="Arial"/>
          <w:color w:val="121212"/>
        </w:rPr>
        <w:t>notes</w:t>
      </w:r>
      <w:r w:rsidRPr="000638E8">
        <w:rPr>
          <w:rFonts w:cs="Arial"/>
          <w:color w:val="121212"/>
        </w:rPr>
        <w:t xml:space="preserve"> that </w:t>
      </w:r>
      <w:r w:rsidRPr="000638E8">
        <w:t xml:space="preserve">being </w:t>
      </w:r>
      <w:r w:rsidR="00FD5731">
        <w:t>unlicensed</w:t>
      </w:r>
      <w:r w:rsidRPr="000638E8">
        <w:t xml:space="preserve"> does not imply that a driver is more likely to be involved in a crash.</w:t>
      </w:r>
      <w:r w:rsidR="00BE459A">
        <w:t xml:space="preserve"> The involvement in crashes relates more directly to other high risk behaviours, not simply an unlicensed status.  However, it is acknowledged that unlicensed drivers are involved in serious crashes,</w:t>
      </w:r>
      <w:r w:rsidRPr="000638E8">
        <w:t xml:space="preserve"> </w:t>
      </w:r>
      <w:r w:rsidR="00BE459A">
        <w:t xml:space="preserve">with </w:t>
      </w:r>
      <w:r w:rsidRPr="000638E8">
        <w:t xml:space="preserve">the </w:t>
      </w:r>
      <w:r w:rsidRPr="005407EF">
        <w:rPr>
          <w:rFonts w:cs="Arial"/>
          <w:i/>
        </w:rPr>
        <w:t>National</w:t>
      </w:r>
      <w:r w:rsidRPr="000638E8">
        <w:rPr>
          <w:rFonts w:cs="Arial"/>
        </w:rPr>
        <w:t xml:space="preserve"> </w:t>
      </w:r>
      <w:r w:rsidRPr="005407EF">
        <w:rPr>
          <w:rFonts w:cs="Arial"/>
          <w:i/>
        </w:rPr>
        <w:t>Road Safety Strategy 2011 – 2020</w:t>
      </w:r>
      <w:r w:rsidRPr="000638E8">
        <w:rPr>
          <w:rFonts w:cs="Arial"/>
        </w:rPr>
        <w:t xml:space="preserve"> </w:t>
      </w:r>
      <w:r w:rsidR="00BE459A">
        <w:rPr>
          <w:rFonts w:cs="Arial"/>
        </w:rPr>
        <w:t>identifying that</w:t>
      </w:r>
      <w:r w:rsidRPr="000638E8">
        <w:rPr>
          <w:rFonts w:cs="Arial"/>
        </w:rPr>
        <w:t xml:space="preserve"> </w:t>
      </w:r>
      <w:r w:rsidRPr="000638E8">
        <w:t xml:space="preserve">16 per cent of drivers involved in fatal crashes were </w:t>
      </w:r>
      <w:r w:rsidR="00FD5731">
        <w:t>unlicensed</w:t>
      </w:r>
      <w:r w:rsidRPr="000638E8">
        <w:t xml:space="preserve"> at the time. </w:t>
      </w:r>
    </w:p>
    <w:p w:rsidR="00AE3440" w:rsidRPr="000638E8" w:rsidRDefault="00AE3440" w:rsidP="00995E2B">
      <w:pPr>
        <w:jc w:val="both"/>
        <w:rPr>
          <w:rFonts w:cs="Arial"/>
        </w:rPr>
      </w:pPr>
      <w:r w:rsidRPr="000638E8">
        <w:rPr>
          <w:rFonts w:cs="Arial"/>
        </w:rPr>
        <w:t xml:space="preserve">A study by the Federal Office of Road Safety of coroners’ reports from 1992 to 1994 found that </w:t>
      </w:r>
      <w:r w:rsidR="00FD5731">
        <w:rPr>
          <w:rFonts w:cs="Arial"/>
        </w:rPr>
        <w:t>unlicensed</w:t>
      </w:r>
      <w:r w:rsidRPr="000638E8">
        <w:rPr>
          <w:rFonts w:cs="Arial"/>
        </w:rPr>
        <w:t xml:space="preserve"> drivers were more likely to be responsible for the fatal crash than their </w:t>
      </w:r>
      <w:r w:rsidR="007C5712">
        <w:rPr>
          <w:rFonts w:cs="Arial"/>
        </w:rPr>
        <w:t>license</w:t>
      </w:r>
      <w:r w:rsidR="007C5712" w:rsidRPr="000638E8">
        <w:rPr>
          <w:rFonts w:cs="Arial"/>
        </w:rPr>
        <w:t>d</w:t>
      </w:r>
      <w:r w:rsidRPr="000638E8">
        <w:rPr>
          <w:rFonts w:cs="Arial"/>
        </w:rPr>
        <w:t xml:space="preserve"> counterparts (77% versus 44%), as were </w:t>
      </w:r>
      <w:r w:rsidR="00FD5731">
        <w:rPr>
          <w:rFonts w:cs="Arial"/>
        </w:rPr>
        <w:t>unlicensed</w:t>
      </w:r>
      <w:r w:rsidRPr="000638E8">
        <w:rPr>
          <w:rFonts w:cs="Arial"/>
        </w:rPr>
        <w:t xml:space="preserve"> motorcyclists (87</w:t>
      </w:r>
      <w:r w:rsidR="005407EF">
        <w:rPr>
          <w:rFonts w:cs="Arial"/>
        </w:rPr>
        <w:t>%</w:t>
      </w:r>
      <w:r w:rsidRPr="000638E8">
        <w:rPr>
          <w:rFonts w:cs="Arial"/>
        </w:rPr>
        <w:t xml:space="preserve"> versus 59%). Overall, </w:t>
      </w:r>
      <w:r w:rsidR="00FD5731">
        <w:rPr>
          <w:rFonts w:cs="Arial"/>
        </w:rPr>
        <w:t>unlicensed</w:t>
      </w:r>
      <w:r w:rsidRPr="000638E8">
        <w:rPr>
          <w:rFonts w:cs="Arial"/>
        </w:rPr>
        <w:t xml:space="preserve"> drivers were seven times more likely to be at fault in a fatal crash. </w:t>
      </w:r>
    </w:p>
    <w:p w:rsidR="00AE3440" w:rsidRPr="000638E8" w:rsidRDefault="00AE3440" w:rsidP="00995E2B">
      <w:pPr>
        <w:jc w:val="both"/>
        <w:rPr>
          <w:rFonts w:cs="Arial"/>
        </w:rPr>
      </w:pPr>
      <w:r w:rsidRPr="000638E8">
        <w:rPr>
          <w:rFonts w:cs="Arial"/>
        </w:rPr>
        <w:t xml:space="preserve">Early research suggested that </w:t>
      </w:r>
      <w:r w:rsidR="00FD5731">
        <w:rPr>
          <w:rFonts w:cs="Arial"/>
        </w:rPr>
        <w:t>unlicensed</w:t>
      </w:r>
      <w:r w:rsidRPr="000638E8">
        <w:rPr>
          <w:rFonts w:cs="Arial"/>
        </w:rPr>
        <w:t xml:space="preserve"> drivers adopt safe driving practices in an attempt to avoid the attent</w:t>
      </w:r>
      <w:r w:rsidR="006B2D89">
        <w:rPr>
          <w:rFonts w:cs="Arial"/>
        </w:rPr>
        <w:t>ion of police. U</w:t>
      </w:r>
      <w:r w:rsidR="00FD5731">
        <w:rPr>
          <w:rFonts w:cs="Arial"/>
        </w:rPr>
        <w:t>nlicensed</w:t>
      </w:r>
      <w:r w:rsidRPr="000638E8">
        <w:rPr>
          <w:rFonts w:cs="Arial"/>
        </w:rPr>
        <w:t xml:space="preserve"> driver</w:t>
      </w:r>
      <w:r w:rsidR="006B2D89">
        <w:rPr>
          <w:rFonts w:cs="Arial"/>
        </w:rPr>
        <w:t>s may also</w:t>
      </w:r>
      <w:r w:rsidRPr="000638E8">
        <w:rPr>
          <w:rFonts w:cs="Arial"/>
        </w:rPr>
        <w:t xml:space="preserve"> </w:t>
      </w:r>
      <w:r w:rsidR="006B2D89">
        <w:rPr>
          <w:rFonts w:cs="Arial"/>
        </w:rPr>
        <w:t>place</w:t>
      </w:r>
      <w:r w:rsidRPr="000638E8">
        <w:rPr>
          <w:rFonts w:cs="Arial"/>
        </w:rPr>
        <w:t xml:space="preserve"> themselves in higher risk scenarios, for example travelling on unsealed roads in the dark. </w:t>
      </w:r>
    </w:p>
    <w:p w:rsidR="00AE3440" w:rsidRDefault="00AE3440" w:rsidP="00995E2B">
      <w:pPr>
        <w:jc w:val="both"/>
        <w:rPr>
          <w:rFonts w:cs="Arial"/>
        </w:rPr>
      </w:pPr>
      <w:r w:rsidRPr="000638E8">
        <w:rPr>
          <w:rFonts w:cs="Arial"/>
        </w:rPr>
        <w:t xml:space="preserve">There is now overwhelming evidence that </w:t>
      </w:r>
      <w:r w:rsidR="00FD5731">
        <w:rPr>
          <w:rFonts w:cs="Arial"/>
        </w:rPr>
        <w:t>unlicensed</w:t>
      </w:r>
      <w:r w:rsidRPr="000638E8">
        <w:rPr>
          <w:rFonts w:cs="Arial"/>
        </w:rPr>
        <w:t xml:space="preserve"> driving is synonymous with recidivist or other high risk </w:t>
      </w:r>
      <w:r w:rsidR="00E06D38" w:rsidRPr="000638E8">
        <w:rPr>
          <w:rFonts w:cs="Arial"/>
        </w:rPr>
        <w:t>behaviors</w:t>
      </w:r>
      <w:r w:rsidR="006B2D89">
        <w:rPr>
          <w:rFonts w:cs="Arial"/>
        </w:rPr>
        <w:t>.</w:t>
      </w:r>
      <w:r w:rsidRPr="000638E8">
        <w:rPr>
          <w:rFonts w:cs="Arial"/>
        </w:rPr>
        <w:t xml:space="preserve"> </w:t>
      </w:r>
      <w:r w:rsidR="006B2D89">
        <w:rPr>
          <w:rFonts w:cs="Arial"/>
        </w:rPr>
        <w:t xml:space="preserve"> High risk behavio</w:t>
      </w:r>
      <w:r w:rsidR="001F4921">
        <w:rPr>
          <w:rFonts w:cs="Arial"/>
        </w:rPr>
        <w:t>u</w:t>
      </w:r>
      <w:r w:rsidR="006B2D89">
        <w:rPr>
          <w:rFonts w:cs="Arial"/>
        </w:rPr>
        <w:t>rs account</w:t>
      </w:r>
      <w:r w:rsidRPr="000638E8">
        <w:rPr>
          <w:rFonts w:cs="Arial"/>
        </w:rPr>
        <w:t xml:space="preserve"> for approximately 5 to 20 per cent of fatal crashes throughout Australia.</w:t>
      </w:r>
    </w:p>
    <w:p w:rsidR="001F4921" w:rsidRPr="000638E8" w:rsidRDefault="000656A0" w:rsidP="00995E2B">
      <w:pPr>
        <w:jc w:val="both"/>
        <w:rPr>
          <w:rFonts w:cs="Arial"/>
        </w:rPr>
      </w:pPr>
      <w:r>
        <w:rPr>
          <w:rFonts w:cs="Arial"/>
        </w:rPr>
        <w:t xml:space="preserve">Some examples of unlicensed drivers in fatal crashes </w:t>
      </w:r>
      <w:r w:rsidR="00076F75">
        <w:rPr>
          <w:rFonts w:cs="Arial"/>
        </w:rPr>
        <w:t xml:space="preserve">throughout Australia </w:t>
      </w:r>
      <w:r>
        <w:rPr>
          <w:rFonts w:cs="Arial"/>
        </w:rPr>
        <w:t>are provided below</w:t>
      </w:r>
      <w:r w:rsidR="001F4921">
        <w:rPr>
          <w:rFonts w:cs="Arial"/>
        </w:rPr>
        <w:t>.</w:t>
      </w:r>
      <w:r>
        <w:rPr>
          <w:rFonts w:cs="Arial"/>
        </w:rPr>
        <w:t xml:space="preserve"> More detailed analysis of Tasmanian statistics follows.</w:t>
      </w:r>
    </w:p>
    <w:p w:rsidR="00AE3440" w:rsidRPr="00DE1339" w:rsidRDefault="00DE1339" w:rsidP="00995E2B">
      <w:pPr>
        <w:pStyle w:val="Heading2"/>
        <w:jc w:val="both"/>
        <w:rPr>
          <w:caps w:val="0"/>
        </w:rPr>
      </w:pPr>
      <w:r>
        <w:rPr>
          <w:caps w:val="0"/>
        </w:rPr>
        <w:t>Victoria</w:t>
      </w:r>
    </w:p>
    <w:p w:rsidR="00AE3440" w:rsidRPr="000638E8" w:rsidRDefault="00AE3440" w:rsidP="00995E2B">
      <w:pPr>
        <w:jc w:val="both"/>
        <w:rPr>
          <w:rFonts w:cs="Arial"/>
        </w:rPr>
      </w:pPr>
      <w:r w:rsidRPr="000638E8">
        <w:rPr>
          <w:rFonts w:cs="Arial"/>
        </w:rPr>
        <w:t>Between 2003 and 2007 less than 6.5</w:t>
      </w:r>
      <w:r w:rsidR="00FD2A8A">
        <w:rPr>
          <w:rFonts w:cs="Arial"/>
        </w:rPr>
        <w:t xml:space="preserve"> per cent</w:t>
      </w:r>
      <w:r w:rsidRPr="000638E8">
        <w:rPr>
          <w:rFonts w:cs="Arial"/>
        </w:rPr>
        <w:t xml:space="preserve"> of drivers involved i</w:t>
      </w:r>
      <w:r>
        <w:rPr>
          <w:rFonts w:cs="Arial"/>
        </w:rPr>
        <w:t xml:space="preserve">n fatal crashes were </w:t>
      </w:r>
      <w:r w:rsidR="00FD5731">
        <w:rPr>
          <w:rFonts w:cs="Arial"/>
        </w:rPr>
        <w:t>unlicensed</w:t>
      </w:r>
      <w:r w:rsidR="00D4096D">
        <w:rPr>
          <w:rFonts w:cs="Arial"/>
        </w:rPr>
        <w:t>. Within this group:</w:t>
      </w:r>
    </w:p>
    <w:p w:rsidR="00AE3440" w:rsidRDefault="00AE3440" w:rsidP="0067514C">
      <w:pPr>
        <w:numPr>
          <w:ilvl w:val="0"/>
          <w:numId w:val="5"/>
        </w:numPr>
        <w:ind w:left="426"/>
        <w:jc w:val="both"/>
        <w:rPr>
          <w:rFonts w:cs="Arial"/>
        </w:rPr>
      </w:pPr>
      <w:r w:rsidRPr="00271379">
        <w:rPr>
          <w:rFonts w:cs="Arial"/>
        </w:rPr>
        <w:t>Disquali</w:t>
      </w:r>
      <w:r>
        <w:rPr>
          <w:rFonts w:cs="Arial"/>
        </w:rPr>
        <w:t>fied drivers accounted for 2.6</w:t>
      </w:r>
      <w:r w:rsidR="00FD2A8A">
        <w:rPr>
          <w:rFonts w:cs="Arial"/>
        </w:rPr>
        <w:t xml:space="preserve"> per cent</w:t>
      </w:r>
      <w:r w:rsidR="00D4096D">
        <w:rPr>
          <w:rFonts w:cs="Arial"/>
        </w:rPr>
        <w:t>;</w:t>
      </w:r>
    </w:p>
    <w:p w:rsidR="00AE3440" w:rsidRPr="00271379" w:rsidRDefault="00AE3440" w:rsidP="0067514C">
      <w:pPr>
        <w:numPr>
          <w:ilvl w:val="0"/>
          <w:numId w:val="5"/>
        </w:numPr>
        <w:ind w:left="426"/>
        <w:jc w:val="both"/>
        <w:rPr>
          <w:rFonts w:cs="Arial"/>
        </w:rPr>
      </w:pPr>
      <w:r w:rsidRPr="00271379">
        <w:rPr>
          <w:rFonts w:cs="Arial"/>
        </w:rPr>
        <w:t>A further 3.6</w:t>
      </w:r>
      <w:r w:rsidR="00FD2A8A">
        <w:rPr>
          <w:rFonts w:cs="Arial"/>
        </w:rPr>
        <w:t xml:space="preserve"> per cent</w:t>
      </w:r>
      <w:r w:rsidRPr="00271379">
        <w:rPr>
          <w:rFonts w:cs="Arial"/>
        </w:rPr>
        <w:t xml:space="preserve"> had no record</w:t>
      </w:r>
      <w:r>
        <w:rPr>
          <w:rFonts w:cs="Arial"/>
        </w:rPr>
        <w:t>ed information</w:t>
      </w:r>
      <w:r w:rsidRPr="00271379">
        <w:rPr>
          <w:rFonts w:cs="Arial"/>
        </w:rPr>
        <w:t xml:space="preserve">, presumably having never held a </w:t>
      </w:r>
      <w:r w:rsidR="00E06D38">
        <w:rPr>
          <w:rFonts w:cs="Arial"/>
        </w:rPr>
        <w:t>licence</w:t>
      </w:r>
      <w:r w:rsidR="00D4096D">
        <w:rPr>
          <w:rFonts w:cs="Arial"/>
        </w:rPr>
        <w:t>; and</w:t>
      </w:r>
    </w:p>
    <w:p w:rsidR="00AE3440" w:rsidRPr="000638E8" w:rsidRDefault="00AE3440" w:rsidP="0067514C">
      <w:pPr>
        <w:numPr>
          <w:ilvl w:val="0"/>
          <w:numId w:val="5"/>
        </w:numPr>
        <w:ind w:left="426"/>
        <w:jc w:val="both"/>
        <w:rPr>
          <w:rFonts w:cs="Arial"/>
        </w:rPr>
      </w:pPr>
      <w:r w:rsidRPr="000638E8">
        <w:rPr>
          <w:rFonts w:cs="Arial"/>
        </w:rPr>
        <w:t xml:space="preserve">The proportion of </w:t>
      </w:r>
      <w:r w:rsidR="00FD5731">
        <w:rPr>
          <w:rFonts w:cs="Arial"/>
        </w:rPr>
        <w:t>unlicensed</w:t>
      </w:r>
      <w:r w:rsidRPr="000638E8">
        <w:rPr>
          <w:rFonts w:cs="Arial"/>
        </w:rPr>
        <w:t xml:space="preserve"> motorcyclists involved </w:t>
      </w:r>
      <w:r w:rsidR="006B2D89">
        <w:rPr>
          <w:rFonts w:cs="Arial"/>
        </w:rPr>
        <w:t>in fatal crashes was more than double</w:t>
      </w:r>
      <w:r w:rsidRPr="000638E8">
        <w:rPr>
          <w:rFonts w:cs="Arial"/>
        </w:rPr>
        <w:t xml:space="preserve"> the rate of </w:t>
      </w:r>
      <w:r w:rsidR="00FD5731">
        <w:rPr>
          <w:rFonts w:cs="Arial"/>
        </w:rPr>
        <w:t>unlicensed</w:t>
      </w:r>
      <w:r w:rsidRPr="000638E8">
        <w:rPr>
          <w:rFonts w:cs="Arial"/>
        </w:rPr>
        <w:t xml:space="preserve"> drivers involved in fatal crashes. </w:t>
      </w:r>
    </w:p>
    <w:p w:rsidR="00AE3440" w:rsidRPr="00DE1339" w:rsidRDefault="00DE1339" w:rsidP="00995E2B">
      <w:pPr>
        <w:pStyle w:val="Heading2"/>
        <w:jc w:val="both"/>
        <w:rPr>
          <w:caps w:val="0"/>
        </w:rPr>
      </w:pPr>
      <w:r w:rsidRPr="00DE1339">
        <w:rPr>
          <w:caps w:val="0"/>
        </w:rPr>
        <w:t>Western Australia</w:t>
      </w:r>
    </w:p>
    <w:p w:rsidR="00AE3440" w:rsidRPr="000638E8" w:rsidRDefault="00AE3440" w:rsidP="00995E2B">
      <w:pPr>
        <w:jc w:val="both"/>
        <w:rPr>
          <w:rFonts w:cs="Arial"/>
        </w:rPr>
      </w:pPr>
      <w:r w:rsidRPr="000638E8">
        <w:rPr>
          <w:rFonts w:cs="Arial"/>
        </w:rPr>
        <w:t xml:space="preserve">Between 2003 and 2007 </w:t>
      </w:r>
      <w:r>
        <w:rPr>
          <w:rFonts w:cs="Arial"/>
        </w:rPr>
        <w:t>approximately</w:t>
      </w:r>
      <w:r w:rsidR="00C46BB7">
        <w:rPr>
          <w:rFonts w:cs="Arial"/>
        </w:rPr>
        <w:t xml:space="preserve"> 18</w:t>
      </w:r>
      <w:r w:rsidR="00FD2A8A">
        <w:rPr>
          <w:rFonts w:cs="Arial"/>
        </w:rPr>
        <w:t xml:space="preserve"> per cent</w:t>
      </w:r>
      <w:r w:rsidRPr="000638E8">
        <w:rPr>
          <w:rFonts w:cs="Arial"/>
        </w:rPr>
        <w:t xml:space="preserve"> of drivers involved i</w:t>
      </w:r>
      <w:r>
        <w:rPr>
          <w:rFonts w:cs="Arial"/>
        </w:rPr>
        <w:t xml:space="preserve">n fatal crashes were </w:t>
      </w:r>
      <w:r w:rsidR="00FD5731">
        <w:rPr>
          <w:rFonts w:cs="Arial"/>
        </w:rPr>
        <w:t>unlicensed</w:t>
      </w:r>
      <w:r w:rsidR="00F81BF1">
        <w:rPr>
          <w:rFonts w:cs="Arial"/>
        </w:rPr>
        <w:t>, of these:</w:t>
      </w:r>
    </w:p>
    <w:p w:rsidR="00AE3440" w:rsidRDefault="00AE3440" w:rsidP="0067514C">
      <w:pPr>
        <w:numPr>
          <w:ilvl w:val="0"/>
          <w:numId w:val="6"/>
        </w:numPr>
        <w:ind w:left="426"/>
        <w:jc w:val="both"/>
        <w:rPr>
          <w:rFonts w:cs="Arial"/>
        </w:rPr>
      </w:pPr>
      <w:r w:rsidRPr="000638E8">
        <w:rPr>
          <w:rFonts w:cs="Arial"/>
        </w:rPr>
        <w:t>11.4</w:t>
      </w:r>
      <w:r w:rsidR="00FD2A8A">
        <w:rPr>
          <w:rFonts w:cs="Arial"/>
        </w:rPr>
        <w:t xml:space="preserve"> per cent</w:t>
      </w:r>
      <w:r w:rsidRPr="000638E8">
        <w:rPr>
          <w:rFonts w:cs="Arial"/>
        </w:rPr>
        <w:t xml:space="preserve"> </w:t>
      </w:r>
      <w:r>
        <w:rPr>
          <w:rFonts w:cs="Arial"/>
        </w:rPr>
        <w:t>were driving under a current cancellation,</w:t>
      </w:r>
      <w:r w:rsidR="00F81BF1">
        <w:rPr>
          <w:rFonts w:cs="Arial"/>
        </w:rPr>
        <w:t xml:space="preserve"> suspension of disqualification; and</w:t>
      </w:r>
    </w:p>
    <w:p w:rsidR="00AE3440" w:rsidRPr="000638E8" w:rsidRDefault="00AE3440" w:rsidP="0067514C">
      <w:pPr>
        <w:numPr>
          <w:ilvl w:val="0"/>
          <w:numId w:val="6"/>
        </w:numPr>
        <w:ind w:left="426"/>
        <w:jc w:val="both"/>
        <w:rPr>
          <w:rFonts w:cs="Arial"/>
        </w:rPr>
      </w:pPr>
      <w:r w:rsidRPr="000638E8">
        <w:rPr>
          <w:rFonts w:cs="Arial"/>
        </w:rPr>
        <w:t>5.4</w:t>
      </w:r>
      <w:r w:rsidR="00FD2A8A">
        <w:rPr>
          <w:rFonts w:cs="Arial"/>
        </w:rPr>
        <w:t xml:space="preserve"> per cent</w:t>
      </w:r>
      <w:r w:rsidR="00F81BF1">
        <w:rPr>
          <w:rFonts w:cs="Arial"/>
        </w:rPr>
        <w:t xml:space="preserve"> had never held a licence</w:t>
      </w:r>
      <w:r>
        <w:rPr>
          <w:rFonts w:cs="Arial"/>
        </w:rPr>
        <w:t>.</w:t>
      </w:r>
    </w:p>
    <w:p w:rsidR="00AE3440" w:rsidRPr="00DE1339" w:rsidRDefault="00DE1339" w:rsidP="00995E2B">
      <w:pPr>
        <w:pStyle w:val="Heading2"/>
        <w:jc w:val="both"/>
        <w:rPr>
          <w:caps w:val="0"/>
        </w:rPr>
      </w:pPr>
      <w:r w:rsidRPr="00DE1339">
        <w:rPr>
          <w:caps w:val="0"/>
        </w:rPr>
        <w:t>South Australia</w:t>
      </w:r>
    </w:p>
    <w:p w:rsidR="00AE3440" w:rsidRDefault="00AE3440" w:rsidP="00995E2B">
      <w:pPr>
        <w:jc w:val="both"/>
        <w:rPr>
          <w:rFonts w:cs="Arial"/>
        </w:rPr>
      </w:pPr>
      <w:r w:rsidRPr="000638E8">
        <w:rPr>
          <w:rFonts w:cs="Arial"/>
        </w:rPr>
        <w:t>Between 2006 and 2010, 16</w:t>
      </w:r>
      <w:r w:rsidR="00FD2A8A">
        <w:rPr>
          <w:rFonts w:cs="Arial"/>
        </w:rPr>
        <w:t xml:space="preserve"> per cent</w:t>
      </w:r>
      <w:r w:rsidRPr="000638E8">
        <w:rPr>
          <w:rFonts w:cs="Arial"/>
        </w:rPr>
        <w:t xml:space="preserve"> of drivers involved i</w:t>
      </w:r>
      <w:r>
        <w:rPr>
          <w:rFonts w:cs="Arial"/>
        </w:rPr>
        <w:t xml:space="preserve">n fatal crashes were </w:t>
      </w:r>
      <w:r w:rsidR="00FD5731">
        <w:rPr>
          <w:rFonts w:cs="Arial"/>
        </w:rPr>
        <w:t>unlicensed</w:t>
      </w:r>
      <w:r>
        <w:rPr>
          <w:rFonts w:cs="Arial"/>
        </w:rPr>
        <w:t>, o</w:t>
      </w:r>
      <w:r w:rsidRPr="000638E8">
        <w:rPr>
          <w:rFonts w:cs="Arial"/>
        </w:rPr>
        <w:t>f these</w:t>
      </w:r>
      <w:r w:rsidR="00473437">
        <w:rPr>
          <w:rFonts w:cs="Arial"/>
        </w:rPr>
        <w:t>:</w:t>
      </w:r>
    </w:p>
    <w:p w:rsidR="00AE3440" w:rsidRPr="000638E8" w:rsidRDefault="00AE3440" w:rsidP="0067514C">
      <w:pPr>
        <w:numPr>
          <w:ilvl w:val="0"/>
          <w:numId w:val="7"/>
        </w:numPr>
        <w:ind w:left="426"/>
        <w:jc w:val="both"/>
        <w:rPr>
          <w:rFonts w:cs="Arial"/>
        </w:rPr>
      </w:pPr>
      <w:r w:rsidRPr="000638E8">
        <w:rPr>
          <w:rFonts w:cs="Arial"/>
        </w:rPr>
        <w:t>37</w:t>
      </w:r>
      <w:r w:rsidR="00FD2A8A">
        <w:rPr>
          <w:rFonts w:cs="Arial"/>
        </w:rPr>
        <w:t xml:space="preserve"> per cent</w:t>
      </w:r>
      <w:r w:rsidR="00473437">
        <w:rPr>
          <w:rFonts w:cs="Arial"/>
        </w:rPr>
        <w:t xml:space="preserve"> had never held a licence;</w:t>
      </w:r>
      <w:r w:rsidRPr="000638E8">
        <w:rPr>
          <w:rFonts w:cs="Arial"/>
        </w:rPr>
        <w:t xml:space="preserve"> </w:t>
      </w:r>
    </w:p>
    <w:p w:rsidR="00AE3440" w:rsidRPr="000638E8" w:rsidRDefault="00AE3440" w:rsidP="0067514C">
      <w:pPr>
        <w:numPr>
          <w:ilvl w:val="0"/>
          <w:numId w:val="7"/>
        </w:numPr>
        <w:ind w:left="426"/>
        <w:jc w:val="both"/>
        <w:rPr>
          <w:rFonts w:cs="Arial"/>
        </w:rPr>
      </w:pPr>
      <w:r w:rsidRPr="000638E8">
        <w:rPr>
          <w:rFonts w:cs="Arial"/>
        </w:rPr>
        <w:t>31</w:t>
      </w:r>
      <w:r w:rsidR="00FD2A8A">
        <w:rPr>
          <w:rFonts w:cs="Arial"/>
        </w:rPr>
        <w:t xml:space="preserve"> per cent</w:t>
      </w:r>
      <w:r w:rsidR="00473437">
        <w:rPr>
          <w:rFonts w:cs="Arial"/>
        </w:rPr>
        <w:t xml:space="preserve"> had an expired licence;</w:t>
      </w:r>
    </w:p>
    <w:p w:rsidR="00AE3440" w:rsidRPr="000638E8" w:rsidRDefault="00AE3440" w:rsidP="0067514C">
      <w:pPr>
        <w:numPr>
          <w:ilvl w:val="0"/>
          <w:numId w:val="7"/>
        </w:numPr>
        <w:ind w:left="426"/>
        <w:jc w:val="both"/>
        <w:rPr>
          <w:rFonts w:cs="Arial"/>
        </w:rPr>
      </w:pPr>
      <w:r w:rsidRPr="000638E8">
        <w:rPr>
          <w:rFonts w:cs="Arial"/>
        </w:rPr>
        <w:t>16</w:t>
      </w:r>
      <w:r w:rsidR="00FD2A8A">
        <w:rPr>
          <w:rFonts w:cs="Arial"/>
        </w:rPr>
        <w:t xml:space="preserve"> per cent</w:t>
      </w:r>
      <w:r w:rsidR="00473437">
        <w:rPr>
          <w:rFonts w:cs="Arial"/>
        </w:rPr>
        <w:t xml:space="preserve"> were disqualified;</w:t>
      </w:r>
      <w:r w:rsidRPr="000638E8">
        <w:rPr>
          <w:rFonts w:cs="Arial"/>
        </w:rPr>
        <w:t xml:space="preserve"> and </w:t>
      </w:r>
    </w:p>
    <w:p w:rsidR="00AE3440" w:rsidRPr="000638E8" w:rsidRDefault="00AE3440" w:rsidP="0067514C">
      <w:pPr>
        <w:numPr>
          <w:ilvl w:val="0"/>
          <w:numId w:val="7"/>
        </w:numPr>
        <w:ind w:left="426"/>
        <w:jc w:val="both"/>
        <w:rPr>
          <w:rFonts w:cs="Arial"/>
        </w:rPr>
      </w:pPr>
      <w:r w:rsidRPr="000638E8">
        <w:rPr>
          <w:rFonts w:cs="Arial"/>
        </w:rPr>
        <w:t>16</w:t>
      </w:r>
      <w:r w:rsidR="00FD2A8A">
        <w:rPr>
          <w:rFonts w:cs="Arial"/>
        </w:rPr>
        <w:t xml:space="preserve"> per cent</w:t>
      </w:r>
      <w:r w:rsidRPr="000638E8">
        <w:rPr>
          <w:rFonts w:cs="Arial"/>
        </w:rPr>
        <w:t xml:space="preserve"> were </w:t>
      </w:r>
      <w:r w:rsidR="00FD5731">
        <w:rPr>
          <w:rFonts w:cs="Arial"/>
        </w:rPr>
        <w:t>unlicensed</w:t>
      </w:r>
      <w:r w:rsidRPr="000638E8">
        <w:rPr>
          <w:rFonts w:cs="Arial"/>
        </w:rPr>
        <w:t xml:space="preserve"> for the type of vehicle they were using. </w:t>
      </w:r>
    </w:p>
    <w:p w:rsidR="00AE3440" w:rsidRPr="00DE1339" w:rsidRDefault="00AE3440" w:rsidP="00995E2B">
      <w:pPr>
        <w:pStyle w:val="Heading2"/>
        <w:jc w:val="both"/>
        <w:rPr>
          <w:caps w:val="0"/>
        </w:rPr>
      </w:pPr>
      <w:r w:rsidRPr="00DE1339">
        <w:rPr>
          <w:caps w:val="0"/>
        </w:rPr>
        <w:t>Q</w:t>
      </w:r>
      <w:r w:rsidR="00DE1339">
        <w:rPr>
          <w:caps w:val="0"/>
        </w:rPr>
        <w:t>ueensland</w:t>
      </w:r>
    </w:p>
    <w:p w:rsidR="00AE3440" w:rsidRDefault="007D7321" w:rsidP="00995E2B">
      <w:pPr>
        <w:jc w:val="both"/>
        <w:rPr>
          <w:rFonts w:cs="Arial"/>
        </w:rPr>
      </w:pPr>
      <w:r>
        <w:rPr>
          <w:rFonts w:cs="Arial"/>
        </w:rPr>
        <w:t>In c</w:t>
      </w:r>
      <w:r w:rsidR="00AE3440" w:rsidRPr="000638E8">
        <w:rPr>
          <w:rFonts w:cs="Arial"/>
        </w:rPr>
        <w:t>rash data from 2003 to 2008</w:t>
      </w:r>
      <w:r w:rsidR="00D26D99">
        <w:rPr>
          <w:rFonts w:cs="Arial"/>
        </w:rPr>
        <w:t>,</w:t>
      </w:r>
      <w:r w:rsidR="00495443">
        <w:rPr>
          <w:rFonts w:cs="Arial"/>
        </w:rPr>
        <w:t xml:space="preserve"> </w:t>
      </w:r>
      <w:r w:rsidR="00AE3440">
        <w:rPr>
          <w:rFonts w:cs="Arial"/>
        </w:rPr>
        <w:t xml:space="preserve">approximately </w:t>
      </w:r>
      <w:r w:rsidR="00E44368">
        <w:rPr>
          <w:rFonts w:cs="Arial"/>
        </w:rPr>
        <w:t>9</w:t>
      </w:r>
      <w:r w:rsidR="00FD2A8A">
        <w:rPr>
          <w:rFonts w:cs="Arial"/>
        </w:rPr>
        <w:t xml:space="preserve"> per cent</w:t>
      </w:r>
      <w:r w:rsidR="00AE3440" w:rsidRPr="000638E8">
        <w:rPr>
          <w:rFonts w:cs="Arial"/>
        </w:rPr>
        <w:t xml:space="preserve"> of drivers involved in fatal crashes were </w:t>
      </w:r>
      <w:r w:rsidR="00FD5731">
        <w:rPr>
          <w:rFonts w:cs="Arial"/>
        </w:rPr>
        <w:t>unlicensed</w:t>
      </w:r>
      <w:r w:rsidR="00AE3440">
        <w:rPr>
          <w:rFonts w:cs="Arial"/>
        </w:rPr>
        <w:t>, an increase of 1.4</w:t>
      </w:r>
      <w:r w:rsidR="00FD2A8A">
        <w:rPr>
          <w:rFonts w:cs="Arial"/>
        </w:rPr>
        <w:t xml:space="preserve"> per cent</w:t>
      </w:r>
      <w:r w:rsidR="00AE3440">
        <w:rPr>
          <w:rFonts w:cs="Arial"/>
        </w:rPr>
        <w:t xml:space="preserve"> from the previous four years.</w:t>
      </w:r>
    </w:p>
    <w:p w:rsidR="00AE3440" w:rsidRPr="000638E8" w:rsidRDefault="00AE3440" w:rsidP="00995E2B">
      <w:pPr>
        <w:jc w:val="both"/>
        <w:rPr>
          <w:rFonts w:cs="Arial"/>
        </w:rPr>
      </w:pPr>
      <w:r>
        <w:rPr>
          <w:rFonts w:cs="Arial"/>
        </w:rPr>
        <w:t>12</w:t>
      </w:r>
      <w:r w:rsidR="00FD2A8A">
        <w:rPr>
          <w:rFonts w:cs="Arial"/>
        </w:rPr>
        <w:t xml:space="preserve"> per cent</w:t>
      </w:r>
      <w:r>
        <w:rPr>
          <w:rFonts w:cs="Arial"/>
        </w:rPr>
        <w:t xml:space="preserve"> of motorcycle fatalities were </w:t>
      </w:r>
      <w:r w:rsidR="00FD5731">
        <w:rPr>
          <w:rFonts w:cs="Arial"/>
        </w:rPr>
        <w:t>unlicensed</w:t>
      </w:r>
      <w:r>
        <w:rPr>
          <w:rFonts w:cs="Arial"/>
        </w:rPr>
        <w:t xml:space="preserve">, with crashes </w:t>
      </w:r>
      <w:r w:rsidRPr="000638E8">
        <w:rPr>
          <w:rFonts w:cs="Arial"/>
        </w:rPr>
        <w:t xml:space="preserve">characterised by greater involvement of alcohol or drugs, speeding, inexperience and inattention. </w:t>
      </w:r>
    </w:p>
    <w:p w:rsidR="00AE3440" w:rsidRPr="000638E8" w:rsidRDefault="00AE3440" w:rsidP="00995E2B">
      <w:pPr>
        <w:jc w:val="both"/>
        <w:rPr>
          <w:rFonts w:cs="Arial"/>
        </w:rPr>
      </w:pPr>
      <w:r w:rsidRPr="000638E8">
        <w:rPr>
          <w:rFonts w:cs="Arial"/>
        </w:rPr>
        <w:t>Over 80</w:t>
      </w:r>
      <w:r w:rsidR="00FD2A8A">
        <w:rPr>
          <w:rFonts w:cs="Arial"/>
        </w:rPr>
        <w:t xml:space="preserve"> per cent</w:t>
      </w:r>
      <w:r w:rsidRPr="000638E8">
        <w:rPr>
          <w:rFonts w:cs="Arial"/>
        </w:rPr>
        <w:t xml:space="preserve"> of motorcyclists involved in serious injury crashes who had never been </w:t>
      </w:r>
      <w:r w:rsidR="007C5712">
        <w:rPr>
          <w:rFonts w:cs="Arial"/>
        </w:rPr>
        <w:t>license</w:t>
      </w:r>
      <w:r w:rsidR="007C5712" w:rsidRPr="000638E8">
        <w:rPr>
          <w:rFonts w:cs="Arial"/>
        </w:rPr>
        <w:t>d</w:t>
      </w:r>
      <w:r w:rsidRPr="000638E8">
        <w:rPr>
          <w:rFonts w:cs="Arial"/>
        </w:rPr>
        <w:t xml:space="preserve"> were aged under 17, the minimum age for obtaining a provisional licence in Queensland.</w:t>
      </w:r>
      <w:r w:rsidRPr="000638E8">
        <w:rPr>
          <w:rStyle w:val="FootnoteReference"/>
          <w:rFonts w:cs="Arial"/>
        </w:rPr>
        <w:t xml:space="preserve"> </w:t>
      </w:r>
    </w:p>
    <w:p w:rsidR="00AE3440" w:rsidRPr="00DE1339" w:rsidRDefault="00DE1339" w:rsidP="00995E2B">
      <w:pPr>
        <w:pStyle w:val="Heading2"/>
        <w:jc w:val="both"/>
        <w:rPr>
          <w:caps w:val="0"/>
        </w:rPr>
      </w:pPr>
      <w:r>
        <w:rPr>
          <w:caps w:val="0"/>
        </w:rPr>
        <w:t>Tasmania</w:t>
      </w:r>
    </w:p>
    <w:p w:rsidR="00495443" w:rsidRDefault="00495443" w:rsidP="00495443">
      <w:pPr>
        <w:jc w:val="both"/>
        <w:rPr>
          <w:rFonts w:cs="Arial"/>
        </w:rPr>
      </w:pPr>
      <w:r w:rsidRPr="000638E8">
        <w:rPr>
          <w:rFonts w:cs="Arial"/>
        </w:rPr>
        <w:t>Crash data from 20</w:t>
      </w:r>
      <w:r>
        <w:rPr>
          <w:rFonts w:cs="Arial"/>
        </w:rPr>
        <w:t>11</w:t>
      </w:r>
      <w:r w:rsidRPr="000638E8">
        <w:rPr>
          <w:rFonts w:cs="Arial"/>
        </w:rPr>
        <w:t xml:space="preserve"> </w:t>
      </w:r>
      <w:r w:rsidR="00980405">
        <w:rPr>
          <w:rFonts w:cs="Arial"/>
        </w:rPr>
        <w:t>shows</w:t>
      </w:r>
      <w:r>
        <w:rPr>
          <w:rFonts w:cs="Arial"/>
        </w:rPr>
        <w:t xml:space="preserve"> approximately </w:t>
      </w:r>
      <w:r w:rsidR="00980405">
        <w:rPr>
          <w:rFonts w:cs="Arial"/>
        </w:rPr>
        <w:t>10</w:t>
      </w:r>
      <w:r w:rsidR="00FD2A8A">
        <w:rPr>
          <w:rFonts w:cs="Arial"/>
        </w:rPr>
        <w:t xml:space="preserve"> per cent</w:t>
      </w:r>
      <w:r w:rsidRPr="000638E8">
        <w:rPr>
          <w:rFonts w:cs="Arial"/>
        </w:rPr>
        <w:t xml:space="preserve"> of drivers involved in fatal crashes were </w:t>
      </w:r>
      <w:r w:rsidR="00FD5731">
        <w:rPr>
          <w:rFonts w:cs="Arial"/>
        </w:rPr>
        <w:t>unlicensed</w:t>
      </w:r>
      <w:r>
        <w:rPr>
          <w:rFonts w:cs="Arial"/>
        </w:rPr>
        <w:t>, lower than the national average of 16 per cent.</w:t>
      </w:r>
      <w:r w:rsidR="00E416CA">
        <w:rPr>
          <w:rFonts w:cs="Arial"/>
        </w:rPr>
        <w:t xml:space="preserve"> Figure 11 below shows the number of unlicensed drivers (and riders) involved in serious and fatal crashes</w:t>
      </w:r>
      <w:r w:rsidR="00E416CA" w:rsidRPr="00FC3A4C">
        <w:rPr>
          <w:rFonts w:cs="Arial"/>
        </w:rPr>
        <w:t>.</w:t>
      </w:r>
      <w:r w:rsidR="00A63248" w:rsidRPr="00FC3A4C">
        <w:rPr>
          <w:rFonts w:cs="Arial"/>
        </w:rPr>
        <w:t xml:space="preserve"> </w:t>
      </w:r>
    </w:p>
    <w:p w:rsidR="00AE3440" w:rsidRDefault="00F82F3D" w:rsidP="00495443">
      <w:pPr>
        <w:spacing w:after="0"/>
      </w:pPr>
      <w:r w:rsidRPr="00F82F3D">
        <w:rPr>
          <w:noProof/>
          <w:lang w:val="en-AU" w:eastAsia="en-AU" w:bidi="ar-SA"/>
        </w:rPr>
        <w:drawing>
          <wp:inline distT="0" distB="0" distL="0" distR="0">
            <wp:extent cx="5400000" cy="2150886"/>
            <wp:effectExtent l="0" t="19050" r="67350" b="58914"/>
            <wp:docPr id="37"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DE1339" w:rsidRDefault="00DE1339" w:rsidP="00495443">
      <w:pPr>
        <w:spacing w:after="0"/>
        <w:rPr>
          <w:i/>
        </w:rPr>
      </w:pPr>
      <w:r w:rsidRPr="00DE1339">
        <w:rPr>
          <w:i/>
        </w:rPr>
        <w:t>Figure 11</w:t>
      </w:r>
      <w:r w:rsidR="00013CB0">
        <w:rPr>
          <w:i/>
        </w:rPr>
        <w:t>:</w:t>
      </w:r>
      <w:r w:rsidRPr="00DE1339">
        <w:rPr>
          <w:i/>
        </w:rPr>
        <w:t xml:space="preserve"> The number of </w:t>
      </w:r>
      <w:r w:rsidR="00FD5731">
        <w:rPr>
          <w:i/>
        </w:rPr>
        <w:t>unlicensed</w:t>
      </w:r>
      <w:r w:rsidRPr="00DE1339">
        <w:rPr>
          <w:i/>
        </w:rPr>
        <w:t xml:space="preserve"> drivers in fatal and serious crashes from 1998 </w:t>
      </w:r>
      <w:r w:rsidR="00D07B2E">
        <w:rPr>
          <w:i/>
        </w:rPr>
        <w:t>–</w:t>
      </w:r>
      <w:r w:rsidRPr="00DE1339">
        <w:rPr>
          <w:i/>
        </w:rPr>
        <w:t xml:space="preserve"> 2011</w:t>
      </w:r>
    </w:p>
    <w:p w:rsidR="00D07B2E" w:rsidRDefault="00D07B2E" w:rsidP="00495443">
      <w:pPr>
        <w:spacing w:after="0"/>
        <w:rPr>
          <w:i/>
        </w:rPr>
      </w:pPr>
    </w:p>
    <w:p w:rsidR="00D07B2E" w:rsidRDefault="005443C9" w:rsidP="00D07B2E">
      <w:pPr>
        <w:spacing w:after="0"/>
        <w:jc w:val="both"/>
        <w:rPr>
          <w:lang w:val="en-AU" w:eastAsia="en-AU" w:bidi="ar-SA"/>
        </w:rPr>
      </w:pPr>
      <w:r>
        <w:rPr>
          <w:lang w:val="en-AU" w:eastAsia="en-AU" w:bidi="ar-SA"/>
        </w:rPr>
        <w:t>When taking into account the total number of serious casualty crashes, a</w:t>
      </w:r>
      <w:r w:rsidR="00D07B2E">
        <w:rPr>
          <w:lang w:val="en-AU" w:eastAsia="en-AU" w:bidi="ar-SA"/>
        </w:rPr>
        <w:t>nalysis revealed</w:t>
      </w:r>
      <w:r>
        <w:rPr>
          <w:lang w:val="en-AU" w:eastAsia="en-AU" w:bidi="ar-SA"/>
        </w:rPr>
        <w:t xml:space="preserve"> that</w:t>
      </w:r>
      <w:r w:rsidR="00D07B2E">
        <w:rPr>
          <w:lang w:val="en-AU" w:eastAsia="en-AU" w:bidi="ar-SA"/>
        </w:rPr>
        <w:t xml:space="preserve"> </w:t>
      </w:r>
      <w:r w:rsidR="00FD5731">
        <w:rPr>
          <w:lang w:val="en-AU" w:eastAsia="en-AU" w:bidi="ar-SA"/>
        </w:rPr>
        <w:t>unlicensed</w:t>
      </w:r>
      <w:r w:rsidR="00D07B2E">
        <w:rPr>
          <w:lang w:val="en-AU" w:eastAsia="en-AU" w:bidi="ar-SA"/>
        </w:rPr>
        <w:t xml:space="preserve"> drivers repres</w:t>
      </w:r>
      <w:r w:rsidR="00255B31">
        <w:rPr>
          <w:lang w:val="en-AU" w:eastAsia="en-AU" w:bidi="ar-SA"/>
        </w:rPr>
        <w:t>ent</w:t>
      </w:r>
      <w:r w:rsidR="00D07B2E">
        <w:rPr>
          <w:lang w:val="en-AU" w:eastAsia="en-AU" w:bidi="ar-SA"/>
        </w:rPr>
        <w:t xml:space="preserve"> a small percentage of drivers </w:t>
      </w:r>
      <w:r>
        <w:rPr>
          <w:lang w:val="en-AU" w:eastAsia="en-AU" w:bidi="ar-SA"/>
        </w:rPr>
        <w:t>involved in</w:t>
      </w:r>
      <w:r w:rsidR="00D07B2E">
        <w:rPr>
          <w:lang w:val="en-AU" w:eastAsia="en-AU" w:bidi="ar-SA"/>
        </w:rPr>
        <w:t xml:space="preserve"> serious casualty crashes, as depicted in figure 12. </w:t>
      </w:r>
    </w:p>
    <w:p w:rsidR="00AE3440" w:rsidRDefault="005B604E" w:rsidP="00D07B2E">
      <w:pPr>
        <w:pStyle w:val="Heading1"/>
        <w:spacing w:before="0"/>
        <w:jc w:val="both"/>
      </w:pPr>
      <w:r w:rsidRPr="005B604E">
        <w:rPr>
          <w:noProof/>
          <w:lang w:val="en-AU" w:eastAsia="en-AU" w:bidi="ar-SA"/>
        </w:rPr>
        <w:drawing>
          <wp:inline distT="0" distB="0" distL="0" distR="0">
            <wp:extent cx="4680000" cy="2155331"/>
            <wp:effectExtent l="0" t="19050" r="82500" b="54469"/>
            <wp:docPr id="38"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DE1339" w:rsidRDefault="00013CB0" w:rsidP="00D07B2E">
      <w:pPr>
        <w:spacing w:after="0"/>
        <w:rPr>
          <w:i/>
        </w:rPr>
      </w:pPr>
      <w:r w:rsidRPr="00013CB0">
        <w:rPr>
          <w:i/>
        </w:rPr>
        <w:t>Figure 12</w:t>
      </w:r>
      <w:r w:rsidRPr="00FC3A4C">
        <w:rPr>
          <w:i/>
        </w:rPr>
        <w:t xml:space="preserve">: </w:t>
      </w:r>
      <w:r w:rsidR="00FC3A4C" w:rsidRPr="00FC3A4C">
        <w:rPr>
          <w:i/>
        </w:rPr>
        <w:t>Proportion</w:t>
      </w:r>
      <w:r w:rsidRPr="00013CB0">
        <w:rPr>
          <w:i/>
        </w:rPr>
        <w:t xml:space="preserve"> of </w:t>
      </w:r>
      <w:r w:rsidR="00FD5731">
        <w:rPr>
          <w:i/>
        </w:rPr>
        <w:t>unlicensed</w:t>
      </w:r>
      <w:r w:rsidRPr="00013CB0">
        <w:rPr>
          <w:i/>
        </w:rPr>
        <w:t xml:space="preserve"> drivers</w:t>
      </w:r>
      <w:r>
        <w:rPr>
          <w:i/>
        </w:rPr>
        <w:t xml:space="preserve"> compared to correctly </w:t>
      </w:r>
      <w:r w:rsidR="007C5712">
        <w:rPr>
          <w:i/>
        </w:rPr>
        <w:t>licensed</w:t>
      </w:r>
      <w:r>
        <w:rPr>
          <w:i/>
        </w:rPr>
        <w:t xml:space="preserve"> drivers</w:t>
      </w:r>
      <w:r w:rsidRPr="00013CB0">
        <w:rPr>
          <w:i/>
        </w:rPr>
        <w:t xml:space="preserve"> involved in serious casualty crashes </w:t>
      </w:r>
    </w:p>
    <w:p w:rsidR="00992376" w:rsidRDefault="00992376" w:rsidP="00D07B2E">
      <w:pPr>
        <w:jc w:val="both"/>
        <w:rPr>
          <w:lang w:val="en-AU" w:eastAsia="en-AU" w:bidi="ar-SA"/>
        </w:rPr>
      </w:pPr>
    </w:p>
    <w:p w:rsidR="00D07B2E" w:rsidRDefault="00734841" w:rsidP="00D07B2E">
      <w:pPr>
        <w:jc w:val="both"/>
        <w:rPr>
          <w:lang w:val="en-AU" w:eastAsia="en-AU" w:bidi="ar-SA"/>
        </w:rPr>
      </w:pPr>
      <w:r>
        <w:rPr>
          <w:lang w:val="en-AU" w:eastAsia="en-AU" w:bidi="ar-SA"/>
        </w:rPr>
        <w:t>From a</w:t>
      </w:r>
      <w:r w:rsidR="00D07B2E">
        <w:rPr>
          <w:lang w:val="en-AU" w:eastAsia="en-AU" w:bidi="ar-SA"/>
        </w:rPr>
        <w:t xml:space="preserve"> random sample of </w:t>
      </w:r>
      <w:r>
        <w:rPr>
          <w:lang w:val="en-AU" w:eastAsia="en-AU" w:bidi="ar-SA"/>
        </w:rPr>
        <w:t xml:space="preserve">Tasmanian </w:t>
      </w:r>
      <w:r w:rsidR="00D07B2E">
        <w:rPr>
          <w:lang w:val="en-AU" w:eastAsia="en-AU" w:bidi="ar-SA"/>
        </w:rPr>
        <w:t>crash</w:t>
      </w:r>
      <w:r>
        <w:rPr>
          <w:lang w:val="en-AU" w:eastAsia="en-AU" w:bidi="ar-SA"/>
        </w:rPr>
        <w:t xml:space="preserve"> reports </w:t>
      </w:r>
      <w:r w:rsidR="00D07B2E">
        <w:rPr>
          <w:lang w:val="en-AU" w:eastAsia="en-AU" w:bidi="ar-SA"/>
        </w:rPr>
        <w:t xml:space="preserve">involving an </w:t>
      </w:r>
      <w:r w:rsidR="00FD5731">
        <w:rPr>
          <w:lang w:val="en-AU" w:eastAsia="en-AU" w:bidi="ar-SA"/>
        </w:rPr>
        <w:t>unlicensed</w:t>
      </w:r>
      <w:r w:rsidR="00D07B2E">
        <w:rPr>
          <w:lang w:val="en-AU" w:eastAsia="en-AU" w:bidi="ar-SA"/>
        </w:rPr>
        <w:t xml:space="preserve"> driver</w:t>
      </w:r>
      <w:r>
        <w:rPr>
          <w:lang w:val="en-AU" w:eastAsia="en-AU" w:bidi="ar-SA"/>
        </w:rPr>
        <w:t>, it was evident that</w:t>
      </w:r>
      <w:r w:rsidR="00D07B2E">
        <w:rPr>
          <w:lang w:val="en-AU" w:eastAsia="en-AU" w:bidi="ar-SA"/>
        </w:rPr>
        <w:t xml:space="preserve"> they were engaging in high </w:t>
      </w:r>
      <w:r w:rsidR="00D37183">
        <w:rPr>
          <w:lang w:val="en-AU" w:eastAsia="en-AU" w:bidi="ar-SA"/>
        </w:rPr>
        <w:t xml:space="preserve">risk behaviours </w:t>
      </w:r>
      <w:r w:rsidR="00D07B2E">
        <w:rPr>
          <w:lang w:val="en-AU" w:eastAsia="en-AU" w:bidi="ar-SA"/>
        </w:rPr>
        <w:t>at the time of incident</w:t>
      </w:r>
      <w:r w:rsidR="00D37183">
        <w:rPr>
          <w:lang w:val="en-AU" w:eastAsia="en-AU" w:bidi="ar-SA"/>
        </w:rPr>
        <w:t xml:space="preserve"> (crash factors such as speed, alcohol, non-use of restraints etc)</w:t>
      </w:r>
      <w:r w:rsidR="00D07B2E">
        <w:rPr>
          <w:lang w:val="en-AU" w:eastAsia="en-AU" w:bidi="ar-SA"/>
        </w:rPr>
        <w:t>.</w:t>
      </w:r>
    </w:p>
    <w:p w:rsidR="00594F49" w:rsidRDefault="00FD5731" w:rsidP="00594F49">
      <w:pPr>
        <w:jc w:val="both"/>
        <w:rPr>
          <w:lang w:val="en-AU" w:eastAsia="en-AU" w:bidi="ar-SA"/>
        </w:rPr>
      </w:pPr>
      <w:r>
        <w:rPr>
          <w:lang w:val="en-AU" w:eastAsia="en-AU" w:bidi="ar-SA"/>
        </w:rPr>
        <w:t>Unlicensed</w:t>
      </w:r>
      <w:r w:rsidR="00594F49">
        <w:rPr>
          <w:lang w:val="en-AU" w:eastAsia="en-AU" w:bidi="ar-SA"/>
        </w:rPr>
        <w:t xml:space="preserve"> motorcycle riders represented twice as many car drivers in crash statistics, once again they were engaging in high risk behaviours at the time of incident, as opposed to poor riding skills contributing to their crash outcome. </w:t>
      </w:r>
    </w:p>
    <w:p w:rsidR="00CA1C5B" w:rsidRDefault="00CA1C5B">
      <w:pPr>
        <w:rPr>
          <w:rFonts w:asciiTheme="minorHAnsi" w:hAnsiTheme="minorHAnsi"/>
          <w:b/>
          <w:bCs/>
          <w:i/>
          <w:caps/>
          <w:sz w:val="28"/>
          <w:szCs w:val="28"/>
        </w:rPr>
      </w:pPr>
      <w:bookmarkStart w:id="9" w:name="_Toc341047899"/>
      <w:r>
        <w:rPr>
          <w:i/>
        </w:rPr>
        <w:br w:type="page"/>
      </w:r>
    </w:p>
    <w:p w:rsidR="000637FB" w:rsidRPr="000637FB" w:rsidRDefault="00E24537" w:rsidP="006A525A">
      <w:pPr>
        <w:pStyle w:val="Heading1"/>
        <w:spacing w:before="240" w:after="120"/>
        <w:ind w:left="-567"/>
        <w:contextualSpacing w:val="0"/>
        <w:jc w:val="both"/>
        <w:rPr>
          <w:i/>
        </w:rPr>
      </w:pPr>
      <w:r>
        <w:rPr>
          <w:i/>
        </w:rPr>
        <w:t>UNREGISTERED VEHICLES</w:t>
      </w:r>
      <w:bookmarkEnd w:id="9"/>
    </w:p>
    <w:p w:rsidR="000637FB" w:rsidRPr="000637FB" w:rsidRDefault="00BC0BEB" w:rsidP="00604159">
      <w:pPr>
        <w:pStyle w:val="Heading1"/>
        <w:spacing w:before="240"/>
        <w:contextualSpacing w:val="0"/>
        <w:jc w:val="both"/>
      </w:pPr>
      <w:bookmarkStart w:id="10" w:name="_Toc341047900"/>
      <w:r>
        <w:t>W</w:t>
      </w:r>
      <w:r w:rsidR="000637FB">
        <w:t xml:space="preserve">hat </w:t>
      </w:r>
      <w:r>
        <w:t>i</w:t>
      </w:r>
      <w:r w:rsidR="000637FB">
        <w:t xml:space="preserve">s </w:t>
      </w:r>
      <w:r>
        <w:t>a</w:t>
      </w:r>
      <w:r w:rsidR="000637FB">
        <w:t xml:space="preserve">n </w:t>
      </w:r>
      <w:r>
        <w:t>u</w:t>
      </w:r>
      <w:r w:rsidR="000637FB">
        <w:t xml:space="preserve">nregistered </w:t>
      </w:r>
      <w:r>
        <w:t>v</w:t>
      </w:r>
      <w:r w:rsidR="000637FB">
        <w:t>ehicle?</w:t>
      </w:r>
      <w:bookmarkEnd w:id="10"/>
    </w:p>
    <w:p w:rsidR="00AE3440" w:rsidRDefault="00AE3440" w:rsidP="00995E2B">
      <w:pPr>
        <w:jc w:val="both"/>
      </w:pPr>
      <w:r w:rsidRPr="000638E8">
        <w:rPr>
          <w:bCs/>
        </w:rPr>
        <w:t>Vehicle registration</w:t>
      </w:r>
      <w:r w:rsidRPr="000638E8">
        <w:t xml:space="preserve"> </w:t>
      </w:r>
      <w:r>
        <w:t xml:space="preserve">is the administrative process of cataloguing vehicles in </w:t>
      </w:r>
      <w:r w:rsidR="005720FA">
        <w:t>a</w:t>
      </w:r>
      <w:r>
        <w:t xml:space="preserve"> jurisdiction, serving </w:t>
      </w:r>
      <w:r w:rsidR="005720FA">
        <w:t>three purposes:</w:t>
      </w:r>
      <w:r w:rsidRPr="000638E8">
        <w:t xml:space="preserve"> to establish ownership</w:t>
      </w:r>
      <w:r w:rsidR="005720FA">
        <w:t>;</w:t>
      </w:r>
      <w:r w:rsidRPr="000638E8">
        <w:t xml:space="preserve"> to tax motorists or vehicle owners</w:t>
      </w:r>
      <w:r w:rsidR="005720FA">
        <w:t>;</w:t>
      </w:r>
      <w:r w:rsidRPr="000638E8">
        <w:t xml:space="preserve"> and to regulate the payment of compulso</w:t>
      </w:r>
      <w:r w:rsidR="005720FA">
        <w:t>ry third party (CTP) insurance.</w:t>
      </w:r>
    </w:p>
    <w:p w:rsidR="00AE3440" w:rsidRDefault="00AE3440" w:rsidP="00995E2B">
      <w:pPr>
        <w:jc w:val="both"/>
      </w:pPr>
      <w:r>
        <w:t>The number of registered vehicles in Australia has continued to increase despite significant downward changes to the economy.  The Australian Bureau of Statistics recently released figures showing an annual average 3</w:t>
      </w:r>
      <w:r w:rsidR="00FD2A8A">
        <w:t xml:space="preserve"> per cent</w:t>
      </w:r>
      <w:r>
        <w:t xml:space="preserve"> growth in vehicle registrations across Australia.  </w:t>
      </w:r>
    </w:p>
    <w:tbl>
      <w:tblPr>
        <w:tblStyle w:val="LightList-Accent5"/>
        <w:tblpPr w:leftFromText="180" w:rightFromText="180" w:vertAnchor="text" w:horzAnchor="margin" w:tblpY="68"/>
        <w:tblW w:w="9230" w:type="dxa"/>
        <w:tblLook w:val="04A0"/>
      </w:tblPr>
      <w:tblGrid>
        <w:gridCol w:w="2551"/>
        <w:gridCol w:w="1247"/>
        <w:gridCol w:w="1247"/>
        <w:gridCol w:w="1247"/>
        <w:gridCol w:w="1020"/>
        <w:gridCol w:w="1020"/>
        <w:gridCol w:w="898"/>
      </w:tblGrid>
      <w:tr w:rsidR="00013CB0" w:rsidRPr="00733993" w:rsidTr="00013CB0">
        <w:trPr>
          <w:cnfStyle w:val="100000000000"/>
          <w:trHeight w:val="1020"/>
        </w:trPr>
        <w:tc>
          <w:tcPr>
            <w:cnfStyle w:val="001000000000"/>
            <w:tcW w:w="2551" w:type="dxa"/>
            <w:shd w:val="clear" w:color="auto" w:fill="B6DDE8" w:themeFill="accent5" w:themeFillTint="66"/>
            <w:noWrap/>
            <w:hideMark/>
          </w:tcPr>
          <w:p w:rsidR="00013CB0" w:rsidRPr="00B949CF" w:rsidRDefault="00013CB0" w:rsidP="00013CB0">
            <w:pPr>
              <w:jc w:val="both"/>
              <w:rPr>
                <w:rFonts w:asciiTheme="minorHAnsi" w:eastAsiaTheme="minorEastAsia" w:hAnsiTheme="minorHAnsi" w:cstheme="minorBidi"/>
                <w:color w:val="000000"/>
              </w:rPr>
            </w:pPr>
            <w:r w:rsidRPr="00B949CF">
              <w:rPr>
                <w:rFonts w:asciiTheme="minorHAnsi" w:eastAsiaTheme="minorEastAsia" w:hAnsiTheme="minorHAnsi" w:cstheme="minorBidi"/>
                <w:noProof/>
                <w:color w:val="000000"/>
                <w:lang w:val="en-AU" w:bidi="ar-SA"/>
              </w:rPr>
              <w:drawing>
                <wp:anchor distT="0" distB="0" distL="114300" distR="114300" simplePos="0" relativeHeight="251669504" behindDoc="0" locked="0" layoutInCell="1" allowOverlap="1">
                  <wp:simplePos x="0" y="0"/>
                  <wp:positionH relativeFrom="column">
                    <wp:posOffset>-9525</wp:posOffset>
                  </wp:positionH>
                  <wp:positionV relativeFrom="paragraph">
                    <wp:posOffset>638175</wp:posOffset>
                  </wp:positionV>
                  <wp:extent cx="19050" cy="28575"/>
                  <wp:effectExtent l="0" t="0" r="0" b="0"/>
                  <wp:wrapNone/>
                  <wp:docPr id="3" name="Picture 2"/>
                  <wp:cNvGraphicFramePr/>
                  <a:graphic xmlns:a="http://schemas.openxmlformats.org/drawingml/2006/main">
                    <a:graphicData uri="http://schemas.openxmlformats.org/drawingml/2006/picture">
                      <pic:pic xmlns:pic="http://schemas.openxmlformats.org/drawingml/2006/picture">
                        <pic:nvPicPr>
                          <pic:cNvPr id="7170" name="Picture 2" descr="http://www.abs.gov.au/icons/ecblank.gif"/>
                          <pic:cNvPicPr>
                            <a:picLocks noChangeAspect="1" noChangeArrowheads="1"/>
                          </pic:cNvPicPr>
                        </pic:nvPicPr>
                        <pic:blipFill>
                          <a:blip r:embed="rId36"/>
                          <a:srcRect/>
                          <a:stretch>
                            <a:fillRect/>
                          </a:stretch>
                        </pic:blipFill>
                        <pic:spPr bwMode="auto">
                          <a:xfrm>
                            <a:off x="0" y="0"/>
                            <a:ext cx="9525" cy="9525"/>
                          </a:xfrm>
                          <a:prstGeom prst="rect">
                            <a:avLst/>
                          </a:prstGeom>
                          <a:noFill/>
                        </pic:spPr>
                      </pic:pic>
                    </a:graphicData>
                  </a:graphic>
                </wp:anchor>
              </w:drawing>
            </w:r>
          </w:p>
          <w:p w:rsidR="00013CB0" w:rsidRPr="00B949CF" w:rsidRDefault="00013CB0" w:rsidP="00013CB0">
            <w:pPr>
              <w:jc w:val="both"/>
              <w:rPr>
                <w:rFonts w:asciiTheme="minorHAnsi" w:eastAsiaTheme="minorEastAsia" w:hAnsiTheme="minorHAnsi" w:cstheme="minorBidi"/>
                <w:color w:val="000000"/>
              </w:rPr>
            </w:pPr>
          </w:p>
        </w:tc>
        <w:tc>
          <w:tcPr>
            <w:tcW w:w="1247" w:type="dxa"/>
            <w:shd w:val="clear" w:color="auto" w:fill="B6DDE8" w:themeFill="accent5" w:themeFillTint="66"/>
            <w:vAlign w:val="center"/>
            <w:hideMark/>
          </w:tcPr>
          <w:p w:rsidR="00013CB0" w:rsidRPr="00B949CF" w:rsidRDefault="00013CB0" w:rsidP="00D93E7B">
            <w:pPr>
              <w:jc w:val="right"/>
              <w:cnfStyle w:val="100000000000"/>
              <w:rPr>
                <w:rFonts w:asciiTheme="minorHAnsi" w:eastAsiaTheme="minorEastAsia" w:hAnsiTheme="minorHAnsi" w:cstheme="minorBidi"/>
                <w:bCs w:val="0"/>
                <w:color w:val="000000"/>
              </w:rPr>
            </w:pPr>
            <w:r w:rsidRPr="00B949CF">
              <w:rPr>
                <w:rFonts w:asciiTheme="minorHAnsi" w:eastAsiaTheme="minorEastAsia" w:hAnsiTheme="minorHAnsi" w:cstheme="minorBidi"/>
                <w:bCs w:val="0"/>
                <w:color w:val="000000"/>
              </w:rPr>
              <w:t>2007</w:t>
            </w:r>
          </w:p>
        </w:tc>
        <w:tc>
          <w:tcPr>
            <w:tcW w:w="1247" w:type="dxa"/>
            <w:shd w:val="clear" w:color="auto" w:fill="B6DDE8" w:themeFill="accent5" w:themeFillTint="66"/>
            <w:vAlign w:val="center"/>
            <w:hideMark/>
          </w:tcPr>
          <w:p w:rsidR="00013CB0" w:rsidRPr="00B949CF" w:rsidRDefault="00013CB0" w:rsidP="00D93E7B">
            <w:pPr>
              <w:jc w:val="right"/>
              <w:cnfStyle w:val="100000000000"/>
              <w:rPr>
                <w:rFonts w:asciiTheme="minorHAnsi" w:eastAsiaTheme="minorEastAsia" w:hAnsiTheme="minorHAnsi" w:cstheme="minorBidi"/>
                <w:bCs w:val="0"/>
                <w:color w:val="000000"/>
              </w:rPr>
            </w:pPr>
            <w:r w:rsidRPr="00B949CF">
              <w:rPr>
                <w:rFonts w:asciiTheme="minorHAnsi" w:eastAsiaTheme="minorEastAsia" w:hAnsiTheme="minorHAnsi" w:cstheme="minorBidi"/>
                <w:bCs w:val="0"/>
                <w:color w:val="000000"/>
              </w:rPr>
              <w:t>2011</w:t>
            </w:r>
          </w:p>
        </w:tc>
        <w:tc>
          <w:tcPr>
            <w:tcW w:w="1247" w:type="dxa"/>
            <w:shd w:val="clear" w:color="auto" w:fill="B6DDE8" w:themeFill="accent5" w:themeFillTint="66"/>
            <w:vAlign w:val="center"/>
            <w:hideMark/>
          </w:tcPr>
          <w:p w:rsidR="00013CB0" w:rsidRPr="00B949CF" w:rsidRDefault="00013CB0" w:rsidP="00D93E7B">
            <w:pPr>
              <w:jc w:val="right"/>
              <w:cnfStyle w:val="100000000000"/>
              <w:rPr>
                <w:rFonts w:asciiTheme="minorHAnsi" w:eastAsiaTheme="minorEastAsia" w:hAnsiTheme="minorHAnsi" w:cstheme="minorBidi"/>
                <w:bCs w:val="0"/>
                <w:color w:val="000000"/>
              </w:rPr>
            </w:pPr>
            <w:r w:rsidRPr="00B949CF">
              <w:rPr>
                <w:rFonts w:asciiTheme="minorHAnsi" w:eastAsiaTheme="minorEastAsia" w:hAnsiTheme="minorHAnsi" w:cstheme="minorBidi"/>
                <w:bCs w:val="0"/>
                <w:color w:val="000000"/>
              </w:rPr>
              <w:t>2012</w:t>
            </w:r>
          </w:p>
        </w:tc>
        <w:tc>
          <w:tcPr>
            <w:tcW w:w="1020" w:type="dxa"/>
            <w:shd w:val="clear" w:color="auto" w:fill="B6DDE8" w:themeFill="accent5" w:themeFillTint="66"/>
            <w:vAlign w:val="center"/>
            <w:hideMark/>
          </w:tcPr>
          <w:p w:rsidR="00013CB0" w:rsidRPr="00B949CF" w:rsidRDefault="00013CB0" w:rsidP="00D93E7B">
            <w:pPr>
              <w:jc w:val="right"/>
              <w:cnfStyle w:val="100000000000"/>
              <w:rPr>
                <w:rFonts w:asciiTheme="minorHAnsi" w:eastAsiaTheme="minorEastAsia" w:hAnsiTheme="minorHAnsi" w:cstheme="minorBidi"/>
                <w:bCs w:val="0"/>
                <w:color w:val="000000"/>
              </w:rPr>
            </w:pPr>
            <w:r w:rsidRPr="00B949CF">
              <w:rPr>
                <w:rFonts w:asciiTheme="minorHAnsi" w:eastAsiaTheme="minorEastAsia" w:hAnsiTheme="minorHAnsi" w:cstheme="minorBidi"/>
                <w:bCs w:val="0"/>
                <w:color w:val="000000"/>
              </w:rPr>
              <w:t>Change</w:t>
            </w:r>
          </w:p>
          <w:p w:rsidR="00013CB0" w:rsidRPr="00B949CF" w:rsidRDefault="00013CB0" w:rsidP="00D93E7B">
            <w:pPr>
              <w:jc w:val="right"/>
              <w:cnfStyle w:val="100000000000"/>
              <w:rPr>
                <w:rFonts w:asciiTheme="minorHAnsi" w:eastAsiaTheme="minorEastAsia" w:hAnsiTheme="minorHAnsi" w:cstheme="minorBidi"/>
                <w:bCs w:val="0"/>
                <w:color w:val="000000"/>
              </w:rPr>
            </w:pPr>
            <w:r w:rsidRPr="00B949CF">
              <w:rPr>
                <w:rFonts w:asciiTheme="minorHAnsi" w:eastAsiaTheme="minorEastAsia" w:hAnsiTheme="minorHAnsi" w:cstheme="minorBidi"/>
                <w:bCs w:val="0"/>
                <w:color w:val="000000"/>
              </w:rPr>
              <w:t>07/12</w:t>
            </w:r>
          </w:p>
        </w:tc>
        <w:tc>
          <w:tcPr>
            <w:tcW w:w="1020" w:type="dxa"/>
            <w:shd w:val="clear" w:color="auto" w:fill="B6DDE8" w:themeFill="accent5" w:themeFillTint="66"/>
            <w:vAlign w:val="center"/>
            <w:hideMark/>
          </w:tcPr>
          <w:p w:rsidR="00013CB0" w:rsidRPr="00B949CF" w:rsidRDefault="00013CB0" w:rsidP="00D93E7B">
            <w:pPr>
              <w:jc w:val="right"/>
              <w:cnfStyle w:val="100000000000"/>
              <w:rPr>
                <w:rFonts w:asciiTheme="minorHAnsi" w:eastAsiaTheme="minorEastAsia" w:hAnsiTheme="minorHAnsi" w:cstheme="minorBidi"/>
                <w:bCs w:val="0"/>
                <w:color w:val="000000"/>
              </w:rPr>
            </w:pPr>
            <w:r w:rsidRPr="00B949CF">
              <w:rPr>
                <w:rFonts w:asciiTheme="minorHAnsi" w:eastAsiaTheme="minorEastAsia" w:hAnsiTheme="minorHAnsi" w:cstheme="minorBidi"/>
                <w:bCs w:val="0"/>
                <w:color w:val="000000"/>
              </w:rPr>
              <w:t>Change 11/12</w:t>
            </w:r>
          </w:p>
        </w:tc>
        <w:tc>
          <w:tcPr>
            <w:tcW w:w="898" w:type="dxa"/>
            <w:shd w:val="clear" w:color="auto" w:fill="B6DDE8" w:themeFill="accent5" w:themeFillTint="66"/>
            <w:vAlign w:val="center"/>
            <w:hideMark/>
          </w:tcPr>
          <w:p w:rsidR="00013CB0" w:rsidRPr="00B949CF" w:rsidRDefault="00013CB0" w:rsidP="00D93E7B">
            <w:pPr>
              <w:jc w:val="right"/>
              <w:cnfStyle w:val="100000000000"/>
              <w:rPr>
                <w:rFonts w:asciiTheme="minorHAnsi" w:eastAsiaTheme="minorEastAsia" w:hAnsiTheme="minorHAnsi" w:cstheme="minorBidi"/>
                <w:bCs w:val="0"/>
                <w:color w:val="000000"/>
              </w:rPr>
            </w:pPr>
            <w:r w:rsidRPr="00B949CF">
              <w:rPr>
                <w:rFonts w:asciiTheme="minorHAnsi" w:eastAsiaTheme="minorEastAsia" w:hAnsiTheme="minorHAnsi" w:cstheme="minorBidi"/>
                <w:bCs w:val="0"/>
                <w:color w:val="000000"/>
              </w:rPr>
              <w:t>Average annual growth 07/12</w:t>
            </w:r>
          </w:p>
        </w:tc>
      </w:tr>
      <w:tr w:rsidR="00013CB0" w:rsidRPr="00733993" w:rsidTr="00013CB0">
        <w:trPr>
          <w:cnfStyle w:val="000000100000"/>
          <w:trHeight w:val="300"/>
        </w:trPr>
        <w:tc>
          <w:tcPr>
            <w:cnfStyle w:val="001000000000"/>
            <w:tcW w:w="2551" w:type="dxa"/>
            <w:hideMark/>
          </w:tcPr>
          <w:p w:rsidR="00013CB0" w:rsidRPr="00733993" w:rsidRDefault="00013CB0" w:rsidP="00013CB0">
            <w:pPr>
              <w:jc w:val="both"/>
              <w:rPr>
                <w:rFonts w:asciiTheme="minorHAnsi" w:eastAsiaTheme="minorEastAsia" w:hAnsiTheme="minorHAnsi" w:cstheme="minorBidi"/>
                <w:color w:val="000000"/>
              </w:rPr>
            </w:pPr>
          </w:p>
        </w:tc>
        <w:tc>
          <w:tcPr>
            <w:tcW w:w="1247" w:type="dxa"/>
            <w:vAlign w:val="center"/>
            <w:hideMark/>
          </w:tcPr>
          <w:p w:rsidR="00013CB0" w:rsidRPr="00733993" w:rsidRDefault="00013CB0" w:rsidP="00D93E7B">
            <w:pPr>
              <w:jc w:val="right"/>
              <w:cnfStyle w:val="000000100000"/>
              <w:rPr>
                <w:rFonts w:asciiTheme="minorHAnsi" w:eastAsiaTheme="minorEastAsia" w:hAnsiTheme="minorHAnsi" w:cstheme="minorBidi"/>
                <w:color w:val="000000"/>
              </w:rPr>
            </w:pPr>
            <w:r w:rsidRPr="00733993">
              <w:rPr>
                <w:rFonts w:asciiTheme="minorHAnsi" w:eastAsiaTheme="minorEastAsia" w:hAnsiTheme="minorHAnsi" w:cstheme="minorBidi"/>
                <w:color w:val="000000"/>
              </w:rPr>
              <w:t>no.</w:t>
            </w:r>
          </w:p>
        </w:tc>
        <w:tc>
          <w:tcPr>
            <w:tcW w:w="1247" w:type="dxa"/>
            <w:vAlign w:val="center"/>
            <w:hideMark/>
          </w:tcPr>
          <w:p w:rsidR="00013CB0" w:rsidRPr="00733993" w:rsidRDefault="00013CB0" w:rsidP="00D93E7B">
            <w:pPr>
              <w:jc w:val="right"/>
              <w:cnfStyle w:val="000000100000"/>
              <w:rPr>
                <w:rFonts w:asciiTheme="minorHAnsi" w:eastAsiaTheme="minorEastAsia" w:hAnsiTheme="minorHAnsi" w:cstheme="minorBidi"/>
                <w:color w:val="000000"/>
              </w:rPr>
            </w:pPr>
            <w:r w:rsidRPr="00733993">
              <w:rPr>
                <w:rFonts w:asciiTheme="minorHAnsi" w:eastAsiaTheme="minorEastAsia" w:hAnsiTheme="minorHAnsi" w:cstheme="minorBidi"/>
                <w:color w:val="000000"/>
              </w:rPr>
              <w:t>no.</w:t>
            </w:r>
          </w:p>
        </w:tc>
        <w:tc>
          <w:tcPr>
            <w:tcW w:w="1247" w:type="dxa"/>
            <w:vAlign w:val="center"/>
            <w:hideMark/>
          </w:tcPr>
          <w:p w:rsidR="00013CB0" w:rsidRPr="00733993" w:rsidRDefault="00013CB0" w:rsidP="00D93E7B">
            <w:pPr>
              <w:jc w:val="right"/>
              <w:cnfStyle w:val="000000100000"/>
              <w:rPr>
                <w:rFonts w:asciiTheme="minorHAnsi" w:eastAsiaTheme="minorEastAsia" w:hAnsiTheme="minorHAnsi" w:cstheme="minorBidi"/>
                <w:color w:val="000000"/>
              </w:rPr>
            </w:pPr>
            <w:r w:rsidRPr="00733993">
              <w:rPr>
                <w:rFonts w:asciiTheme="minorHAnsi" w:eastAsiaTheme="minorEastAsia" w:hAnsiTheme="minorHAnsi" w:cstheme="minorBidi"/>
                <w:color w:val="000000"/>
              </w:rPr>
              <w:t>no.</w:t>
            </w:r>
          </w:p>
        </w:tc>
        <w:tc>
          <w:tcPr>
            <w:tcW w:w="1020" w:type="dxa"/>
            <w:vAlign w:val="center"/>
            <w:hideMark/>
          </w:tcPr>
          <w:p w:rsidR="00013CB0" w:rsidRPr="00733993" w:rsidRDefault="00013CB0" w:rsidP="00D93E7B">
            <w:pPr>
              <w:jc w:val="right"/>
              <w:cnfStyle w:val="000000100000"/>
              <w:rPr>
                <w:rFonts w:asciiTheme="minorHAnsi" w:eastAsiaTheme="minorEastAsia" w:hAnsiTheme="minorHAnsi" w:cstheme="minorBidi"/>
                <w:color w:val="000000"/>
              </w:rPr>
            </w:pPr>
            <w:r w:rsidRPr="00733993">
              <w:rPr>
                <w:rFonts w:asciiTheme="minorHAnsi" w:eastAsiaTheme="minorEastAsia" w:hAnsiTheme="minorHAnsi" w:cstheme="minorBidi"/>
                <w:color w:val="000000"/>
              </w:rPr>
              <w:t>%</w:t>
            </w:r>
          </w:p>
        </w:tc>
        <w:tc>
          <w:tcPr>
            <w:tcW w:w="1020" w:type="dxa"/>
            <w:vAlign w:val="center"/>
            <w:hideMark/>
          </w:tcPr>
          <w:p w:rsidR="00013CB0" w:rsidRPr="00733993" w:rsidRDefault="00013CB0" w:rsidP="00D93E7B">
            <w:pPr>
              <w:jc w:val="right"/>
              <w:cnfStyle w:val="000000100000"/>
              <w:rPr>
                <w:rFonts w:asciiTheme="minorHAnsi" w:eastAsiaTheme="minorEastAsia" w:hAnsiTheme="minorHAnsi" w:cstheme="minorBidi"/>
                <w:color w:val="000000"/>
              </w:rPr>
            </w:pPr>
            <w:r w:rsidRPr="00733993">
              <w:rPr>
                <w:rFonts w:asciiTheme="minorHAnsi" w:eastAsiaTheme="minorEastAsia" w:hAnsiTheme="minorHAnsi" w:cstheme="minorBidi"/>
                <w:color w:val="000000"/>
              </w:rPr>
              <w:t>%</w:t>
            </w:r>
          </w:p>
        </w:tc>
        <w:tc>
          <w:tcPr>
            <w:tcW w:w="898" w:type="dxa"/>
            <w:vAlign w:val="center"/>
            <w:hideMark/>
          </w:tcPr>
          <w:p w:rsidR="00013CB0" w:rsidRPr="00733993" w:rsidRDefault="00013CB0" w:rsidP="00D93E7B">
            <w:pPr>
              <w:jc w:val="right"/>
              <w:cnfStyle w:val="000000100000"/>
              <w:rPr>
                <w:rFonts w:asciiTheme="minorHAnsi" w:eastAsiaTheme="minorEastAsia" w:hAnsiTheme="minorHAnsi" w:cstheme="minorBidi"/>
                <w:color w:val="000000"/>
              </w:rPr>
            </w:pPr>
            <w:r w:rsidRPr="00733993">
              <w:rPr>
                <w:rFonts w:asciiTheme="minorHAnsi" w:eastAsiaTheme="minorEastAsia" w:hAnsiTheme="minorHAnsi" w:cstheme="minorBidi"/>
                <w:color w:val="000000"/>
              </w:rPr>
              <w:t>%</w:t>
            </w:r>
          </w:p>
        </w:tc>
      </w:tr>
      <w:tr w:rsidR="00013CB0" w:rsidRPr="00733993" w:rsidTr="00013CB0">
        <w:trPr>
          <w:trHeight w:val="300"/>
        </w:trPr>
        <w:tc>
          <w:tcPr>
            <w:cnfStyle w:val="001000000000"/>
            <w:tcW w:w="2551" w:type="dxa"/>
            <w:hideMark/>
          </w:tcPr>
          <w:p w:rsidR="00013CB0" w:rsidRPr="00733993" w:rsidRDefault="00013CB0" w:rsidP="00013CB0">
            <w:pPr>
              <w:jc w:val="both"/>
              <w:rPr>
                <w:rFonts w:asciiTheme="minorHAnsi" w:eastAsiaTheme="minorEastAsia" w:hAnsiTheme="minorHAnsi" w:cstheme="minorBidi"/>
                <w:color w:val="000000"/>
              </w:rPr>
            </w:pPr>
            <w:r w:rsidRPr="00733993">
              <w:rPr>
                <w:rFonts w:asciiTheme="minorHAnsi" w:eastAsiaTheme="minorEastAsia" w:hAnsiTheme="minorHAnsi" w:cstheme="minorBidi"/>
                <w:color w:val="000000"/>
              </w:rPr>
              <w:t xml:space="preserve">New South Wales </w:t>
            </w:r>
          </w:p>
        </w:tc>
        <w:tc>
          <w:tcPr>
            <w:tcW w:w="1247" w:type="dxa"/>
            <w:vAlign w:val="center"/>
            <w:hideMark/>
          </w:tcPr>
          <w:p w:rsidR="00013CB0" w:rsidRPr="00733993" w:rsidRDefault="00013CB0" w:rsidP="00D93E7B">
            <w:pPr>
              <w:jc w:val="right"/>
              <w:cnfStyle w:val="000000000000"/>
              <w:rPr>
                <w:rFonts w:asciiTheme="minorHAnsi" w:eastAsiaTheme="minorEastAsia" w:hAnsiTheme="minorHAnsi" w:cstheme="minorBidi"/>
                <w:color w:val="000000"/>
              </w:rPr>
            </w:pPr>
            <w:r w:rsidRPr="00733993">
              <w:rPr>
                <w:rFonts w:asciiTheme="minorHAnsi" w:eastAsiaTheme="minorEastAsia" w:hAnsiTheme="minorHAnsi" w:cstheme="minorBidi"/>
                <w:color w:val="000000"/>
              </w:rPr>
              <w:t>4 361 237</w:t>
            </w:r>
          </w:p>
        </w:tc>
        <w:tc>
          <w:tcPr>
            <w:tcW w:w="1247" w:type="dxa"/>
            <w:vAlign w:val="center"/>
            <w:hideMark/>
          </w:tcPr>
          <w:p w:rsidR="00013CB0" w:rsidRPr="00733993" w:rsidRDefault="00013CB0" w:rsidP="00D93E7B">
            <w:pPr>
              <w:jc w:val="right"/>
              <w:cnfStyle w:val="000000000000"/>
              <w:rPr>
                <w:rFonts w:asciiTheme="minorHAnsi" w:eastAsiaTheme="minorEastAsia" w:hAnsiTheme="minorHAnsi" w:cstheme="minorBidi"/>
                <w:color w:val="000000"/>
              </w:rPr>
            </w:pPr>
            <w:r w:rsidRPr="00733993">
              <w:rPr>
                <w:rFonts w:asciiTheme="minorHAnsi" w:eastAsiaTheme="minorEastAsia" w:hAnsiTheme="minorHAnsi" w:cstheme="minorBidi"/>
                <w:color w:val="000000"/>
              </w:rPr>
              <w:t>4 778 421</w:t>
            </w:r>
          </w:p>
        </w:tc>
        <w:tc>
          <w:tcPr>
            <w:tcW w:w="1247" w:type="dxa"/>
            <w:vAlign w:val="center"/>
            <w:hideMark/>
          </w:tcPr>
          <w:p w:rsidR="00013CB0" w:rsidRPr="00733993" w:rsidRDefault="00013CB0" w:rsidP="00D93E7B">
            <w:pPr>
              <w:jc w:val="right"/>
              <w:cnfStyle w:val="000000000000"/>
              <w:rPr>
                <w:rFonts w:asciiTheme="minorHAnsi" w:eastAsiaTheme="minorEastAsia" w:hAnsiTheme="minorHAnsi" w:cstheme="minorBidi"/>
                <w:color w:val="000000"/>
              </w:rPr>
            </w:pPr>
            <w:r w:rsidRPr="00733993">
              <w:rPr>
                <w:rFonts w:asciiTheme="minorHAnsi" w:eastAsiaTheme="minorEastAsia" w:hAnsiTheme="minorHAnsi" w:cstheme="minorBidi"/>
                <w:color w:val="000000"/>
              </w:rPr>
              <w:t>4 869 996</w:t>
            </w:r>
          </w:p>
        </w:tc>
        <w:tc>
          <w:tcPr>
            <w:tcW w:w="1020" w:type="dxa"/>
            <w:vAlign w:val="center"/>
            <w:hideMark/>
          </w:tcPr>
          <w:p w:rsidR="00013CB0" w:rsidRPr="00733993" w:rsidRDefault="00013CB0" w:rsidP="00D93E7B">
            <w:pPr>
              <w:jc w:val="right"/>
              <w:cnfStyle w:val="000000000000"/>
              <w:rPr>
                <w:rFonts w:asciiTheme="minorHAnsi" w:eastAsiaTheme="minorEastAsia" w:hAnsiTheme="minorHAnsi" w:cstheme="minorBidi"/>
                <w:color w:val="000000"/>
              </w:rPr>
            </w:pPr>
            <w:r w:rsidRPr="00733993">
              <w:rPr>
                <w:rFonts w:asciiTheme="minorHAnsi" w:eastAsiaTheme="minorEastAsia" w:hAnsiTheme="minorHAnsi" w:cstheme="minorBidi"/>
                <w:color w:val="000000"/>
              </w:rPr>
              <w:t>12</w:t>
            </w:r>
          </w:p>
        </w:tc>
        <w:tc>
          <w:tcPr>
            <w:tcW w:w="1020" w:type="dxa"/>
            <w:vAlign w:val="center"/>
            <w:hideMark/>
          </w:tcPr>
          <w:p w:rsidR="00013CB0" w:rsidRPr="00733993" w:rsidRDefault="00013CB0" w:rsidP="00D93E7B">
            <w:pPr>
              <w:jc w:val="right"/>
              <w:cnfStyle w:val="000000000000"/>
              <w:rPr>
                <w:rFonts w:asciiTheme="minorHAnsi" w:eastAsiaTheme="minorEastAsia" w:hAnsiTheme="minorHAnsi" w:cstheme="minorBidi"/>
                <w:color w:val="000000"/>
              </w:rPr>
            </w:pPr>
            <w:r w:rsidRPr="00733993">
              <w:rPr>
                <w:rFonts w:asciiTheme="minorHAnsi" w:eastAsiaTheme="minorEastAsia" w:hAnsiTheme="minorHAnsi" w:cstheme="minorBidi"/>
                <w:color w:val="000000"/>
              </w:rPr>
              <w:t>2</w:t>
            </w:r>
          </w:p>
        </w:tc>
        <w:tc>
          <w:tcPr>
            <w:tcW w:w="898" w:type="dxa"/>
            <w:vAlign w:val="center"/>
            <w:hideMark/>
          </w:tcPr>
          <w:p w:rsidR="00013CB0" w:rsidRPr="00733993" w:rsidRDefault="00013CB0" w:rsidP="00D93E7B">
            <w:pPr>
              <w:jc w:val="right"/>
              <w:cnfStyle w:val="000000000000"/>
              <w:rPr>
                <w:rFonts w:asciiTheme="minorHAnsi" w:eastAsiaTheme="minorEastAsia" w:hAnsiTheme="minorHAnsi" w:cstheme="minorBidi"/>
                <w:color w:val="000000"/>
              </w:rPr>
            </w:pPr>
            <w:r w:rsidRPr="00733993">
              <w:rPr>
                <w:rFonts w:asciiTheme="minorHAnsi" w:eastAsiaTheme="minorEastAsia" w:hAnsiTheme="minorHAnsi" w:cstheme="minorBidi"/>
                <w:color w:val="000000"/>
              </w:rPr>
              <w:t>2</w:t>
            </w:r>
          </w:p>
        </w:tc>
      </w:tr>
      <w:tr w:rsidR="00013CB0" w:rsidRPr="00733993" w:rsidTr="00013CB0">
        <w:trPr>
          <w:cnfStyle w:val="000000100000"/>
          <w:trHeight w:val="300"/>
        </w:trPr>
        <w:tc>
          <w:tcPr>
            <w:cnfStyle w:val="001000000000"/>
            <w:tcW w:w="2551" w:type="dxa"/>
            <w:hideMark/>
          </w:tcPr>
          <w:p w:rsidR="00013CB0" w:rsidRPr="00733993" w:rsidRDefault="00013CB0" w:rsidP="00013CB0">
            <w:pPr>
              <w:jc w:val="both"/>
              <w:rPr>
                <w:rFonts w:asciiTheme="minorHAnsi" w:eastAsiaTheme="minorEastAsia" w:hAnsiTheme="minorHAnsi" w:cstheme="minorBidi"/>
                <w:color w:val="000000"/>
              </w:rPr>
            </w:pPr>
            <w:r w:rsidRPr="00733993">
              <w:rPr>
                <w:rFonts w:asciiTheme="minorHAnsi" w:eastAsiaTheme="minorEastAsia" w:hAnsiTheme="minorHAnsi" w:cstheme="minorBidi"/>
                <w:color w:val="000000"/>
              </w:rPr>
              <w:t xml:space="preserve">Victoria </w:t>
            </w:r>
          </w:p>
        </w:tc>
        <w:tc>
          <w:tcPr>
            <w:tcW w:w="1247" w:type="dxa"/>
            <w:vAlign w:val="center"/>
            <w:hideMark/>
          </w:tcPr>
          <w:p w:rsidR="00013CB0" w:rsidRPr="00733993" w:rsidRDefault="00013CB0" w:rsidP="00D93E7B">
            <w:pPr>
              <w:jc w:val="right"/>
              <w:cnfStyle w:val="000000100000"/>
              <w:rPr>
                <w:rFonts w:asciiTheme="minorHAnsi" w:eastAsiaTheme="minorEastAsia" w:hAnsiTheme="minorHAnsi" w:cstheme="minorBidi"/>
                <w:color w:val="000000"/>
              </w:rPr>
            </w:pPr>
            <w:r w:rsidRPr="00733993">
              <w:rPr>
                <w:rFonts w:asciiTheme="minorHAnsi" w:eastAsiaTheme="minorEastAsia" w:hAnsiTheme="minorHAnsi" w:cstheme="minorBidi"/>
                <w:color w:val="000000"/>
              </w:rPr>
              <w:t>3 818 062</w:t>
            </w:r>
          </w:p>
        </w:tc>
        <w:tc>
          <w:tcPr>
            <w:tcW w:w="1247" w:type="dxa"/>
            <w:vAlign w:val="center"/>
            <w:hideMark/>
          </w:tcPr>
          <w:p w:rsidR="00013CB0" w:rsidRPr="00733993" w:rsidRDefault="00013CB0" w:rsidP="00D93E7B">
            <w:pPr>
              <w:jc w:val="right"/>
              <w:cnfStyle w:val="000000100000"/>
              <w:rPr>
                <w:rFonts w:asciiTheme="minorHAnsi" w:eastAsiaTheme="minorEastAsia" w:hAnsiTheme="minorHAnsi" w:cstheme="minorBidi"/>
                <w:color w:val="000000"/>
              </w:rPr>
            </w:pPr>
            <w:r w:rsidRPr="00733993">
              <w:rPr>
                <w:rFonts w:asciiTheme="minorHAnsi" w:eastAsiaTheme="minorEastAsia" w:hAnsiTheme="minorHAnsi" w:cstheme="minorBidi"/>
                <w:color w:val="000000"/>
              </w:rPr>
              <w:t>4 198 371</w:t>
            </w:r>
          </w:p>
        </w:tc>
        <w:tc>
          <w:tcPr>
            <w:tcW w:w="1247" w:type="dxa"/>
            <w:vAlign w:val="center"/>
            <w:hideMark/>
          </w:tcPr>
          <w:p w:rsidR="00013CB0" w:rsidRPr="00733993" w:rsidRDefault="00013CB0" w:rsidP="00D93E7B">
            <w:pPr>
              <w:jc w:val="right"/>
              <w:cnfStyle w:val="000000100000"/>
              <w:rPr>
                <w:rFonts w:asciiTheme="minorHAnsi" w:eastAsiaTheme="minorEastAsia" w:hAnsiTheme="minorHAnsi" w:cstheme="minorBidi"/>
                <w:color w:val="000000"/>
              </w:rPr>
            </w:pPr>
            <w:r w:rsidRPr="00733993">
              <w:rPr>
                <w:rFonts w:asciiTheme="minorHAnsi" w:eastAsiaTheme="minorEastAsia" w:hAnsiTheme="minorHAnsi" w:cstheme="minorBidi"/>
                <w:color w:val="000000"/>
              </w:rPr>
              <w:t>4 286 284</w:t>
            </w:r>
          </w:p>
        </w:tc>
        <w:tc>
          <w:tcPr>
            <w:tcW w:w="1020" w:type="dxa"/>
            <w:vAlign w:val="center"/>
            <w:hideMark/>
          </w:tcPr>
          <w:p w:rsidR="00013CB0" w:rsidRPr="00733993" w:rsidRDefault="00013CB0" w:rsidP="00D93E7B">
            <w:pPr>
              <w:jc w:val="right"/>
              <w:cnfStyle w:val="000000100000"/>
              <w:rPr>
                <w:rFonts w:asciiTheme="minorHAnsi" w:eastAsiaTheme="minorEastAsia" w:hAnsiTheme="minorHAnsi" w:cstheme="minorBidi"/>
                <w:color w:val="000000"/>
              </w:rPr>
            </w:pPr>
            <w:r w:rsidRPr="00733993">
              <w:rPr>
                <w:rFonts w:asciiTheme="minorHAnsi" w:eastAsiaTheme="minorEastAsia" w:hAnsiTheme="minorHAnsi" w:cstheme="minorBidi"/>
                <w:color w:val="000000"/>
              </w:rPr>
              <w:t>12</w:t>
            </w:r>
          </w:p>
        </w:tc>
        <w:tc>
          <w:tcPr>
            <w:tcW w:w="1020" w:type="dxa"/>
            <w:vAlign w:val="center"/>
            <w:hideMark/>
          </w:tcPr>
          <w:p w:rsidR="00013CB0" w:rsidRPr="00733993" w:rsidRDefault="00013CB0" w:rsidP="00D93E7B">
            <w:pPr>
              <w:jc w:val="right"/>
              <w:cnfStyle w:val="000000100000"/>
              <w:rPr>
                <w:rFonts w:asciiTheme="minorHAnsi" w:eastAsiaTheme="minorEastAsia" w:hAnsiTheme="minorHAnsi" w:cstheme="minorBidi"/>
                <w:color w:val="000000"/>
              </w:rPr>
            </w:pPr>
            <w:r w:rsidRPr="00733993">
              <w:rPr>
                <w:rFonts w:asciiTheme="minorHAnsi" w:eastAsiaTheme="minorEastAsia" w:hAnsiTheme="minorHAnsi" w:cstheme="minorBidi"/>
                <w:color w:val="000000"/>
              </w:rPr>
              <w:t>2</w:t>
            </w:r>
          </w:p>
        </w:tc>
        <w:tc>
          <w:tcPr>
            <w:tcW w:w="898" w:type="dxa"/>
            <w:vAlign w:val="center"/>
            <w:hideMark/>
          </w:tcPr>
          <w:p w:rsidR="00013CB0" w:rsidRPr="00733993" w:rsidRDefault="00013CB0" w:rsidP="00D93E7B">
            <w:pPr>
              <w:jc w:val="right"/>
              <w:cnfStyle w:val="000000100000"/>
              <w:rPr>
                <w:rFonts w:asciiTheme="minorHAnsi" w:eastAsiaTheme="minorEastAsia" w:hAnsiTheme="minorHAnsi" w:cstheme="minorBidi"/>
                <w:color w:val="000000"/>
              </w:rPr>
            </w:pPr>
            <w:r w:rsidRPr="00733993">
              <w:rPr>
                <w:rFonts w:asciiTheme="minorHAnsi" w:eastAsiaTheme="minorEastAsia" w:hAnsiTheme="minorHAnsi" w:cstheme="minorBidi"/>
                <w:color w:val="000000"/>
              </w:rPr>
              <w:t>2</w:t>
            </w:r>
          </w:p>
        </w:tc>
      </w:tr>
      <w:tr w:rsidR="00013CB0" w:rsidRPr="00733993" w:rsidTr="00013CB0">
        <w:trPr>
          <w:trHeight w:val="300"/>
        </w:trPr>
        <w:tc>
          <w:tcPr>
            <w:cnfStyle w:val="001000000000"/>
            <w:tcW w:w="2551" w:type="dxa"/>
            <w:hideMark/>
          </w:tcPr>
          <w:p w:rsidR="00013CB0" w:rsidRPr="00733993" w:rsidRDefault="00013CB0" w:rsidP="00013CB0">
            <w:pPr>
              <w:jc w:val="both"/>
              <w:rPr>
                <w:rFonts w:asciiTheme="minorHAnsi" w:eastAsiaTheme="minorEastAsia" w:hAnsiTheme="minorHAnsi" w:cstheme="minorBidi"/>
                <w:color w:val="000000"/>
              </w:rPr>
            </w:pPr>
            <w:r w:rsidRPr="00733993">
              <w:rPr>
                <w:rFonts w:asciiTheme="minorHAnsi" w:eastAsiaTheme="minorEastAsia" w:hAnsiTheme="minorHAnsi" w:cstheme="minorBidi"/>
                <w:color w:val="000000"/>
              </w:rPr>
              <w:t xml:space="preserve">Queensland </w:t>
            </w:r>
          </w:p>
        </w:tc>
        <w:tc>
          <w:tcPr>
            <w:tcW w:w="1247" w:type="dxa"/>
            <w:vAlign w:val="center"/>
            <w:hideMark/>
          </w:tcPr>
          <w:p w:rsidR="00013CB0" w:rsidRPr="00733993" w:rsidRDefault="00013CB0" w:rsidP="00D93E7B">
            <w:pPr>
              <w:jc w:val="right"/>
              <w:cnfStyle w:val="000000000000"/>
              <w:rPr>
                <w:rFonts w:asciiTheme="minorHAnsi" w:eastAsiaTheme="minorEastAsia" w:hAnsiTheme="minorHAnsi" w:cstheme="minorBidi"/>
                <w:color w:val="000000"/>
              </w:rPr>
            </w:pPr>
            <w:r w:rsidRPr="00733993">
              <w:rPr>
                <w:rFonts w:asciiTheme="minorHAnsi" w:eastAsiaTheme="minorEastAsia" w:hAnsiTheme="minorHAnsi" w:cstheme="minorBidi"/>
                <w:color w:val="000000"/>
              </w:rPr>
              <w:t>3 033 417</w:t>
            </w:r>
          </w:p>
        </w:tc>
        <w:tc>
          <w:tcPr>
            <w:tcW w:w="1247" w:type="dxa"/>
            <w:vAlign w:val="center"/>
            <w:hideMark/>
          </w:tcPr>
          <w:p w:rsidR="00013CB0" w:rsidRPr="00733993" w:rsidRDefault="00013CB0" w:rsidP="00D93E7B">
            <w:pPr>
              <w:jc w:val="right"/>
              <w:cnfStyle w:val="000000000000"/>
              <w:rPr>
                <w:rFonts w:asciiTheme="minorHAnsi" w:eastAsiaTheme="minorEastAsia" w:hAnsiTheme="minorHAnsi" w:cstheme="minorBidi"/>
                <w:color w:val="000000"/>
              </w:rPr>
            </w:pPr>
            <w:r w:rsidRPr="00733993">
              <w:rPr>
                <w:rFonts w:asciiTheme="minorHAnsi" w:eastAsiaTheme="minorEastAsia" w:hAnsiTheme="minorHAnsi" w:cstheme="minorBidi"/>
                <w:color w:val="000000"/>
              </w:rPr>
              <w:t>3 401 932</w:t>
            </w:r>
          </w:p>
        </w:tc>
        <w:tc>
          <w:tcPr>
            <w:tcW w:w="1247" w:type="dxa"/>
            <w:vAlign w:val="center"/>
            <w:hideMark/>
          </w:tcPr>
          <w:p w:rsidR="00013CB0" w:rsidRPr="00733993" w:rsidRDefault="00013CB0" w:rsidP="00D93E7B">
            <w:pPr>
              <w:jc w:val="right"/>
              <w:cnfStyle w:val="000000000000"/>
              <w:rPr>
                <w:rFonts w:asciiTheme="minorHAnsi" w:eastAsiaTheme="minorEastAsia" w:hAnsiTheme="minorHAnsi" w:cstheme="minorBidi"/>
                <w:color w:val="000000"/>
              </w:rPr>
            </w:pPr>
            <w:r w:rsidRPr="00733993">
              <w:rPr>
                <w:rFonts w:asciiTheme="minorHAnsi" w:eastAsiaTheme="minorEastAsia" w:hAnsiTheme="minorHAnsi" w:cstheme="minorBidi"/>
                <w:color w:val="000000"/>
              </w:rPr>
              <w:t>3 492 311</w:t>
            </w:r>
          </w:p>
        </w:tc>
        <w:tc>
          <w:tcPr>
            <w:tcW w:w="1020" w:type="dxa"/>
            <w:vAlign w:val="center"/>
            <w:hideMark/>
          </w:tcPr>
          <w:p w:rsidR="00013CB0" w:rsidRPr="00733993" w:rsidRDefault="00013CB0" w:rsidP="00D93E7B">
            <w:pPr>
              <w:jc w:val="right"/>
              <w:cnfStyle w:val="000000000000"/>
              <w:rPr>
                <w:rFonts w:asciiTheme="minorHAnsi" w:eastAsiaTheme="minorEastAsia" w:hAnsiTheme="minorHAnsi" w:cstheme="minorBidi"/>
                <w:color w:val="000000"/>
              </w:rPr>
            </w:pPr>
            <w:r w:rsidRPr="00733993">
              <w:rPr>
                <w:rFonts w:asciiTheme="minorHAnsi" w:eastAsiaTheme="minorEastAsia" w:hAnsiTheme="minorHAnsi" w:cstheme="minorBidi"/>
                <w:color w:val="000000"/>
              </w:rPr>
              <w:t>15</w:t>
            </w:r>
          </w:p>
        </w:tc>
        <w:tc>
          <w:tcPr>
            <w:tcW w:w="1020" w:type="dxa"/>
            <w:vAlign w:val="center"/>
            <w:hideMark/>
          </w:tcPr>
          <w:p w:rsidR="00013CB0" w:rsidRPr="00733993" w:rsidRDefault="00013CB0" w:rsidP="00D93E7B">
            <w:pPr>
              <w:jc w:val="right"/>
              <w:cnfStyle w:val="000000000000"/>
              <w:rPr>
                <w:rFonts w:asciiTheme="minorHAnsi" w:eastAsiaTheme="minorEastAsia" w:hAnsiTheme="minorHAnsi" w:cstheme="minorBidi"/>
                <w:color w:val="000000"/>
              </w:rPr>
            </w:pPr>
            <w:r w:rsidRPr="00733993">
              <w:rPr>
                <w:rFonts w:asciiTheme="minorHAnsi" w:eastAsiaTheme="minorEastAsia" w:hAnsiTheme="minorHAnsi" w:cstheme="minorBidi"/>
                <w:color w:val="000000"/>
              </w:rPr>
              <w:t>3</w:t>
            </w:r>
          </w:p>
        </w:tc>
        <w:tc>
          <w:tcPr>
            <w:tcW w:w="898" w:type="dxa"/>
            <w:vAlign w:val="center"/>
            <w:hideMark/>
          </w:tcPr>
          <w:p w:rsidR="00013CB0" w:rsidRPr="00733993" w:rsidRDefault="00013CB0" w:rsidP="00D93E7B">
            <w:pPr>
              <w:jc w:val="right"/>
              <w:cnfStyle w:val="000000000000"/>
              <w:rPr>
                <w:rFonts w:asciiTheme="minorHAnsi" w:eastAsiaTheme="minorEastAsia" w:hAnsiTheme="minorHAnsi" w:cstheme="minorBidi"/>
                <w:color w:val="000000"/>
              </w:rPr>
            </w:pPr>
            <w:r w:rsidRPr="00733993">
              <w:rPr>
                <w:rFonts w:asciiTheme="minorHAnsi" w:eastAsiaTheme="minorEastAsia" w:hAnsiTheme="minorHAnsi" w:cstheme="minorBidi"/>
                <w:color w:val="000000"/>
              </w:rPr>
              <w:t>3</w:t>
            </w:r>
          </w:p>
        </w:tc>
      </w:tr>
      <w:tr w:rsidR="00013CB0" w:rsidRPr="00733993" w:rsidTr="00013CB0">
        <w:trPr>
          <w:cnfStyle w:val="000000100000"/>
          <w:trHeight w:val="300"/>
        </w:trPr>
        <w:tc>
          <w:tcPr>
            <w:cnfStyle w:val="001000000000"/>
            <w:tcW w:w="2551" w:type="dxa"/>
            <w:hideMark/>
          </w:tcPr>
          <w:p w:rsidR="00013CB0" w:rsidRPr="00733993" w:rsidRDefault="00013CB0" w:rsidP="00013CB0">
            <w:pPr>
              <w:jc w:val="both"/>
              <w:rPr>
                <w:rFonts w:asciiTheme="minorHAnsi" w:eastAsiaTheme="minorEastAsia" w:hAnsiTheme="minorHAnsi" w:cstheme="minorBidi"/>
                <w:color w:val="000000"/>
              </w:rPr>
            </w:pPr>
            <w:r w:rsidRPr="00733993">
              <w:rPr>
                <w:rFonts w:asciiTheme="minorHAnsi" w:eastAsiaTheme="minorEastAsia" w:hAnsiTheme="minorHAnsi" w:cstheme="minorBidi"/>
                <w:color w:val="000000"/>
              </w:rPr>
              <w:t xml:space="preserve">South Australia </w:t>
            </w:r>
          </w:p>
        </w:tc>
        <w:tc>
          <w:tcPr>
            <w:tcW w:w="1247" w:type="dxa"/>
            <w:vAlign w:val="center"/>
            <w:hideMark/>
          </w:tcPr>
          <w:p w:rsidR="00013CB0" w:rsidRPr="00733993" w:rsidRDefault="00013CB0" w:rsidP="00D93E7B">
            <w:pPr>
              <w:jc w:val="right"/>
              <w:cnfStyle w:val="000000100000"/>
              <w:rPr>
                <w:rFonts w:asciiTheme="minorHAnsi" w:eastAsiaTheme="minorEastAsia" w:hAnsiTheme="minorHAnsi" w:cstheme="minorBidi"/>
                <w:color w:val="000000"/>
              </w:rPr>
            </w:pPr>
            <w:r w:rsidRPr="00733993">
              <w:rPr>
                <w:rFonts w:asciiTheme="minorHAnsi" w:eastAsiaTheme="minorEastAsia" w:hAnsiTheme="minorHAnsi" w:cstheme="minorBidi"/>
                <w:color w:val="000000"/>
              </w:rPr>
              <w:t>1 156 961</w:t>
            </w:r>
          </w:p>
        </w:tc>
        <w:tc>
          <w:tcPr>
            <w:tcW w:w="1247" w:type="dxa"/>
            <w:vAlign w:val="center"/>
            <w:hideMark/>
          </w:tcPr>
          <w:p w:rsidR="00013CB0" w:rsidRPr="00733993" w:rsidRDefault="00013CB0" w:rsidP="00D93E7B">
            <w:pPr>
              <w:jc w:val="right"/>
              <w:cnfStyle w:val="000000100000"/>
              <w:rPr>
                <w:rFonts w:asciiTheme="minorHAnsi" w:eastAsiaTheme="minorEastAsia" w:hAnsiTheme="minorHAnsi" w:cstheme="minorBidi"/>
                <w:color w:val="000000"/>
              </w:rPr>
            </w:pPr>
            <w:r w:rsidRPr="00733993">
              <w:rPr>
                <w:rFonts w:asciiTheme="minorHAnsi" w:eastAsiaTheme="minorEastAsia" w:hAnsiTheme="minorHAnsi" w:cstheme="minorBidi"/>
                <w:color w:val="000000"/>
              </w:rPr>
              <w:t>1 261 925</w:t>
            </w:r>
          </w:p>
        </w:tc>
        <w:tc>
          <w:tcPr>
            <w:tcW w:w="1247" w:type="dxa"/>
            <w:vAlign w:val="center"/>
            <w:hideMark/>
          </w:tcPr>
          <w:p w:rsidR="00013CB0" w:rsidRPr="00733993" w:rsidRDefault="00013CB0" w:rsidP="00D93E7B">
            <w:pPr>
              <w:jc w:val="right"/>
              <w:cnfStyle w:val="000000100000"/>
              <w:rPr>
                <w:rFonts w:asciiTheme="minorHAnsi" w:eastAsiaTheme="minorEastAsia" w:hAnsiTheme="minorHAnsi" w:cstheme="minorBidi"/>
                <w:color w:val="000000"/>
              </w:rPr>
            </w:pPr>
            <w:r w:rsidRPr="00733993">
              <w:rPr>
                <w:rFonts w:asciiTheme="minorHAnsi" w:eastAsiaTheme="minorEastAsia" w:hAnsiTheme="minorHAnsi" w:cstheme="minorBidi"/>
                <w:color w:val="000000"/>
              </w:rPr>
              <w:t>1 275 041</w:t>
            </w:r>
          </w:p>
        </w:tc>
        <w:tc>
          <w:tcPr>
            <w:tcW w:w="1020" w:type="dxa"/>
            <w:vAlign w:val="center"/>
            <w:hideMark/>
          </w:tcPr>
          <w:p w:rsidR="00013CB0" w:rsidRPr="00733993" w:rsidRDefault="00013CB0" w:rsidP="00D93E7B">
            <w:pPr>
              <w:jc w:val="right"/>
              <w:cnfStyle w:val="000000100000"/>
              <w:rPr>
                <w:rFonts w:asciiTheme="minorHAnsi" w:eastAsiaTheme="minorEastAsia" w:hAnsiTheme="minorHAnsi" w:cstheme="minorBidi"/>
                <w:color w:val="000000"/>
              </w:rPr>
            </w:pPr>
            <w:r w:rsidRPr="00733993">
              <w:rPr>
                <w:rFonts w:asciiTheme="minorHAnsi" w:eastAsiaTheme="minorEastAsia" w:hAnsiTheme="minorHAnsi" w:cstheme="minorBidi"/>
                <w:color w:val="000000"/>
              </w:rPr>
              <w:t>10</w:t>
            </w:r>
          </w:p>
        </w:tc>
        <w:tc>
          <w:tcPr>
            <w:tcW w:w="1020" w:type="dxa"/>
            <w:vAlign w:val="center"/>
            <w:hideMark/>
          </w:tcPr>
          <w:p w:rsidR="00013CB0" w:rsidRPr="00733993" w:rsidRDefault="00013CB0" w:rsidP="00D93E7B">
            <w:pPr>
              <w:jc w:val="right"/>
              <w:cnfStyle w:val="000000100000"/>
              <w:rPr>
                <w:rFonts w:asciiTheme="minorHAnsi" w:eastAsiaTheme="minorEastAsia" w:hAnsiTheme="minorHAnsi" w:cstheme="minorBidi"/>
                <w:color w:val="000000"/>
              </w:rPr>
            </w:pPr>
            <w:r w:rsidRPr="00733993">
              <w:rPr>
                <w:rFonts w:asciiTheme="minorHAnsi" w:eastAsiaTheme="minorEastAsia" w:hAnsiTheme="minorHAnsi" w:cstheme="minorBidi"/>
                <w:color w:val="000000"/>
              </w:rPr>
              <w:t>1</w:t>
            </w:r>
          </w:p>
        </w:tc>
        <w:tc>
          <w:tcPr>
            <w:tcW w:w="898" w:type="dxa"/>
            <w:vAlign w:val="center"/>
            <w:hideMark/>
          </w:tcPr>
          <w:p w:rsidR="00013CB0" w:rsidRPr="00733993" w:rsidRDefault="00013CB0" w:rsidP="00D93E7B">
            <w:pPr>
              <w:jc w:val="right"/>
              <w:cnfStyle w:val="000000100000"/>
              <w:rPr>
                <w:rFonts w:asciiTheme="minorHAnsi" w:eastAsiaTheme="minorEastAsia" w:hAnsiTheme="minorHAnsi" w:cstheme="minorBidi"/>
                <w:color w:val="000000"/>
              </w:rPr>
            </w:pPr>
            <w:r w:rsidRPr="00733993">
              <w:rPr>
                <w:rFonts w:asciiTheme="minorHAnsi" w:eastAsiaTheme="minorEastAsia" w:hAnsiTheme="minorHAnsi" w:cstheme="minorBidi"/>
                <w:color w:val="000000"/>
              </w:rPr>
              <w:t>2</w:t>
            </w:r>
          </w:p>
        </w:tc>
      </w:tr>
      <w:tr w:rsidR="00013CB0" w:rsidRPr="00733993" w:rsidTr="00013CB0">
        <w:trPr>
          <w:trHeight w:val="300"/>
        </w:trPr>
        <w:tc>
          <w:tcPr>
            <w:cnfStyle w:val="001000000000"/>
            <w:tcW w:w="2551" w:type="dxa"/>
            <w:hideMark/>
          </w:tcPr>
          <w:p w:rsidR="00013CB0" w:rsidRPr="00733993" w:rsidRDefault="00013CB0" w:rsidP="00013CB0">
            <w:pPr>
              <w:jc w:val="both"/>
              <w:rPr>
                <w:rFonts w:asciiTheme="minorHAnsi" w:eastAsiaTheme="minorEastAsia" w:hAnsiTheme="minorHAnsi" w:cstheme="minorBidi"/>
                <w:color w:val="000000"/>
              </w:rPr>
            </w:pPr>
            <w:r w:rsidRPr="00733993">
              <w:rPr>
                <w:rFonts w:asciiTheme="minorHAnsi" w:eastAsiaTheme="minorEastAsia" w:hAnsiTheme="minorHAnsi" w:cstheme="minorBidi"/>
                <w:color w:val="000000"/>
              </w:rPr>
              <w:t xml:space="preserve">Western Australia </w:t>
            </w:r>
          </w:p>
        </w:tc>
        <w:tc>
          <w:tcPr>
            <w:tcW w:w="1247" w:type="dxa"/>
            <w:vAlign w:val="center"/>
            <w:hideMark/>
          </w:tcPr>
          <w:p w:rsidR="00013CB0" w:rsidRPr="00733993" w:rsidRDefault="00013CB0" w:rsidP="00D93E7B">
            <w:pPr>
              <w:jc w:val="right"/>
              <w:cnfStyle w:val="000000000000"/>
              <w:rPr>
                <w:rFonts w:asciiTheme="minorHAnsi" w:eastAsiaTheme="minorEastAsia" w:hAnsiTheme="minorHAnsi" w:cstheme="minorBidi"/>
                <w:color w:val="000000"/>
              </w:rPr>
            </w:pPr>
            <w:r w:rsidRPr="00733993">
              <w:rPr>
                <w:rFonts w:asciiTheme="minorHAnsi" w:eastAsiaTheme="minorEastAsia" w:hAnsiTheme="minorHAnsi" w:cstheme="minorBidi"/>
                <w:color w:val="000000"/>
              </w:rPr>
              <w:t>1 676 495</w:t>
            </w:r>
          </w:p>
        </w:tc>
        <w:tc>
          <w:tcPr>
            <w:tcW w:w="1247" w:type="dxa"/>
            <w:vAlign w:val="center"/>
            <w:hideMark/>
          </w:tcPr>
          <w:p w:rsidR="00013CB0" w:rsidRPr="00733993" w:rsidRDefault="00013CB0" w:rsidP="00D93E7B">
            <w:pPr>
              <w:jc w:val="right"/>
              <w:cnfStyle w:val="000000000000"/>
              <w:rPr>
                <w:rFonts w:asciiTheme="minorHAnsi" w:eastAsiaTheme="minorEastAsia" w:hAnsiTheme="minorHAnsi" w:cstheme="minorBidi"/>
                <w:color w:val="000000"/>
              </w:rPr>
            </w:pPr>
            <w:r w:rsidRPr="00733993">
              <w:rPr>
                <w:rFonts w:asciiTheme="minorHAnsi" w:eastAsiaTheme="minorEastAsia" w:hAnsiTheme="minorHAnsi" w:cstheme="minorBidi"/>
                <w:color w:val="000000"/>
              </w:rPr>
              <w:t>1 912 739</w:t>
            </w:r>
          </w:p>
        </w:tc>
        <w:tc>
          <w:tcPr>
            <w:tcW w:w="1247" w:type="dxa"/>
            <w:vAlign w:val="center"/>
            <w:hideMark/>
          </w:tcPr>
          <w:p w:rsidR="00013CB0" w:rsidRPr="00733993" w:rsidRDefault="00013CB0" w:rsidP="00D93E7B">
            <w:pPr>
              <w:jc w:val="right"/>
              <w:cnfStyle w:val="000000000000"/>
              <w:rPr>
                <w:rFonts w:asciiTheme="minorHAnsi" w:eastAsiaTheme="minorEastAsia" w:hAnsiTheme="minorHAnsi" w:cstheme="minorBidi"/>
                <w:color w:val="000000"/>
              </w:rPr>
            </w:pPr>
            <w:r w:rsidRPr="00733993">
              <w:rPr>
                <w:rFonts w:asciiTheme="minorHAnsi" w:eastAsiaTheme="minorEastAsia" w:hAnsiTheme="minorHAnsi" w:cstheme="minorBidi"/>
                <w:color w:val="000000"/>
              </w:rPr>
              <w:t>1 977 756</w:t>
            </w:r>
          </w:p>
        </w:tc>
        <w:tc>
          <w:tcPr>
            <w:tcW w:w="1020" w:type="dxa"/>
            <w:vAlign w:val="center"/>
            <w:hideMark/>
          </w:tcPr>
          <w:p w:rsidR="00013CB0" w:rsidRPr="00733993" w:rsidRDefault="00013CB0" w:rsidP="00D93E7B">
            <w:pPr>
              <w:jc w:val="right"/>
              <w:cnfStyle w:val="000000000000"/>
              <w:rPr>
                <w:rFonts w:asciiTheme="minorHAnsi" w:eastAsiaTheme="minorEastAsia" w:hAnsiTheme="minorHAnsi" w:cstheme="minorBidi"/>
                <w:color w:val="000000"/>
              </w:rPr>
            </w:pPr>
            <w:r w:rsidRPr="00733993">
              <w:rPr>
                <w:rFonts w:asciiTheme="minorHAnsi" w:eastAsiaTheme="minorEastAsia" w:hAnsiTheme="minorHAnsi" w:cstheme="minorBidi"/>
                <w:color w:val="000000"/>
              </w:rPr>
              <w:t>18</w:t>
            </w:r>
          </w:p>
        </w:tc>
        <w:tc>
          <w:tcPr>
            <w:tcW w:w="1020" w:type="dxa"/>
            <w:vAlign w:val="center"/>
            <w:hideMark/>
          </w:tcPr>
          <w:p w:rsidR="00013CB0" w:rsidRPr="00733993" w:rsidRDefault="00013CB0" w:rsidP="00D93E7B">
            <w:pPr>
              <w:jc w:val="right"/>
              <w:cnfStyle w:val="000000000000"/>
              <w:rPr>
                <w:rFonts w:asciiTheme="minorHAnsi" w:eastAsiaTheme="minorEastAsia" w:hAnsiTheme="minorHAnsi" w:cstheme="minorBidi"/>
                <w:color w:val="000000"/>
              </w:rPr>
            </w:pPr>
            <w:r w:rsidRPr="00733993">
              <w:rPr>
                <w:rFonts w:asciiTheme="minorHAnsi" w:eastAsiaTheme="minorEastAsia" w:hAnsiTheme="minorHAnsi" w:cstheme="minorBidi"/>
                <w:color w:val="000000"/>
              </w:rPr>
              <w:t>3</w:t>
            </w:r>
          </w:p>
        </w:tc>
        <w:tc>
          <w:tcPr>
            <w:tcW w:w="898" w:type="dxa"/>
            <w:vAlign w:val="center"/>
            <w:hideMark/>
          </w:tcPr>
          <w:p w:rsidR="00013CB0" w:rsidRPr="00733993" w:rsidRDefault="00013CB0" w:rsidP="00D93E7B">
            <w:pPr>
              <w:jc w:val="right"/>
              <w:cnfStyle w:val="000000000000"/>
              <w:rPr>
                <w:rFonts w:asciiTheme="minorHAnsi" w:eastAsiaTheme="minorEastAsia" w:hAnsiTheme="minorHAnsi" w:cstheme="minorBidi"/>
                <w:color w:val="000000"/>
              </w:rPr>
            </w:pPr>
            <w:r w:rsidRPr="00733993">
              <w:rPr>
                <w:rFonts w:asciiTheme="minorHAnsi" w:eastAsiaTheme="minorEastAsia" w:hAnsiTheme="minorHAnsi" w:cstheme="minorBidi"/>
                <w:color w:val="000000"/>
              </w:rPr>
              <w:t>4</w:t>
            </w:r>
          </w:p>
        </w:tc>
      </w:tr>
      <w:tr w:rsidR="00013CB0" w:rsidRPr="00733993" w:rsidTr="00013CB0">
        <w:trPr>
          <w:cnfStyle w:val="000000100000"/>
          <w:trHeight w:val="300"/>
        </w:trPr>
        <w:tc>
          <w:tcPr>
            <w:cnfStyle w:val="001000000000"/>
            <w:tcW w:w="2551" w:type="dxa"/>
            <w:shd w:val="clear" w:color="auto" w:fill="B6DDE8" w:themeFill="accent5" w:themeFillTint="66"/>
            <w:hideMark/>
          </w:tcPr>
          <w:p w:rsidR="00013CB0" w:rsidRPr="00733993" w:rsidRDefault="00013CB0" w:rsidP="00013CB0">
            <w:pPr>
              <w:jc w:val="both"/>
              <w:rPr>
                <w:rFonts w:asciiTheme="minorHAnsi" w:eastAsiaTheme="minorEastAsia" w:hAnsiTheme="minorHAnsi" w:cstheme="minorBidi"/>
                <w:color w:val="000000"/>
              </w:rPr>
            </w:pPr>
            <w:r w:rsidRPr="00733993">
              <w:rPr>
                <w:rFonts w:asciiTheme="minorHAnsi" w:eastAsiaTheme="minorEastAsia" w:hAnsiTheme="minorHAnsi" w:cstheme="minorBidi"/>
                <w:color w:val="000000"/>
              </w:rPr>
              <w:t xml:space="preserve">Tasmania </w:t>
            </w:r>
          </w:p>
        </w:tc>
        <w:tc>
          <w:tcPr>
            <w:tcW w:w="1247" w:type="dxa"/>
            <w:shd w:val="clear" w:color="auto" w:fill="B6DDE8" w:themeFill="accent5" w:themeFillTint="66"/>
            <w:vAlign w:val="center"/>
            <w:hideMark/>
          </w:tcPr>
          <w:p w:rsidR="00013CB0" w:rsidRPr="00733993" w:rsidRDefault="00013CB0" w:rsidP="00D93E7B">
            <w:pPr>
              <w:jc w:val="right"/>
              <w:cnfStyle w:val="000000100000"/>
              <w:rPr>
                <w:rFonts w:asciiTheme="minorHAnsi" w:eastAsiaTheme="minorEastAsia" w:hAnsiTheme="minorHAnsi" w:cstheme="minorBidi"/>
                <w:color w:val="000000"/>
              </w:rPr>
            </w:pPr>
            <w:r w:rsidRPr="00733993">
              <w:rPr>
                <w:rFonts w:asciiTheme="minorHAnsi" w:eastAsiaTheme="minorEastAsia" w:hAnsiTheme="minorHAnsi" w:cstheme="minorBidi"/>
                <w:color w:val="000000"/>
              </w:rPr>
              <w:t>381 226</w:t>
            </w:r>
          </w:p>
        </w:tc>
        <w:tc>
          <w:tcPr>
            <w:tcW w:w="1247" w:type="dxa"/>
            <w:shd w:val="clear" w:color="auto" w:fill="B6DDE8" w:themeFill="accent5" w:themeFillTint="66"/>
            <w:vAlign w:val="center"/>
            <w:hideMark/>
          </w:tcPr>
          <w:p w:rsidR="00013CB0" w:rsidRPr="00733993" w:rsidRDefault="00013CB0" w:rsidP="00D93E7B">
            <w:pPr>
              <w:jc w:val="right"/>
              <w:cnfStyle w:val="000000100000"/>
              <w:rPr>
                <w:rFonts w:asciiTheme="minorHAnsi" w:eastAsiaTheme="minorEastAsia" w:hAnsiTheme="minorHAnsi" w:cstheme="minorBidi"/>
                <w:color w:val="000000"/>
              </w:rPr>
            </w:pPr>
            <w:r w:rsidRPr="00733993">
              <w:rPr>
                <w:rFonts w:asciiTheme="minorHAnsi" w:eastAsiaTheme="minorEastAsia" w:hAnsiTheme="minorHAnsi" w:cstheme="minorBidi"/>
                <w:color w:val="000000"/>
              </w:rPr>
              <w:t>419 009</w:t>
            </w:r>
          </w:p>
        </w:tc>
        <w:tc>
          <w:tcPr>
            <w:tcW w:w="1247" w:type="dxa"/>
            <w:shd w:val="clear" w:color="auto" w:fill="B6DDE8" w:themeFill="accent5" w:themeFillTint="66"/>
            <w:vAlign w:val="center"/>
            <w:hideMark/>
          </w:tcPr>
          <w:p w:rsidR="00013CB0" w:rsidRPr="00733993" w:rsidRDefault="00013CB0" w:rsidP="00D93E7B">
            <w:pPr>
              <w:jc w:val="right"/>
              <w:cnfStyle w:val="000000100000"/>
              <w:rPr>
                <w:rFonts w:asciiTheme="minorHAnsi" w:eastAsiaTheme="minorEastAsia" w:hAnsiTheme="minorHAnsi" w:cstheme="minorBidi"/>
                <w:color w:val="000000"/>
              </w:rPr>
            </w:pPr>
            <w:r w:rsidRPr="00733993">
              <w:rPr>
                <w:rFonts w:asciiTheme="minorHAnsi" w:eastAsiaTheme="minorEastAsia" w:hAnsiTheme="minorHAnsi" w:cstheme="minorBidi"/>
                <w:color w:val="000000"/>
              </w:rPr>
              <w:t>431 991</w:t>
            </w:r>
          </w:p>
        </w:tc>
        <w:tc>
          <w:tcPr>
            <w:tcW w:w="1020" w:type="dxa"/>
            <w:shd w:val="clear" w:color="auto" w:fill="B6DDE8" w:themeFill="accent5" w:themeFillTint="66"/>
            <w:vAlign w:val="center"/>
            <w:hideMark/>
          </w:tcPr>
          <w:p w:rsidR="00013CB0" w:rsidRPr="00733993" w:rsidRDefault="00013CB0" w:rsidP="00D93E7B">
            <w:pPr>
              <w:jc w:val="right"/>
              <w:cnfStyle w:val="000000100000"/>
              <w:rPr>
                <w:rFonts w:asciiTheme="minorHAnsi" w:eastAsiaTheme="minorEastAsia" w:hAnsiTheme="minorHAnsi" w:cstheme="minorBidi"/>
                <w:color w:val="000000"/>
              </w:rPr>
            </w:pPr>
            <w:r w:rsidRPr="00733993">
              <w:rPr>
                <w:rFonts w:asciiTheme="minorHAnsi" w:eastAsiaTheme="minorEastAsia" w:hAnsiTheme="minorHAnsi" w:cstheme="minorBidi"/>
                <w:color w:val="000000"/>
              </w:rPr>
              <w:t>13</w:t>
            </w:r>
          </w:p>
        </w:tc>
        <w:tc>
          <w:tcPr>
            <w:tcW w:w="1020" w:type="dxa"/>
            <w:shd w:val="clear" w:color="auto" w:fill="B6DDE8" w:themeFill="accent5" w:themeFillTint="66"/>
            <w:vAlign w:val="center"/>
            <w:hideMark/>
          </w:tcPr>
          <w:p w:rsidR="00013CB0" w:rsidRPr="00733993" w:rsidRDefault="00013CB0" w:rsidP="00D93E7B">
            <w:pPr>
              <w:jc w:val="right"/>
              <w:cnfStyle w:val="000000100000"/>
              <w:rPr>
                <w:rFonts w:asciiTheme="minorHAnsi" w:eastAsiaTheme="minorEastAsia" w:hAnsiTheme="minorHAnsi" w:cstheme="minorBidi"/>
                <w:color w:val="000000"/>
              </w:rPr>
            </w:pPr>
            <w:r w:rsidRPr="00733993">
              <w:rPr>
                <w:rFonts w:asciiTheme="minorHAnsi" w:eastAsiaTheme="minorEastAsia" w:hAnsiTheme="minorHAnsi" w:cstheme="minorBidi"/>
                <w:color w:val="000000"/>
              </w:rPr>
              <w:t>3</w:t>
            </w:r>
          </w:p>
        </w:tc>
        <w:tc>
          <w:tcPr>
            <w:tcW w:w="898" w:type="dxa"/>
            <w:shd w:val="clear" w:color="auto" w:fill="B6DDE8" w:themeFill="accent5" w:themeFillTint="66"/>
            <w:vAlign w:val="center"/>
            <w:hideMark/>
          </w:tcPr>
          <w:p w:rsidR="00013CB0" w:rsidRPr="00733993" w:rsidRDefault="00013CB0" w:rsidP="00D93E7B">
            <w:pPr>
              <w:jc w:val="right"/>
              <w:cnfStyle w:val="000000100000"/>
              <w:rPr>
                <w:rFonts w:asciiTheme="minorHAnsi" w:eastAsiaTheme="minorEastAsia" w:hAnsiTheme="minorHAnsi" w:cstheme="minorBidi"/>
                <w:color w:val="000000"/>
              </w:rPr>
            </w:pPr>
            <w:r w:rsidRPr="00733993">
              <w:rPr>
                <w:rFonts w:asciiTheme="minorHAnsi" w:eastAsiaTheme="minorEastAsia" w:hAnsiTheme="minorHAnsi" w:cstheme="minorBidi"/>
                <w:color w:val="000000"/>
              </w:rPr>
              <w:t>3</w:t>
            </w:r>
          </w:p>
        </w:tc>
      </w:tr>
      <w:tr w:rsidR="00013CB0" w:rsidRPr="00733993" w:rsidTr="00013CB0">
        <w:trPr>
          <w:trHeight w:val="300"/>
        </w:trPr>
        <w:tc>
          <w:tcPr>
            <w:cnfStyle w:val="001000000000"/>
            <w:tcW w:w="2551" w:type="dxa"/>
            <w:hideMark/>
          </w:tcPr>
          <w:p w:rsidR="00013CB0" w:rsidRPr="00733993" w:rsidRDefault="00013CB0" w:rsidP="00013CB0">
            <w:pPr>
              <w:jc w:val="both"/>
              <w:rPr>
                <w:rFonts w:asciiTheme="minorHAnsi" w:eastAsiaTheme="minorEastAsia" w:hAnsiTheme="minorHAnsi" w:cstheme="minorBidi"/>
                <w:color w:val="000000"/>
              </w:rPr>
            </w:pPr>
            <w:r w:rsidRPr="00733993">
              <w:rPr>
                <w:rFonts w:asciiTheme="minorHAnsi" w:eastAsiaTheme="minorEastAsia" w:hAnsiTheme="minorHAnsi" w:cstheme="minorBidi"/>
                <w:color w:val="000000"/>
              </w:rPr>
              <w:t xml:space="preserve">Northern Territory </w:t>
            </w:r>
          </w:p>
        </w:tc>
        <w:tc>
          <w:tcPr>
            <w:tcW w:w="1247" w:type="dxa"/>
            <w:vAlign w:val="center"/>
            <w:hideMark/>
          </w:tcPr>
          <w:p w:rsidR="00013CB0" w:rsidRPr="00733993" w:rsidRDefault="00013CB0" w:rsidP="00D93E7B">
            <w:pPr>
              <w:jc w:val="right"/>
              <w:cnfStyle w:val="000000000000"/>
              <w:rPr>
                <w:rFonts w:asciiTheme="minorHAnsi" w:eastAsiaTheme="minorEastAsia" w:hAnsiTheme="minorHAnsi" w:cstheme="minorBidi"/>
                <w:color w:val="000000"/>
              </w:rPr>
            </w:pPr>
            <w:r w:rsidRPr="00733993">
              <w:rPr>
                <w:rFonts w:asciiTheme="minorHAnsi" w:eastAsiaTheme="minorEastAsia" w:hAnsiTheme="minorHAnsi" w:cstheme="minorBidi"/>
                <w:color w:val="000000"/>
              </w:rPr>
              <w:t>118 178</w:t>
            </w:r>
          </w:p>
        </w:tc>
        <w:tc>
          <w:tcPr>
            <w:tcW w:w="1247" w:type="dxa"/>
            <w:vAlign w:val="center"/>
            <w:hideMark/>
          </w:tcPr>
          <w:p w:rsidR="00013CB0" w:rsidRPr="00733993" w:rsidRDefault="00013CB0" w:rsidP="00D93E7B">
            <w:pPr>
              <w:jc w:val="right"/>
              <w:cnfStyle w:val="000000000000"/>
              <w:rPr>
                <w:rFonts w:asciiTheme="minorHAnsi" w:eastAsiaTheme="minorEastAsia" w:hAnsiTheme="minorHAnsi" w:cstheme="minorBidi"/>
                <w:color w:val="000000"/>
              </w:rPr>
            </w:pPr>
            <w:r w:rsidRPr="00733993">
              <w:rPr>
                <w:rFonts w:asciiTheme="minorHAnsi" w:eastAsiaTheme="minorEastAsia" w:hAnsiTheme="minorHAnsi" w:cstheme="minorBidi"/>
                <w:color w:val="000000"/>
              </w:rPr>
              <w:t>137 082</w:t>
            </w:r>
          </w:p>
        </w:tc>
        <w:tc>
          <w:tcPr>
            <w:tcW w:w="1247" w:type="dxa"/>
            <w:vAlign w:val="center"/>
            <w:hideMark/>
          </w:tcPr>
          <w:p w:rsidR="00013CB0" w:rsidRPr="00733993" w:rsidRDefault="00013CB0" w:rsidP="00D93E7B">
            <w:pPr>
              <w:jc w:val="right"/>
              <w:cnfStyle w:val="000000000000"/>
              <w:rPr>
                <w:rFonts w:asciiTheme="minorHAnsi" w:eastAsiaTheme="minorEastAsia" w:hAnsiTheme="minorHAnsi" w:cstheme="minorBidi"/>
                <w:color w:val="000000"/>
              </w:rPr>
            </w:pPr>
            <w:r w:rsidRPr="00733993">
              <w:rPr>
                <w:rFonts w:asciiTheme="minorHAnsi" w:eastAsiaTheme="minorEastAsia" w:hAnsiTheme="minorHAnsi" w:cstheme="minorBidi"/>
                <w:color w:val="000000"/>
              </w:rPr>
              <w:t>141 101</w:t>
            </w:r>
          </w:p>
        </w:tc>
        <w:tc>
          <w:tcPr>
            <w:tcW w:w="1020" w:type="dxa"/>
            <w:vAlign w:val="center"/>
            <w:hideMark/>
          </w:tcPr>
          <w:p w:rsidR="00013CB0" w:rsidRPr="00733993" w:rsidRDefault="00013CB0" w:rsidP="00D93E7B">
            <w:pPr>
              <w:jc w:val="right"/>
              <w:cnfStyle w:val="000000000000"/>
              <w:rPr>
                <w:rFonts w:asciiTheme="minorHAnsi" w:eastAsiaTheme="minorEastAsia" w:hAnsiTheme="minorHAnsi" w:cstheme="minorBidi"/>
                <w:color w:val="000000"/>
              </w:rPr>
            </w:pPr>
            <w:r w:rsidRPr="00733993">
              <w:rPr>
                <w:rFonts w:asciiTheme="minorHAnsi" w:eastAsiaTheme="minorEastAsia" w:hAnsiTheme="minorHAnsi" w:cstheme="minorBidi"/>
                <w:color w:val="000000"/>
              </w:rPr>
              <w:t>19</w:t>
            </w:r>
          </w:p>
        </w:tc>
        <w:tc>
          <w:tcPr>
            <w:tcW w:w="1020" w:type="dxa"/>
            <w:vAlign w:val="center"/>
            <w:hideMark/>
          </w:tcPr>
          <w:p w:rsidR="00013CB0" w:rsidRPr="00733993" w:rsidRDefault="00013CB0" w:rsidP="00D93E7B">
            <w:pPr>
              <w:jc w:val="right"/>
              <w:cnfStyle w:val="000000000000"/>
              <w:rPr>
                <w:rFonts w:asciiTheme="minorHAnsi" w:eastAsiaTheme="minorEastAsia" w:hAnsiTheme="minorHAnsi" w:cstheme="minorBidi"/>
                <w:color w:val="000000"/>
              </w:rPr>
            </w:pPr>
            <w:r w:rsidRPr="00733993">
              <w:rPr>
                <w:rFonts w:asciiTheme="minorHAnsi" w:eastAsiaTheme="minorEastAsia" w:hAnsiTheme="minorHAnsi" w:cstheme="minorBidi"/>
                <w:color w:val="000000"/>
              </w:rPr>
              <w:t>3</w:t>
            </w:r>
          </w:p>
        </w:tc>
        <w:tc>
          <w:tcPr>
            <w:tcW w:w="898" w:type="dxa"/>
            <w:vAlign w:val="center"/>
            <w:hideMark/>
          </w:tcPr>
          <w:p w:rsidR="00013CB0" w:rsidRPr="00733993" w:rsidRDefault="00013CB0" w:rsidP="00D93E7B">
            <w:pPr>
              <w:jc w:val="right"/>
              <w:cnfStyle w:val="000000000000"/>
              <w:rPr>
                <w:rFonts w:asciiTheme="minorHAnsi" w:eastAsiaTheme="minorEastAsia" w:hAnsiTheme="minorHAnsi" w:cstheme="minorBidi"/>
                <w:color w:val="000000"/>
              </w:rPr>
            </w:pPr>
            <w:r w:rsidRPr="00733993">
              <w:rPr>
                <w:rFonts w:asciiTheme="minorHAnsi" w:eastAsiaTheme="minorEastAsia" w:hAnsiTheme="minorHAnsi" w:cstheme="minorBidi"/>
                <w:color w:val="000000"/>
              </w:rPr>
              <w:t>4</w:t>
            </w:r>
          </w:p>
        </w:tc>
      </w:tr>
      <w:tr w:rsidR="00013CB0" w:rsidRPr="00733993" w:rsidTr="00013CB0">
        <w:trPr>
          <w:cnfStyle w:val="000000100000"/>
          <w:trHeight w:val="510"/>
        </w:trPr>
        <w:tc>
          <w:tcPr>
            <w:cnfStyle w:val="001000000000"/>
            <w:tcW w:w="2551" w:type="dxa"/>
            <w:hideMark/>
          </w:tcPr>
          <w:p w:rsidR="00013CB0" w:rsidRPr="00733993" w:rsidRDefault="00013CB0" w:rsidP="00013CB0">
            <w:pPr>
              <w:jc w:val="both"/>
              <w:rPr>
                <w:rFonts w:asciiTheme="minorHAnsi" w:eastAsiaTheme="minorEastAsia" w:hAnsiTheme="minorHAnsi" w:cstheme="minorBidi"/>
                <w:color w:val="000000"/>
              </w:rPr>
            </w:pPr>
            <w:r w:rsidRPr="00733993">
              <w:rPr>
                <w:rFonts w:asciiTheme="minorHAnsi" w:eastAsiaTheme="minorEastAsia" w:hAnsiTheme="minorHAnsi" w:cstheme="minorBidi"/>
                <w:color w:val="000000"/>
              </w:rPr>
              <w:t xml:space="preserve">Australian Capital Territory </w:t>
            </w:r>
          </w:p>
        </w:tc>
        <w:tc>
          <w:tcPr>
            <w:tcW w:w="1247" w:type="dxa"/>
            <w:vAlign w:val="center"/>
            <w:hideMark/>
          </w:tcPr>
          <w:p w:rsidR="00013CB0" w:rsidRPr="00733993" w:rsidRDefault="00013CB0" w:rsidP="00D93E7B">
            <w:pPr>
              <w:jc w:val="right"/>
              <w:cnfStyle w:val="000000100000"/>
              <w:rPr>
                <w:rFonts w:asciiTheme="minorHAnsi" w:eastAsiaTheme="minorEastAsia" w:hAnsiTheme="minorHAnsi" w:cstheme="minorBidi"/>
                <w:color w:val="000000"/>
              </w:rPr>
            </w:pPr>
            <w:r w:rsidRPr="00733993">
              <w:rPr>
                <w:rFonts w:asciiTheme="minorHAnsi" w:eastAsiaTheme="minorEastAsia" w:hAnsiTheme="minorHAnsi" w:cstheme="minorBidi"/>
                <w:color w:val="000000"/>
              </w:rPr>
              <w:t>229 345</w:t>
            </w:r>
          </w:p>
        </w:tc>
        <w:tc>
          <w:tcPr>
            <w:tcW w:w="1247" w:type="dxa"/>
            <w:vAlign w:val="center"/>
            <w:hideMark/>
          </w:tcPr>
          <w:p w:rsidR="00013CB0" w:rsidRPr="00733993" w:rsidRDefault="00013CB0" w:rsidP="00D93E7B">
            <w:pPr>
              <w:jc w:val="right"/>
              <w:cnfStyle w:val="000000100000"/>
              <w:rPr>
                <w:rFonts w:asciiTheme="minorHAnsi" w:eastAsiaTheme="minorEastAsia" w:hAnsiTheme="minorHAnsi" w:cstheme="minorBidi"/>
                <w:color w:val="000000"/>
              </w:rPr>
            </w:pPr>
            <w:r w:rsidRPr="00733993">
              <w:rPr>
                <w:rFonts w:asciiTheme="minorHAnsi" w:eastAsiaTheme="minorEastAsia" w:hAnsiTheme="minorHAnsi" w:cstheme="minorBidi"/>
                <w:color w:val="000000"/>
              </w:rPr>
              <w:t>258 904</w:t>
            </w:r>
          </w:p>
        </w:tc>
        <w:tc>
          <w:tcPr>
            <w:tcW w:w="1247" w:type="dxa"/>
            <w:vAlign w:val="center"/>
            <w:hideMark/>
          </w:tcPr>
          <w:p w:rsidR="00013CB0" w:rsidRPr="00733993" w:rsidRDefault="00013CB0" w:rsidP="00D93E7B">
            <w:pPr>
              <w:jc w:val="right"/>
              <w:cnfStyle w:val="000000100000"/>
              <w:rPr>
                <w:rFonts w:asciiTheme="minorHAnsi" w:eastAsiaTheme="minorEastAsia" w:hAnsiTheme="minorHAnsi" w:cstheme="minorBidi"/>
                <w:color w:val="000000"/>
              </w:rPr>
            </w:pPr>
            <w:r w:rsidRPr="00733993">
              <w:rPr>
                <w:rFonts w:asciiTheme="minorHAnsi" w:eastAsiaTheme="minorEastAsia" w:hAnsiTheme="minorHAnsi" w:cstheme="minorBidi"/>
                <w:color w:val="000000"/>
              </w:rPr>
              <w:t>267 164</w:t>
            </w:r>
          </w:p>
        </w:tc>
        <w:tc>
          <w:tcPr>
            <w:tcW w:w="1020" w:type="dxa"/>
            <w:vAlign w:val="center"/>
            <w:hideMark/>
          </w:tcPr>
          <w:p w:rsidR="00013CB0" w:rsidRPr="00733993" w:rsidRDefault="00013CB0" w:rsidP="00D93E7B">
            <w:pPr>
              <w:jc w:val="right"/>
              <w:cnfStyle w:val="000000100000"/>
              <w:rPr>
                <w:rFonts w:asciiTheme="minorHAnsi" w:eastAsiaTheme="minorEastAsia" w:hAnsiTheme="minorHAnsi" w:cstheme="minorBidi"/>
                <w:color w:val="000000"/>
              </w:rPr>
            </w:pPr>
            <w:r w:rsidRPr="00733993">
              <w:rPr>
                <w:rFonts w:asciiTheme="minorHAnsi" w:eastAsiaTheme="minorEastAsia" w:hAnsiTheme="minorHAnsi" w:cstheme="minorBidi"/>
                <w:color w:val="000000"/>
              </w:rPr>
              <w:t>17</w:t>
            </w:r>
          </w:p>
        </w:tc>
        <w:tc>
          <w:tcPr>
            <w:tcW w:w="1020" w:type="dxa"/>
            <w:vAlign w:val="center"/>
            <w:hideMark/>
          </w:tcPr>
          <w:p w:rsidR="00013CB0" w:rsidRPr="00733993" w:rsidRDefault="00013CB0" w:rsidP="00D93E7B">
            <w:pPr>
              <w:jc w:val="right"/>
              <w:cnfStyle w:val="000000100000"/>
              <w:rPr>
                <w:rFonts w:asciiTheme="minorHAnsi" w:eastAsiaTheme="minorEastAsia" w:hAnsiTheme="minorHAnsi" w:cstheme="minorBidi"/>
                <w:color w:val="000000"/>
              </w:rPr>
            </w:pPr>
            <w:r w:rsidRPr="00733993">
              <w:rPr>
                <w:rFonts w:asciiTheme="minorHAnsi" w:eastAsiaTheme="minorEastAsia" w:hAnsiTheme="minorHAnsi" w:cstheme="minorBidi"/>
                <w:color w:val="000000"/>
              </w:rPr>
              <w:t>3</w:t>
            </w:r>
          </w:p>
        </w:tc>
        <w:tc>
          <w:tcPr>
            <w:tcW w:w="898" w:type="dxa"/>
            <w:vAlign w:val="center"/>
            <w:hideMark/>
          </w:tcPr>
          <w:p w:rsidR="00013CB0" w:rsidRPr="00733993" w:rsidRDefault="00013CB0" w:rsidP="00D93E7B">
            <w:pPr>
              <w:jc w:val="right"/>
              <w:cnfStyle w:val="000000100000"/>
              <w:rPr>
                <w:rFonts w:asciiTheme="minorHAnsi" w:eastAsiaTheme="minorEastAsia" w:hAnsiTheme="minorHAnsi" w:cstheme="minorBidi"/>
                <w:color w:val="000000"/>
              </w:rPr>
            </w:pPr>
            <w:r w:rsidRPr="00733993">
              <w:rPr>
                <w:rFonts w:asciiTheme="minorHAnsi" w:eastAsiaTheme="minorEastAsia" w:hAnsiTheme="minorHAnsi" w:cstheme="minorBidi"/>
                <w:color w:val="000000"/>
              </w:rPr>
              <w:t>3</w:t>
            </w:r>
          </w:p>
        </w:tc>
      </w:tr>
      <w:tr w:rsidR="00013CB0" w:rsidRPr="00733993" w:rsidTr="00013CB0">
        <w:trPr>
          <w:trHeight w:val="300"/>
        </w:trPr>
        <w:tc>
          <w:tcPr>
            <w:cnfStyle w:val="001000000000"/>
            <w:tcW w:w="2551" w:type="dxa"/>
            <w:hideMark/>
          </w:tcPr>
          <w:p w:rsidR="00013CB0" w:rsidRPr="00733993" w:rsidRDefault="00013CB0" w:rsidP="00013CB0">
            <w:pPr>
              <w:jc w:val="both"/>
              <w:rPr>
                <w:rFonts w:asciiTheme="minorHAnsi" w:eastAsiaTheme="minorEastAsia" w:hAnsiTheme="minorHAnsi" w:cstheme="minorBidi"/>
                <w:b w:val="0"/>
                <w:bCs w:val="0"/>
                <w:color w:val="000000"/>
              </w:rPr>
            </w:pPr>
            <w:r w:rsidRPr="00733993">
              <w:rPr>
                <w:rFonts w:asciiTheme="minorHAnsi" w:eastAsiaTheme="minorEastAsia" w:hAnsiTheme="minorHAnsi" w:cstheme="minorBidi"/>
                <w:b w:val="0"/>
                <w:bCs w:val="0"/>
                <w:color w:val="000000"/>
              </w:rPr>
              <w:t xml:space="preserve">Australia </w:t>
            </w:r>
          </w:p>
        </w:tc>
        <w:tc>
          <w:tcPr>
            <w:tcW w:w="1247" w:type="dxa"/>
            <w:vAlign w:val="center"/>
            <w:hideMark/>
          </w:tcPr>
          <w:p w:rsidR="00013CB0" w:rsidRPr="00733993" w:rsidRDefault="00013CB0" w:rsidP="00D93E7B">
            <w:pPr>
              <w:jc w:val="right"/>
              <w:cnfStyle w:val="000000000000"/>
              <w:rPr>
                <w:rFonts w:asciiTheme="minorHAnsi" w:eastAsiaTheme="minorEastAsia" w:hAnsiTheme="minorHAnsi" w:cstheme="minorBidi"/>
                <w:b/>
                <w:bCs/>
                <w:color w:val="000000"/>
              </w:rPr>
            </w:pPr>
            <w:r w:rsidRPr="00733993">
              <w:rPr>
                <w:rFonts w:asciiTheme="minorHAnsi" w:eastAsiaTheme="minorEastAsia" w:hAnsiTheme="minorHAnsi" w:cstheme="minorBidi"/>
                <w:b/>
                <w:bCs/>
                <w:color w:val="000000"/>
              </w:rPr>
              <w:t>14 774 921</w:t>
            </w:r>
          </w:p>
        </w:tc>
        <w:tc>
          <w:tcPr>
            <w:tcW w:w="1247" w:type="dxa"/>
            <w:vAlign w:val="center"/>
            <w:hideMark/>
          </w:tcPr>
          <w:p w:rsidR="00013CB0" w:rsidRPr="00733993" w:rsidRDefault="00013CB0" w:rsidP="00D93E7B">
            <w:pPr>
              <w:jc w:val="right"/>
              <w:cnfStyle w:val="000000000000"/>
              <w:rPr>
                <w:rFonts w:asciiTheme="minorHAnsi" w:eastAsiaTheme="minorEastAsia" w:hAnsiTheme="minorHAnsi" w:cstheme="minorBidi"/>
                <w:b/>
                <w:bCs/>
                <w:color w:val="000000"/>
              </w:rPr>
            </w:pPr>
            <w:r w:rsidRPr="00733993">
              <w:rPr>
                <w:rFonts w:asciiTheme="minorHAnsi" w:eastAsiaTheme="minorEastAsia" w:hAnsiTheme="minorHAnsi" w:cstheme="minorBidi"/>
                <w:b/>
                <w:bCs/>
                <w:color w:val="000000"/>
              </w:rPr>
              <w:t>16 368 383</w:t>
            </w:r>
          </w:p>
        </w:tc>
        <w:tc>
          <w:tcPr>
            <w:tcW w:w="1247" w:type="dxa"/>
            <w:vAlign w:val="center"/>
            <w:hideMark/>
          </w:tcPr>
          <w:p w:rsidR="00013CB0" w:rsidRPr="00733993" w:rsidRDefault="00013CB0" w:rsidP="00D93E7B">
            <w:pPr>
              <w:jc w:val="right"/>
              <w:cnfStyle w:val="000000000000"/>
              <w:rPr>
                <w:rFonts w:asciiTheme="minorHAnsi" w:eastAsiaTheme="minorEastAsia" w:hAnsiTheme="minorHAnsi" w:cstheme="minorBidi"/>
                <w:b/>
                <w:bCs/>
                <w:color w:val="000000"/>
              </w:rPr>
            </w:pPr>
            <w:r w:rsidRPr="00733993">
              <w:rPr>
                <w:rFonts w:asciiTheme="minorHAnsi" w:eastAsiaTheme="minorEastAsia" w:hAnsiTheme="minorHAnsi" w:cstheme="minorBidi"/>
                <w:b/>
                <w:bCs/>
                <w:color w:val="000000"/>
              </w:rPr>
              <w:t>16 741 644</w:t>
            </w:r>
          </w:p>
        </w:tc>
        <w:tc>
          <w:tcPr>
            <w:tcW w:w="1020" w:type="dxa"/>
            <w:vAlign w:val="center"/>
            <w:hideMark/>
          </w:tcPr>
          <w:p w:rsidR="00013CB0" w:rsidRPr="00733993" w:rsidRDefault="00013CB0" w:rsidP="00D93E7B">
            <w:pPr>
              <w:jc w:val="right"/>
              <w:cnfStyle w:val="000000000000"/>
              <w:rPr>
                <w:rFonts w:asciiTheme="minorHAnsi" w:eastAsiaTheme="minorEastAsia" w:hAnsiTheme="minorHAnsi" w:cstheme="minorBidi"/>
                <w:b/>
                <w:bCs/>
                <w:color w:val="000000"/>
              </w:rPr>
            </w:pPr>
            <w:r w:rsidRPr="00733993">
              <w:rPr>
                <w:rFonts w:asciiTheme="minorHAnsi" w:eastAsiaTheme="minorEastAsia" w:hAnsiTheme="minorHAnsi" w:cstheme="minorBidi"/>
                <w:b/>
                <w:bCs/>
                <w:color w:val="000000"/>
              </w:rPr>
              <w:t>13</w:t>
            </w:r>
          </w:p>
        </w:tc>
        <w:tc>
          <w:tcPr>
            <w:tcW w:w="1020" w:type="dxa"/>
            <w:vAlign w:val="center"/>
            <w:hideMark/>
          </w:tcPr>
          <w:p w:rsidR="00013CB0" w:rsidRPr="00733993" w:rsidRDefault="00013CB0" w:rsidP="00D93E7B">
            <w:pPr>
              <w:jc w:val="right"/>
              <w:cnfStyle w:val="000000000000"/>
              <w:rPr>
                <w:rFonts w:asciiTheme="minorHAnsi" w:eastAsiaTheme="minorEastAsia" w:hAnsiTheme="minorHAnsi" w:cstheme="minorBidi"/>
                <w:b/>
                <w:bCs/>
                <w:color w:val="000000"/>
              </w:rPr>
            </w:pPr>
            <w:r w:rsidRPr="00733993">
              <w:rPr>
                <w:rFonts w:asciiTheme="minorHAnsi" w:eastAsiaTheme="minorEastAsia" w:hAnsiTheme="minorHAnsi" w:cstheme="minorBidi"/>
                <w:b/>
                <w:bCs/>
                <w:color w:val="000000"/>
              </w:rPr>
              <w:t>2</w:t>
            </w:r>
          </w:p>
        </w:tc>
        <w:tc>
          <w:tcPr>
            <w:tcW w:w="898" w:type="dxa"/>
            <w:vAlign w:val="center"/>
            <w:hideMark/>
          </w:tcPr>
          <w:p w:rsidR="00013CB0" w:rsidRPr="00733993" w:rsidRDefault="00013CB0" w:rsidP="00D93E7B">
            <w:pPr>
              <w:jc w:val="right"/>
              <w:cnfStyle w:val="000000000000"/>
              <w:rPr>
                <w:rFonts w:asciiTheme="minorHAnsi" w:eastAsiaTheme="minorEastAsia" w:hAnsiTheme="minorHAnsi" w:cstheme="minorBidi"/>
                <w:b/>
                <w:bCs/>
                <w:color w:val="000000"/>
              </w:rPr>
            </w:pPr>
            <w:r w:rsidRPr="00733993">
              <w:rPr>
                <w:rFonts w:asciiTheme="minorHAnsi" w:eastAsiaTheme="minorEastAsia" w:hAnsiTheme="minorHAnsi" w:cstheme="minorBidi"/>
                <w:b/>
                <w:bCs/>
                <w:color w:val="000000"/>
              </w:rPr>
              <w:t>3</w:t>
            </w:r>
          </w:p>
        </w:tc>
      </w:tr>
    </w:tbl>
    <w:p w:rsidR="00013CB0" w:rsidRDefault="00013CB0" w:rsidP="00013CB0">
      <w:pPr>
        <w:jc w:val="both"/>
        <w:rPr>
          <w:i/>
        </w:rPr>
      </w:pPr>
      <w:r w:rsidRPr="00013CB0">
        <w:rPr>
          <w:i/>
        </w:rPr>
        <w:t>Figure 13: Vehicle Registrations years 2007, 2011 and 2012</w:t>
      </w:r>
    </w:p>
    <w:p w:rsidR="00AE3440" w:rsidRDefault="000C5C15" w:rsidP="00604159">
      <w:pPr>
        <w:pStyle w:val="Heading1"/>
        <w:jc w:val="both"/>
      </w:pPr>
      <w:bookmarkStart w:id="11" w:name="_Toc341047901"/>
      <w:r>
        <w:t>R</w:t>
      </w:r>
      <w:r w:rsidR="00AE3440">
        <w:t xml:space="preserve">easons </w:t>
      </w:r>
      <w:r>
        <w:t>w</w:t>
      </w:r>
      <w:r w:rsidR="00AE3440">
        <w:t xml:space="preserve">hy </w:t>
      </w:r>
      <w:r>
        <w:t>v</w:t>
      </w:r>
      <w:r w:rsidR="00AE3440">
        <w:t>ehicles</w:t>
      </w:r>
      <w:r w:rsidR="00AE3440" w:rsidRPr="000638E8">
        <w:t xml:space="preserve"> </w:t>
      </w:r>
      <w:r>
        <w:t>a</w:t>
      </w:r>
      <w:r w:rsidR="00AE3440" w:rsidRPr="000638E8">
        <w:t xml:space="preserve">re </w:t>
      </w:r>
      <w:r>
        <w:t>u</w:t>
      </w:r>
      <w:r w:rsidR="00AE3440" w:rsidRPr="000638E8">
        <w:t>nregistered</w:t>
      </w:r>
      <w:bookmarkEnd w:id="11"/>
    </w:p>
    <w:p w:rsidR="00AE3440" w:rsidRPr="000638E8" w:rsidRDefault="00AE3440" w:rsidP="00995E2B">
      <w:pPr>
        <w:jc w:val="both"/>
      </w:pPr>
      <w:r w:rsidRPr="000638E8">
        <w:t>When examining the issue of driving</w:t>
      </w:r>
      <w:r>
        <w:t xml:space="preserve"> an unregistered vehicle</w:t>
      </w:r>
      <w:r w:rsidRPr="000638E8">
        <w:t xml:space="preserve">, it is important to consider the reason for </w:t>
      </w:r>
      <w:r>
        <w:t>the vehicle being unregistered</w:t>
      </w:r>
      <w:r w:rsidRPr="000638E8">
        <w:t>.</w:t>
      </w:r>
      <w:r>
        <w:t xml:space="preserve">  In doing so, a basis for analys</w:t>
      </w:r>
      <w:r w:rsidRPr="000638E8">
        <w:t xml:space="preserve">ing </w:t>
      </w:r>
      <w:r>
        <w:t>registration</w:t>
      </w:r>
      <w:r w:rsidR="005518C5">
        <w:t xml:space="preserve"> and</w:t>
      </w:r>
      <w:r w:rsidRPr="000638E8">
        <w:t xml:space="preserve"> driving </w:t>
      </w:r>
      <w:r>
        <w:t xml:space="preserve">of an unregistered vehicle </w:t>
      </w:r>
      <w:r w:rsidRPr="000638E8">
        <w:t xml:space="preserve">can be formed. </w:t>
      </w:r>
    </w:p>
    <w:p w:rsidR="00AE3440" w:rsidRPr="000638E8" w:rsidRDefault="00AE3440" w:rsidP="00995E2B">
      <w:pPr>
        <w:jc w:val="both"/>
      </w:pPr>
      <w:r w:rsidRPr="000638E8">
        <w:t>The</w:t>
      </w:r>
      <w:r>
        <w:t xml:space="preserve"> primary reason</w:t>
      </w:r>
      <w:r w:rsidRPr="000638E8">
        <w:t xml:space="preserve"> for </w:t>
      </w:r>
      <w:r>
        <w:t>vehicles</w:t>
      </w:r>
      <w:r w:rsidRPr="000638E8">
        <w:t xml:space="preserve"> to be </w:t>
      </w:r>
      <w:r>
        <w:t>unregistered</w:t>
      </w:r>
      <w:r w:rsidRPr="000638E8">
        <w:t xml:space="preserve"> is </w:t>
      </w:r>
      <w:r>
        <w:t>failure to renew registration</w:t>
      </w:r>
      <w:r w:rsidR="005B07B3">
        <w:t>. The reasons for not renewing registration have been listed as</w:t>
      </w:r>
      <w:r w:rsidRPr="000638E8">
        <w:t>:</w:t>
      </w:r>
    </w:p>
    <w:p w:rsidR="00AE3440" w:rsidRDefault="00AE3440" w:rsidP="0067514C">
      <w:pPr>
        <w:numPr>
          <w:ilvl w:val="0"/>
          <w:numId w:val="9"/>
        </w:numPr>
        <w:jc w:val="both"/>
      </w:pPr>
      <w:r>
        <w:t>The cost of registration and CTP</w:t>
      </w:r>
    </w:p>
    <w:p w:rsidR="00AE3440" w:rsidRPr="000638E8" w:rsidRDefault="00AE3440" w:rsidP="0067514C">
      <w:pPr>
        <w:numPr>
          <w:ilvl w:val="0"/>
          <w:numId w:val="9"/>
        </w:numPr>
        <w:jc w:val="both"/>
      </w:pPr>
      <w:r>
        <w:t>Disparity in cost o</w:t>
      </w:r>
      <w:r w:rsidRPr="000638E8">
        <w:t xml:space="preserve">f </w:t>
      </w:r>
      <w:r>
        <w:t>CTP</w:t>
      </w:r>
    </w:p>
    <w:p w:rsidR="00AE3440" w:rsidRDefault="00AE3440" w:rsidP="0067514C">
      <w:pPr>
        <w:numPr>
          <w:ilvl w:val="0"/>
          <w:numId w:val="9"/>
        </w:numPr>
        <w:jc w:val="both"/>
      </w:pPr>
      <w:r>
        <w:t>Vehicle value and responsibilities in entering the process</w:t>
      </w:r>
    </w:p>
    <w:p w:rsidR="00AE3440" w:rsidRPr="000638E8" w:rsidRDefault="00AE3440" w:rsidP="0067514C">
      <w:pPr>
        <w:numPr>
          <w:ilvl w:val="0"/>
          <w:numId w:val="9"/>
        </w:numPr>
        <w:jc w:val="both"/>
      </w:pPr>
      <w:r>
        <w:t xml:space="preserve">Undervaluing or misunderstanding </w:t>
      </w:r>
      <w:r w:rsidRPr="000638E8">
        <w:t>the purpose</w:t>
      </w:r>
      <w:r w:rsidR="007D7321">
        <w:t xml:space="preserve"> of</w:t>
      </w:r>
      <w:r w:rsidRPr="000638E8">
        <w:t xml:space="preserve"> </w:t>
      </w:r>
      <w:r>
        <w:t>registration and CTP</w:t>
      </w:r>
    </w:p>
    <w:p w:rsidR="00AE3440" w:rsidRPr="000638E8" w:rsidRDefault="00AE3440" w:rsidP="0067514C">
      <w:pPr>
        <w:numPr>
          <w:ilvl w:val="0"/>
          <w:numId w:val="9"/>
        </w:numPr>
        <w:jc w:val="both"/>
      </w:pPr>
      <w:r>
        <w:t xml:space="preserve">Direct deviance based on </w:t>
      </w:r>
      <w:r w:rsidRPr="000638E8">
        <w:t xml:space="preserve">lack </w:t>
      </w:r>
      <w:r>
        <w:t xml:space="preserve">or perceived lack </w:t>
      </w:r>
      <w:r w:rsidRPr="000638E8">
        <w:t>of visual enforcement.</w:t>
      </w:r>
    </w:p>
    <w:p w:rsidR="00AE3440" w:rsidRPr="00C86BC5" w:rsidRDefault="008605CE" w:rsidP="00995E2B">
      <w:pPr>
        <w:jc w:val="both"/>
      </w:pPr>
      <w:r>
        <w:t>Each of these is described in turn below.</w:t>
      </w:r>
    </w:p>
    <w:p w:rsidR="005F3F41" w:rsidRPr="00A62E86" w:rsidRDefault="005F3F41" w:rsidP="005F3F41">
      <w:pPr>
        <w:spacing w:after="0"/>
        <w:jc w:val="both"/>
        <w:rPr>
          <w:b/>
          <w:sz w:val="24"/>
          <w:szCs w:val="24"/>
        </w:rPr>
      </w:pPr>
      <w:r w:rsidRPr="00A62E86">
        <w:rPr>
          <w:b/>
          <w:sz w:val="24"/>
          <w:szCs w:val="24"/>
        </w:rPr>
        <w:t>The cost of registration and CTP</w:t>
      </w:r>
    </w:p>
    <w:p w:rsidR="00AE3440" w:rsidRDefault="00AE3440" w:rsidP="005F3F41">
      <w:pPr>
        <w:spacing w:after="0"/>
        <w:jc w:val="both"/>
      </w:pPr>
      <w:r>
        <w:t>The cost of vehicle registration and CTP vary greatly between Australian jurisdictions.  As see</w:t>
      </w:r>
      <w:r w:rsidR="005F3F41">
        <w:t>n</w:t>
      </w:r>
      <w:r>
        <w:t xml:space="preserve"> in Figure </w:t>
      </w:r>
      <w:r w:rsidR="00013CB0">
        <w:t>13</w:t>
      </w:r>
      <w:r>
        <w:t>, registration and associated fees range from $100 to $200 and can incor</w:t>
      </w:r>
      <w:r w:rsidR="007D7321">
        <w:t>porate a series of fees or levie</w:t>
      </w:r>
      <w:r>
        <w:t>s.  The cost of CTP is dependent on the number of ‘risk’ factors a driver can be categorised by; age, gender, location, vehicle type, size and relative market value.</w:t>
      </w:r>
      <w:r w:rsidR="009E3AC7">
        <w:t xml:space="preserve"> The Motor Accident Insurance Board (MAIB) apply a standardised rate to Tasmanian operators. </w:t>
      </w:r>
    </w:p>
    <w:p w:rsidR="003D0DFC" w:rsidRDefault="003D0DFC" w:rsidP="005F3F41">
      <w:pPr>
        <w:spacing w:after="0"/>
        <w:jc w:val="both"/>
      </w:pPr>
    </w:p>
    <w:tbl>
      <w:tblPr>
        <w:tblStyle w:val="MediumShading1-Accent5"/>
        <w:tblW w:w="0" w:type="auto"/>
        <w:tblLook w:val="04A0"/>
      </w:tblPr>
      <w:tblGrid>
        <w:gridCol w:w="1618"/>
        <w:gridCol w:w="1308"/>
        <w:gridCol w:w="1353"/>
        <w:gridCol w:w="1329"/>
        <w:gridCol w:w="1269"/>
        <w:gridCol w:w="1180"/>
        <w:gridCol w:w="1185"/>
      </w:tblGrid>
      <w:tr w:rsidR="00D17D5D" w:rsidTr="003F6264">
        <w:trPr>
          <w:cnfStyle w:val="100000000000"/>
        </w:trPr>
        <w:tc>
          <w:tcPr>
            <w:cnfStyle w:val="001000000000"/>
            <w:tcW w:w="1627" w:type="dxa"/>
          </w:tcPr>
          <w:p w:rsidR="00B32FED" w:rsidRDefault="00B32FED" w:rsidP="003F6264">
            <w:pPr>
              <w:jc w:val="both"/>
              <w:rPr>
                <w:b w:val="0"/>
                <w:bCs w:val="0"/>
              </w:rPr>
            </w:pPr>
          </w:p>
        </w:tc>
        <w:tc>
          <w:tcPr>
            <w:tcW w:w="1318" w:type="dxa"/>
            <w:hideMark/>
          </w:tcPr>
          <w:p w:rsidR="00B32FED" w:rsidRDefault="00B32FED" w:rsidP="003F6264">
            <w:pPr>
              <w:jc w:val="both"/>
              <w:cnfStyle w:val="100000000000"/>
              <w:rPr>
                <w:b w:val="0"/>
                <w:bCs w:val="0"/>
              </w:rPr>
            </w:pPr>
            <w:r>
              <w:t>WA</w:t>
            </w:r>
          </w:p>
        </w:tc>
        <w:tc>
          <w:tcPr>
            <w:tcW w:w="1364" w:type="dxa"/>
            <w:hideMark/>
          </w:tcPr>
          <w:p w:rsidR="00B32FED" w:rsidRDefault="00B32FED" w:rsidP="003F6264">
            <w:pPr>
              <w:jc w:val="both"/>
              <w:cnfStyle w:val="100000000000"/>
              <w:rPr>
                <w:b w:val="0"/>
                <w:bCs w:val="0"/>
              </w:rPr>
            </w:pPr>
            <w:r>
              <w:t>NSW</w:t>
            </w:r>
          </w:p>
        </w:tc>
        <w:tc>
          <w:tcPr>
            <w:tcW w:w="1339" w:type="dxa"/>
            <w:hideMark/>
          </w:tcPr>
          <w:p w:rsidR="00B32FED" w:rsidRDefault="00B32FED" w:rsidP="003F6264">
            <w:pPr>
              <w:jc w:val="both"/>
              <w:cnfStyle w:val="100000000000"/>
              <w:rPr>
                <w:b w:val="0"/>
                <w:bCs w:val="0"/>
              </w:rPr>
            </w:pPr>
            <w:r>
              <w:t>QLD</w:t>
            </w:r>
          </w:p>
        </w:tc>
        <w:tc>
          <w:tcPr>
            <w:tcW w:w="1278" w:type="dxa"/>
            <w:hideMark/>
          </w:tcPr>
          <w:p w:rsidR="00B32FED" w:rsidRDefault="00B32FED" w:rsidP="003F6264">
            <w:pPr>
              <w:jc w:val="both"/>
              <w:cnfStyle w:val="100000000000"/>
              <w:rPr>
                <w:b w:val="0"/>
                <w:bCs w:val="0"/>
              </w:rPr>
            </w:pPr>
            <w:r>
              <w:t>SA</w:t>
            </w:r>
          </w:p>
        </w:tc>
        <w:tc>
          <w:tcPr>
            <w:tcW w:w="1187" w:type="dxa"/>
            <w:hideMark/>
          </w:tcPr>
          <w:p w:rsidR="00B32FED" w:rsidRDefault="00B32FED" w:rsidP="003F6264">
            <w:pPr>
              <w:jc w:val="both"/>
              <w:cnfStyle w:val="100000000000"/>
              <w:rPr>
                <w:b w:val="0"/>
                <w:bCs w:val="0"/>
              </w:rPr>
            </w:pPr>
            <w:r>
              <w:t>TAS</w:t>
            </w:r>
          </w:p>
        </w:tc>
        <w:tc>
          <w:tcPr>
            <w:tcW w:w="1187" w:type="dxa"/>
            <w:hideMark/>
          </w:tcPr>
          <w:p w:rsidR="00B32FED" w:rsidRDefault="00B32FED" w:rsidP="003F6264">
            <w:pPr>
              <w:jc w:val="both"/>
              <w:cnfStyle w:val="100000000000"/>
              <w:rPr>
                <w:b w:val="0"/>
                <w:bCs w:val="0"/>
              </w:rPr>
            </w:pPr>
            <w:r>
              <w:t>VIC</w:t>
            </w:r>
          </w:p>
        </w:tc>
      </w:tr>
      <w:tr w:rsidR="00D17D5D" w:rsidTr="003F6264">
        <w:trPr>
          <w:cnfStyle w:val="000000100000"/>
        </w:trPr>
        <w:tc>
          <w:tcPr>
            <w:cnfStyle w:val="001000000000"/>
            <w:tcW w:w="1627" w:type="dxa"/>
            <w:hideMark/>
          </w:tcPr>
          <w:p w:rsidR="00B32FED" w:rsidRDefault="00B32FED" w:rsidP="003F6264">
            <w:pPr>
              <w:jc w:val="both"/>
              <w:rPr>
                <w:b w:val="0"/>
                <w:bCs w:val="0"/>
              </w:rPr>
            </w:pPr>
            <w:r>
              <w:t>Registration Fee</w:t>
            </w:r>
          </w:p>
        </w:tc>
        <w:tc>
          <w:tcPr>
            <w:tcW w:w="1318" w:type="dxa"/>
            <w:hideMark/>
          </w:tcPr>
          <w:p w:rsidR="00B32FED" w:rsidRPr="006213F3" w:rsidRDefault="00B32FED" w:rsidP="003F6264">
            <w:pPr>
              <w:jc w:val="both"/>
              <w:cnfStyle w:val="000000100000"/>
            </w:pPr>
            <w:r>
              <w:t>$180.20</w:t>
            </w:r>
          </w:p>
          <w:p w:rsidR="00B32FED" w:rsidRPr="006213F3" w:rsidRDefault="00B32FED" w:rsidP="003F6264">
            <w:pPr>
              <w:jc w:val="both"/>
              <w:cnfStyle w:val="000000100000"/>
            </w:pPr>
            <w:r>
              <w:t>$19.65</w:t>
            </w:r>
          </w:p>
        </w:tc>
        <w:tc>
          <w:tcPr>
            <w:tcW w:w="1364" w:type="dxa"/>
            <w:hideMark/>
          </w:tcPr>
          <w:p w:rsidR="00B32FED" w:rsidRDefault="00B32FED" w:rsidP="003F6264">
            <w:pPr>
              <w:jc w:val="both"/>
              <w:cnfStyle w:val="000000100000"/>
            </w:pPr>
            <w:r>
              <w:t>$59.00</w:t>
            </w:r>
          </w:p>
          <w:p w:rsidR="00B32FED" w:rsidRPr="006213F3" w:rsidRDefault="00B32FED" w:rsidP="003F6264">
            <w:pPr>
              <w:jc w:val="both"/>
              <w:cnfStyle w:val="000000100000"/>
            </w:pPr>
          </w:p>
        </w:tc>
        <w:tc>
          <w:tcPr>
            <w:tcW w:w="1339" w:type="dxa"/>
            <w:hideMark/>
          </w:tcPr>
          <w:p w:rsidR="00B32FED" w:rsidRPr="006213F3" w:rsidRDefault="00B32FED" w:rsidP="003F6264">
            <w:pPr>
              <w:jc w:val="both"/>
              <w:cnfStyle w:val="000000100000"/>
            </w:pPr>
            <w:r>
              <w:t>$280.00</w:t>
            </w:r>
          </w:p>
          <w:p w:rsidR="00B32FED" w:rsidRPr="006213F3" w:rsidRDefault="00B32FED" w:rsidP="003F6264">
            <w:pPr>
              <w:jc w:val="both"/>
              <w:cnfStyle w:val="000000100000"/>
            </w:pPr>
            <w:r>
              <w:t>$48.85</w:t>
            </w:r>
          </w:p>
        </w:tc>
        <w:tc>
          <w:tcPr>
            <w:tcW w:w="1278" w:type="dxa"/>
          </w:tcPr>
          <w:p w:rsidR="00B32FED" w:rsidRPr="006213F3" w:rsidRDefault="00B32FED" w:rsidP="003F6264">
            <w:pPr>
              <w:jc w:val="both"/>
              <w:cnfStyle w:val="000000100000"/>
            </w:pPr>
            <w:r w:rsidRPr="006213F3">
              <w:t>$109.00</w:t>
            </w:r>
          </w:p>
          <w:p w:rsidR="00B32FED" w:rsidRPr="006213F3" w:rsidRDefault="00B32FED" w:rsidP="003F6264">
            <w:pPr>
              <w:jc w:val="both"/>
              <w:cnfStyle w:val="000000100000"/>
            </w:pPr>
            <w:r w:rsidRPr="006213F3">
              <w:t>$106.00</w:t>
            </w:r>
          </w:p>
        </w:tc>
        <w:tc>
          <w:tcPr>
            <w:tcW w:w="1187" w:type="dxa"/>
          </w:tcPr>
          <w:p w:rsidR="00B32FED" w:rsidRPr="006213F3" w:rsidRDefault="00B32FED" w:rsidP="003F6264">
            <w:pPr>
              <w:jc w:val="both"/>
              <w:cnfStyle w:val="000000100000"/>
            </w:pPr>
            <w:r w:rsidRPr="006213F3">
              <w:t>$163.40</w:t>
            </w:r>
          </w:p>
          <w:p w:rsidR="00B32FED" w:rsidRPr="006213F3" w:rsidRDefault="00B32FED" w:rsidP="003F6264">
            <w:pPr>
              <w:jc w:val="both"/>
              <w:cnfStyle w:val="000000100000"/>
            </w:pPr>
            <w:r w:rsidRPr="006213F3">
              <w:t>$82.20</w:t>
            </w:r>
          </w:p>
        </w:tc>
        <w:tc>
          <w:tcPr>
            <w:tcW w:w="1187" w:type="dxa"/>
            <w:hideMark/>
          </w:tcPr>
          <w:p w:rsidR="00B32FED" w:rsidRPr="006213F3" w:rsidRDefault="00B32FED" w:rsidP="003F6264">
            <w:pPr>
              <w:jc w:val="both"/>
              <w:cnfStyle w:val="000000100000"/>
            </w:pPr>
            <w:r>
              <w:t>$232.00</w:t>
            </w:r>
          </w:p>
          <w:p w:rsidR="00B32FED" w:rsidRPr="006213F3" w:rsidRDefault="00B32FED" w:rsidP="003F6264">
            <w:pPr>
              <w:jc w:val="both"/>
              <w:cnfStyle w:val="000000100000"/>
            </w:pPr>
            <w:r>
              <w:t>$32.70</w:t>
            </w:r>
          </w:p>
        </w:tc>
      </w:tr>
      <w:tr w:rsidR="00D17D5D" w:rsidTr="003F6264">
        <w:trPr>
          <w:cnfStyle w:val="000000010000"/>
        </w:trPr>
        <w:tc>
          <w:tcPr>
            <w:cnfStyle w:val="001000000000"/>
            <w:tcW w:w="1627" w:type="dxa"/>
            <w:hideMark/>
          </w:tcPr>
          <w:p w:rsidR="00B32FED" w:rsidRDefault="00B32FED" w:rsidP="003F6264">
            <w:pPr>
              <w:jc w:val="both"/>
              <w:rPr>
                <w:b w:val="0"/>
                <w:bCs w:val="0"/>
              </w:rPr>
            </w:pPr>
            <w:r>
              <w:t>CTP*</w:t>
            </w:r>
          </w:p>
        </w:tc>
        <w:tc>
          <w:tcPr>
            <w:tcW w:w="1318" w:type="dxa"/>
            <w:hideMark/>
          </w:tcPr>
          <w:p w:rsidR="00B32FED" w:rsidRPr="006213F3" w:rsidRDefault="00B32FED" w:rsidP="00D17D5D">
            <w:pPr>
              <w:jc w:val="both"/>
              <w:cnfStyle w:val="000000010000"/>
            </w:pPr>
            <w:r>
              <w:t>$2</w:t>
            </w:r>
            <w:r w:rsidR="00D17D5D">
              <w:t>45</w:t>
            </w:r>
            <w:r>
              <w:t>.0</w:t>
            </w:r>
            <w:r w:rsidR="00D17D5D">
              <w:t>1</w:t>
            </w:r>
          </w:p>
        </w:tc>
        <w:tc>
          <w:tcPr>
            <w:tcW w:w="1364" w:type="dxa"/>
            <w:hideMark/>
          </w:tcPr>
          <w:p w:rsidR="00B32FED" w:rsidRPr="006213F3" w:rsidRDefault="00B32FED" w:rsidP="00D17D5D">
            <w:pPr>
              <w:jc w:val="both"/>
              <w:cnfStyle w:val="000000010000"/>
            </w:pPr>
            <w:r>
              <w:t>$</w:t>
            </w:r>
            <w:r w:rsidR="00D17D5D">
              <w:t>787.0</w:t>
            </w:r>
            <w:r>
              <w:t>0</w:t>
            </w:r>
          </w:p>
        </w:tc>
        <w:tc>
          <w:tcPr>
            <w:tcW w:w="1339" w:type="dxa"/>
            <w:hideMark/>
          </w:tcPr>
          <w:p w:rsidR="00B32FED" w:rsidRPr="006213F3" w:rsidRDefault="00B32FED" w:rsidP="00D17D5D">
            <w:pPr>
              <w:jc w:val="both"/>
              <w:cnfStyle w:val="000000010000"/>
            </w:pPr>
            <w:r>
              <w:t>$3</w:t>
            </w:r>
            <w:r w:rsidR="00D17D5D">
              <w:t>31</w:t>
            </w:r>
            <w:r>
              <w:t>.80</w:t>
            </w:r>
          </w:p>
        </w:tc>
        <w:tc>
          <w:tcPr>
            <w:tcW w:w="1278" w:type="dxa"/>
          </w:tcPr>
          <w:p w:rsidR="00B32FED" w:rsidRPr="006213F3" w:rsidRDefault="00B32FED" w:rsidP="003F6264">
            <w:pPr>
              <w:jc w:val="both"/>
              <w:cnfStyle w:val="000000010000"/>
            </w:pPr>
            <w:r w:rsidRPr="006213F3">
              <w:t>$512.00</w:t>
            </w:r>
          </w:p>
        </w:tc>
        <w:tc>
          <w:tcPr>
            <w:tcW w:w="1187" w:type="dxa"/>
          </w:tcPr>
          <w:p w:rsidR="00B32FED" w:rsidRPr="006213F3" w:rsidRDefault="00B32FED" w:rsidP="003F6264">
            <w:pPr>
              <w:jc w:val="both"/>
              <w:cnfStyle w:val="000000010000"/>
            </w:pPr>
            <w:r w:rsidRPr="007C50A6">
              <w:t>$364.00</w:t>
            </w:r>
          </w:p>
        </w:tc>
        <w:tc>
          <w:tcPr>
            <w:tcW w:w="1187" w:type="dxa"/>
            <w:hideMark/>
          </w:tcPr>
          <w:p w:rsidR="00B32FED" w:rsidRPr="006213F3" w:rsidRDefault="00B32FED" w:rsidP="00D17D5D">
            <w:pPr>
              <w:jc w:val="both"/>
              <w:cnfStyle w:val="000000010000"/>
            </w:pPr>
            <w:r>
              <w:t>$3</w:t>
            </w:r>
            <w:r w:rsidR="00D17D5D">
              <w:t>50.00 -$470.00**</w:t>
            </w:r>
          </w:p>
        </w:tc>
      </w:tr>
      <w:tr w:rsidR="00D17D5D" w:rsidTr="003F6264">
        <w:trPr>
          <w:cnfStyle w:val="000000100000"/>
        </w:trPr>
        <w:tc>
          <w:tcPr>
            <w:cnfStyle w:val="001000000000"/>
            <w:tcW w:w="1627" w:type="dxa"/>
          </w:tcPr>
          <w:p w:rsidR="00B32FED" w:rsidRDefault="00B32FED" w:rsidP="003F6264">
            <w:pPr>
              <w:jc w:val="both"/>
            </w:pPr>
            <w:r>
              <w:t xml:space="preserve">              </w:t>
            </w:r>
          </w:p>
        </w:tc>
        <w:tc>
          <w:tcPr>
            <w:tcW w:w="1318" w:type="dxa"/>
          </w:tcPr>
          <w:p w:rsidR="00B32FED" w:rsidRPr="006213F3" w:rsidRDefault="00B32FED" w:rsidP="00D17D5D">
            <w:pPr>
              <w:jc w:val="both"/>
              <w:cnfStyle w:val="000000100000"/>
            </w:pPr>
            <w:r w:rsidRPr="006213F3">
              <w:t>$4</w:t>
            </w:r>
            <w:r w:rsidR="00D17D5D">
              <w:t>44.86</w:t>
            </w:r>
          </w:p>
        </w:tc>
        <w:tc>
          <w:tcPr>
            <w:tcW w:w="1364" w:type="dxa"/>
          </w:tcPr>
          <w:p w:rsidR="00B32FED" w:rsidRPr="006213F3" w:rsidRDefault="00B32FED" w:rsidP="00D17D5D">
            <w:pPr>
              <w:jc w:val="both"/>
              <w:cnfStyle w:val="000000100000"/>
            </w:pPr>
            <w:r>
              <w:t>$</w:t>
            </w:r>
            <w:r w:rsidR="00D17D5D">
              <w:t>846.00</w:t>
            </w:r>
          </w:p>
        </w:tc>
        <w:tc>
          <w:tcPr>
            <w:tcW w:w="1339" w:type="dxa"/>
            <w:hideMark/>
          </w:tcPr>
          <w:p w:rsidR="00B32FED" w:rsidRPr="006213F3" w:rsidRDefault="00B32FED" w:rsidP="00D17D5D">
            <w:pPr>
              <w:jc w:val="both"/>
              <w:cnfStyle w:val="000000100000"/>
            </w:pPr>
            <w:r>
              <w:t>$</w:t>
            </w:r>
            <w:r w:rsidR="00D17D5D">
              <w:t>660.65</w:t>
            </w:r>
          </w:p>
        </w:tc>
        <w:tc>
          <w:tcPr>
            <w:tcW w:w="1278" w:type="dxa"/>
          </w:tcPr>
          <w:p w:rsidR="00B32FED" w:rsidRPr="006213F3" w:rsidRDefault="00B32FED" w:rsidP="003F6264">
            <w:pPr>
              <w:jc w:val="both"/>
              <w:cnfStyle w:val="000000100000"/>
            </w:pPr>
            <w:r w:rsidRPr="006213F3">
              <w:t>$727.00</w:t>
            </w:r>
          </w:p>
        </w:tc>
        <w:tc>
          <w:tcPr>
            <w:tcW w:w="1187" w:type="dxa"/>
          </w:tcPr>
          <w:p w:rsidR="00B32FED" w:rsidRPr="006213F3" w:rsidRDefault="00B32FED" w:rsidP="003F6264">
            <w:pPr>
              <w:jc w:val="both"/>
              <w:cnfStyle w:val="000000100000"/>
            </w:pPr>
            <w:r w:rsidRPr="007C50A6">
              <w:t>$</w:t>
            </w:r>
            <w:r w:rsidRPr="006213F3">
              <w:t>609.60</w:t>
            </w:r>
          </w:p>
        </w:tc>
        <w:tc>
          <w:tcPr>
            <w:tcW w:w="1187" w:type="dxa"/>
          </w:tcPr>
          <w:p w:rsidR="00B32FED" w:rsidRPr="006213F3" w:rsidRDefault="00B32FED" w:rsidP="00D17D5D">
            <w:pPr>
              <w:jc w:val="both"/>
              <w:cnfStyle w:val="000000100000"/>
            </w:pPr>
            <w:r w:rsidRPr="006213F3">
              <w:t>$</w:t>
            </w:r>
            <w:r w:rsidR="00D17D5D">
              <w:t>614.70 - $734.70**</w:t>
            </w:r>
          </w:p>
        </w:tc>
      </w:tr>
    </w:tbl>
    <w:p w:rsidR="00B32FED" w:rsidRDefault="00B32FED" w:rsidP="00B32FED">
      <w:pPr>
        <w:spacing w:after="0"/>
        <w:jc w:val="both"/>
        <w:rPr>
          <w:sz w:val="18"/>
          <w:szCs w:val="18"/>
        </w:rPr>
      </w:pPr>
      <w:r w:rsidRPr="008C236F">
        <w:rPr>
          <w:sz w:val="18"/>
          <w:szCs w:val="18"/>
        </w:rPr>
        <w:t>*Based on a 20 year old female living in a suburban area and driving a four cylinder sedan, market value $10,000</w:t>
      </w:r>
      <w:r w:rsidR="00FC3A4C">
        <w:rPr>
          <w:sz w:val="18"/>
          <w:szCs w:val="18"/>
        </w:rPr>
        <w:t xml:space="preserve"> (except Tasmania which is a set figure)</w:t>
      </w:r>
      <w:r w:rsidRPr="008C236F">
        <w:rPr>
          <w:sz w:val="18"/>
          <w:szCs w:val="18"/>
        </w:rPr>
        <w:t>.</w:t>
      </w:r>
    </w:p>
    <w:p w:rsidR="00D17D5D" w:rsidRDefault="00D17D5D" w:rsidP="00B32FED">
      <w:pPr>
        <w:spacing w:after="0"/>
        <w:jc w:val="both"/>
        <w:rPr>
          <w:sz w:val="18"/>
          <w:szCs w:val="18"/>
        </w:rPr>
      </w:pPr>
      <w:r>
        <w:rPr>
          <w:sz w:val="18"/>
          <w:szCs w:val="18"/>
        </w:rPr>
        <w:t>** depending on risk level for specific area.</w:t>
      </w:r>
    </w:p>
    <w:p w:rsidR="00B32FED" w:rsidRPr="00013CB0" w:rsidRDefault="00B32FED" w:rsidP="00B32FED">
      <w:pPr>
        <w:spacing w:after="0"/>
        <w:jc w:val="both"/>
        <w:rPr>
          <w:i/>
        </w:rPr>
      </w:pPr>
      <w:r w:rsidRPr="00013CB0">
        <w:rPr>
          <w:i/>
        </w:rPr>
        <w:t>Figure 13: Registration and CTP costs per state</w:t>
      </w:r>
    </w:p>
    <w:p w:rsidR="00013CB0" w:rsidRDefault="00AE3440" w:rsidP="00B32FED">
      <w:pPr>
        <w:spacing w:before="240"/>
        <w:jc w:val="both"/>
        <w:rPr>
          <w:b/>
        </w:rPr>
      </w:pPr>
      <w:r>
        <w:t xml:space="preserve">The cost of registration and CTP is </w:t>
      </w:r>
      <w:r w:rsidR="00F63BF9" w:rsidRPr="00FC3A4C">
        <w:t xml:space="preserve">of greater importance for </w:t>
      </w:r>
      <w:r>
        <w:t>low income families. Research conducted by the Red Cross in Tasmania last year has revealed that low income earners divide spending into three categories; high, medium and low priorities.  Essential items such as repayments, registration and food are left until last, as budgeting may not have catered for high priority items such as cigarettes and prescriptions.</w:t>
      </w:r>
    </w:p>
    <w:p w:rsidR="005F3F41" w:rsidRPr="00A62E86" w:rsidRDefault="005F3F41" w:rsidP="005F3F41">
      <w:pPr>
        <w:spacing w:after="0"/>
        <w:jc w:val="both"/>
        <w:rPr>
          <w:b/>
          <w:sz w:val="24"/>
          <w:szCs w:val="24"/>
        </w:rPr>
      </w:pPr>
      <w:r w:rsidRPr="00A62E86">
        <w:rPr>
          <w:b/>
          <w:sz w:val="24"/>
          <w:szCs w:val="24"/>
        </w:rPr>
        <w:t>Disparity in cost of CTP</w:t>
      </w:r>
    </w:p>
    <w:p w:rsidR="00AE3440" w:rsidRDefault="00AE3440" w:rsidP="008167DC">
      <w:pPr>
        <w:spacing w:before="240"/>
        <w:jc w:val="both"/>
      </w:pPr>
      <w:r>
        <w:t>The administrative costs of legally getting an older vehicle on road is often greater than the market value of the vehicle. The cost of vehicle inspection and time consumed in waiting for an inspection and documentation can deter a driver from completing the registration and CTP process</w:t>
      </w:r>
      <w:r w:rsidR="00FC3A4C">
        <w:t xml:space="preserve"> in jurisdictions with compulsory inspections</w:t>
      </w:r>
      <w:r>
        <w:t>.</w:t>
      </w:r>
      <w:r w:rsidR="00FC3A4C">
        <w:t xml:space="preserve">  </w:t>
      </w:r>
      <w:r>
        <w:t xml:space="preserve"> </w:t>
      </w:r>
    </w:p>
    <w:p w:rsidR="005F3F41" w:rsidRPr="00A62E86" w:rsidRDefault="005F3F41" w:rsidP="005F3F41">
      <w:pPr>
        <w:spacing w:after="0"/>
        <w:jc w:val="both"/>
        <w:rPr>
          <w:b/>
          <w:sz w:val="24"/>
          <w:szCs w:val="24"/>
        </w:rPr>
      </w:pPr>
      <w:r w:rsidRPr="00A62E86">
        <w:rPr>
          <w:b/>
          <w:sz w:val="24"/>
          <w:szCs w:val="24"/>
        </w:rPr>
        <w:t>Vehicle value and responsibilities in entering the process</w:t>
      </w:r>
    </w:p>
    <w:p w:rsidR="00AE3440" w:rsidRPr="00E70148" w:rsidRDefault="00AE3440" w:rsidP="008167DC">
      <w:pPr>
        <w:spacing w:before="240"/>
        <w:jc w:val="both"/>
      </w:pPr>
      <w:r>
        <w:t xml:space="preserve">The purpose of CTP is often misunderstood and when added to the registration fee of a vehicle </w:t>
      </w:r>
      <w:r w:rsidR="00E70148">
        <w:t xml:space="preserve">can be seen </w:t>
      </w:r>
      <w:r>
        <w:t xml:space="preserve">as a further means of government revenue raising.  </w:t>
      </w:r>
      <w:r w:rsidR="00E70148" w:rsidRPr="00FC3A4C">
        <w:t>Those who do not understand the purpose of CTP are more likely to consider non-renewal of registration as refusing to pay the Government rather than a deliberate act rendering them uninsured for personal injuries in the event of a crash.</w:t>
      </w:r>
    </w:p>
    <w:p w:rsidR="005F3F41" w:rsidRPr="0097615E" w:rsidRDefault="005F3F41" w:rsidP="005F3F41">
      <w:pPr>
        <w:spacing w:after="0"/>
        <w:jc w:val="both"/>
        <w:rPr>
          <w:b/>
          <w:sz w:val="24"/>
          <w:szCs w:val="24"/>
        </w:rPr>
      </w:pPr>
      <w:r w:rsidRPr="0097615E">
        <w:rPr>
          <w:b/>
          <w:sz w:val="24"/>
          <w:szCs w:val="24"/>
        </w:rPr>
        <w:t>Undervaluing or misunderstanding the purpose registration and CTP</w:t>
      </w:r>
    </w:p>
    <w:p w:rsidR="00AE3440" w:rsidRDefault="005F3F41" w:rsidP="005F3F41">
      <w:pPr>
        <w:spacing w:after="0"/>
        <w:jc w:val="both"/>
      </w:pPr>
      <w:r>
        <w:t>Review</w:t>
      </w:r>
      <w:r w:rsidR="00AE3440" w:rsidRPr="0089375F">
        <w:t xml:space="preserve">s of government processes and costs have found that registration labels were not needed to support compliance and enforcement of vehicle registration.  </w:t>
      </w:r>
    </w:p>
    <w:p w:rsidR="007D7321" w:rsidRDefault="007D7321" w:rsidP="005F3F41">
      <w:pPr>
        <w:spacing w:after="0"/>
        <w:jc w:val="both"/>
      </w:pPr>
    </w:p>
    <w:p w:rsidR="008329FE" w:rsidRDefault="00AE3440" w:rsidP="007D7321">
      <w:pPr>
        <w:ind w:left="284" w:right="295"/>
        <w:jc w:val="both"/>
        <w:rPr>
          <w:i/>
        </w:rPr>
      </w:pPr>
      <w:r w:rsidRPr="000638E8">
        <w:rPr>
          <w:i/>
        </w:rPr>
        <w:t>The phasing out of registration labels for light vehicles will provide a higher level of customer service and increase efficiencies for Tasmanian motorists.</w:t>
      </w:r>
    </w:p>
    <w:p w:rsidR="00AE3440" w:rsidRPr="00FD7D54" w:rsidRDefault="00AE3440" w:rsidP="007D7321">
      <w:pPr>
        <w:ind w:left="284" w:right="295"/>
        <w:jc w:val="both"/>
        <w:rPr>
          <w:i/>
        </w:rPr>
      </w:pPr>
      <w:r w:rsidRPr="000638E8">
        <w:rPr>
          <w:i/>
        </w:rPr>
        <w:t>Tasmania is not going alone with this change. South Australia and Western Australia have already abolished labels for light vehicles and New South Wales will abolish labels early in 2013. The removal of registration labels is being considered by m</w:t>
      </w:r>
      <w:r w:rsidR="007D7321">
        <w:rPr>
          <w:i/>
        </w:rPr>
        <w:t>ost Australian jurisdictions. </w:t>
      </w:r>
    </w:p>
    <w:p w:rsidR="00AE3440" w:rsidRDefault="00AE3440" w:rsidP="00995E2B">
      <w:pPr>
        <w:jc w:val="both"/>
      </w:pPr>
      <w:r>
        <w:t xml:space="preserve">Underpinning all reasons for lack of vehicle registration is the perception that registration is difficult to detect and relatively unenforceable. Similar methods used by </w:t>
      </w:r>
      <w:r w:rsidR="00FD5731">
        <w:t>unlicensed</w:t>
      </w:r>
      <w:r>
        <w:t xml:space="preserve"> dri</w:t>
      </w:r>
      <w:r w:rsidR="007D7321">
        <w:t>vers to reduce the detection are</w:t>
      </w:r>
      <w:r>
        <w:t xml:space="preserve"> adopted by drivers of unregistered vehicles.</w:t>
      </w:r>
    </w:p>
    <w:p w:rsidR="00AE3440" w:rsidRPr="00CC541A" w:rsidRDefault="001A2FE2" w:rsidP="00604159">
      <w:pPr>
        <w:pStyle w:val="Heading1"/>
        <w:jc w:val="both"/>
      </w:pPr>
      <w:bookmarkStart w:id="12" w:name="_Toc341047902"/>
      <w:r>
        <w:t>D</w:t>
      </w:r>
      <w:r w:rsidR="00766817">
        <w:t xml:space="preserve">etecting and </w:t>
      </w:r>
      <w:r>
        <w:t>r</w:t>
      </w:r>
      <w:r w:rsidR="003C2506">
        <w:t>educing</w:t>
      </w:r>
      <w:r w:rsidR="00766817">
        <w:t xml:space="preserve"> </w:t>
      </w:r>
      <w:r>
        <w:t>u</w:t>
      </w:r>
      <w:r w:rsidR="00766817">
        <w:t xml:space="preserve">nregistered </w:t>
      </w:r>
      <w:r>
        <w:t>v</w:t>
      </w:r>
      <w:r w:rsidR="00766817">
        <w:t>ehicles</w:t>
      </w:r>
      <w:bookmarkEnd w:id="12"/>
    </w:p>
    <w:p w:rsidR="00AE3440" w:rsidRPr="00013CB0" w:rsidRDefault="00AE3440" w:rsidP="00995E2B">
      <w:pPr>
        <w:pStyle w:val="Heading2"/>
        <w:jc w:val="both"/>
        <w:rPr>
          <w:caps w:val="0"/>
        </w:rPr>
      </w:pPr>
      <w:r w:rsidRPr="00013CB0">
        <w:rPr>
          <w:caps w:val="0"/>
        </w:rPr>
        <w:t xml:space="preserve">Automatic Number Plate Recognition  </w:t>
      </w:r>
    </w:p>
    <w:p w:rsidR="00AE3440" w:rsidRPr="000638E8" w:rsidRDefault="00AE3440" w:rsidP="00995E2B">
      <w:pPr>
        <w:jc w:val="both"/>
        <w:rPr>
          <w:rFonts w:cs="Arial"/>
        </w:rPr>
      </w:pPr>
      <w:r w:rsidRPr="000638E8">
        <w:t xml:space="preserve">ANPR has been hailed as </w:t>
      </w:r>
      <w:r>
        <w:t>a</w:t>
      </w:r>
      <w:r w:rsidRPr="000638E8">
        <w:t xml:space="preserve"> silver bullet to curb the number of unregistered vehicles on </w:t>
      </w:r>
      <w:r>
        <w:t>Australian</w:t>
      </w:r>
      <w:r w:rsidRPr="000638E8">
        <w:t xml:space="preserve"> roads.</w:t>
      </w:r>
      <w:r w:rsidR="009361E7">
        <w:t xml:space="preserve"> </w:t>
      </w:r>
      <w:r w:rsidRPr="000638E8">
        <w:rPr>
          <w:rFonts w:cs="Arial"/>
        </w:rPr>
        <w:t xml:space="preserve">The ANPR software system is linked to a camera that takes an image of a </w:t>
      </w:r>
      <w:r w:rsidR="00E06D38">
        <w:rPr>
          <w:rFonts w:cs="Arial"/>
        </w:rPr>
        <w:t>licence</w:t>
      </w:r>
      <w:r w:rsidRPr="000638E8">
        <w:rPr>
          <w:rFonts w:cs="Arial"/>
        </w:rPr>
        <w:t xml:space="preserve"> plate, converts it to data and compares the data with registration details. </w:t>
      </w:r>
    </w:p>
    <w:p w:rsidR="00AE3440" w:rsidRDefault="00AE3440" w:rsidP="00995E2B">
      <w:pPr>
        <w:jc w:val="both"/>
        <w:rPr>
          <w:bCs/>
          <w:color w:val="000000"/>
        </w:rPr>
      </w:pPr>
      <w:r w:rsidRPr="000638E8">
        <w:rPr>
          <w:rFonts w:cs="Arial"/>
        </w:rPr>
        <w:t xml:space="preserve">In Tasmania last year, the ANPR software system scanned </w:t>
      </w:r>
      <w:r w:rsidRPr="000638E8">
        <w:rPr>
          <w:bCs/>
          <w:color w:val="000000"/>
        </w:rPr>
        <w:t xml:space="preserve">369,901 vehicles in less than twelve months </w:t>
      </w:r>
      <w:r w:rsidR="009361E7">
        <w:rPr>
          <w:bCs/>
          <w:color w:val="000000"/>
        </w:rPr>
        <w:t>(</w:t>
      </w:r>
      <w:r w:rsidRPr="000638E8">
        <w:rPr>
          <w:bCs/>
          <w:color w:val="000000"/>
        </w:rPr>
        <w:t>1</w:t>
      </w:r>
      <w:r w:rsidR="009361E7">
        <w:rPr>
          <w:bCs/>
          <w:color w:val="000000"/>
        </w:rPr>
        <w:t>,</w:t>
      </w:r>
      <w:r w:rsidRPr="000638E8">
        <w:rPr>
          <w:bCs/>
          <w:color w:val="000000"/>
        </w:rPr>
        <w:t>099 operational hours</w:t>
      </w:r>
      <w:r w:rsidR="00FC3A4C">
        <w:rPr>
          <w:bCs/>
          <w:color w:val="000000"/>
        </w:rPr>
        <w:t xml:space="preserve"> – DPEM and DIER</w:t>
      </w:r>
      <w:r w:rsidR="009361E7">
        <w:rPr>
          <w:bCs/>
          <w:color w:val="000000"/>
        </w:rPr>
        <w:t>)</w:t>
      </w:r>
      <w:r w:rsidRPr="000638E8">
        <w:rPr>
          <w:bCs/>
          <w:color w:val="000000"/>
        </w:rPr>
        <w:t>. During this period of time 2</w:t>
      </w:r>
      <w:r w:rsidR="009361E7">
        <w:rPr>
          <w:bCs/>
          <w:color w:val="000000"/>
        </w:rPr>
        <w:t>,</w:t>
      </w:r>
      <w:r w:rsidRPr="000638E8">
        <w:rPr>
          <w:bCs/>
          <w:color w:val="000000"/>
        </w:rPr>
        <w:t xml:space="preserve">284 vehicles were detected </w:t>
      </w:r>
      <w:r w:rsidR="00013CB0">
        <w:rPr>
          <w:bCs/>
          <w:color w:val="000000"/>
        </w:rPr>
        <w:t>as being unregistered (0.62%).</w:t>
      </w:r>
    </w:p>
    <w:p w:rsidR="00AE3440" w:rsidRPr="000638E8" w:rsidRDefault="00AE3440" w:rsidP="00995E2B">
      <w:pPr>
        <w:jc w:val="both"/>
        <w:rPr>
          <w:bCs/>
          <w:color w:val="000000"/>
        </w:rPr>
      </w:pPr>
      <w:r>
        <w:rPr>
          <w:bCs/>
          <w:color w:val="000000"/>
        </w:rPr>
        <w:t>During unmanned hours, unregistered vehicles being driven were recorded and i</w:t>
      </w:r>
      <w:r w:rsidRPr="000638E8">
        <w:rPr>
          <w:bCs/>
          <w:color w:val="000000"/>
        </w:rPr>
        <w:t xml:space="preserve">n most cases letters were sent to the registered operator, </w:t>
      </w:r>
      <w:r w:rsidR="00F03AB9">
        <w:rPr>
          <w:bCs/>
          <w:color w:val="000000"/>
        </w:rPr>
        <w:t>resulting in</w:t>
      </w:r>
      <w:r w:rsidRPr="000638E8">
        <w:rPr>
          <w:bCs/>
          <w:color w:val="000000"/>
        </w:rPr>
        <w:t xml:space="preserve"> 84</w:t>
      </w:r>
      <w:r w:rsidR="00FD2A8A">
        <w:rPr>
          <w:bCs/>
          <w:color w:val="000000"/>
        </w:rPr>
        <w:t xml:space="preserve"> per cent</w:t>
      </w:r>
      <w:r w:rsidRPr="000638E8">
        <w:rPr>
          <w:bCs/>
          <w:color w:val="000000"/>
        </w:rPr>
        <w:t xml:space="preserve"> </w:t>
      </w:r>
      <w:r w:rsidR="00F03AB9">
        <w:rPr>
          <w:bCs/>
          <w:color w:val="000000"/>
        </w:rPr>
        <w:t>being</w:t>
      </w:r>
      <w:r w:rsidRPr="000638E8">
        <w:rPr>
          <w:bCs/>
          <w:color w:val="000000"/>
        </w:rPr>
        <w:t xml:space="preserve"> reregistered.</w:t>
      </w:r>
      <w:r w:rsidR="00013CB0">
        <w:rPr>
          <w:bCs/>
          <w:color w:val="000000"/>
        </w:rPr>
        <w:t xml:space="preserve">  The success </w:t>
      </w:r>
      <w:r w:rsidR="004316DC">
        <w:rPr>
          <w:bCs/>
          <w:color w:val="000000"/>
        </w:rPr>
        <w:t>of</w:t>
      </w:r>
      <w:r w:rsidR="00013CB0">
        <w:rPr>
          <w:bCs/>
          <w:color w:val="000000"/>
        </w:rPr>
        <w:t xml:space="preserve"> ANPR can be seen in Appendix B.</w:t>
      </w:r>
    </w:p>
    <w:p w:rsidR="00AE3440" w:rsidRDefault="002949D5" w:rsidP="00995E2B">
      <w:pPr>
        <w:jc w:val="both"/>
      </w:pPr>
      <w:r>
        <w:t>The</w:t>
      </w:r>
      <w:r w:rsidR="00AE3440">
        <w:t xml:space="preserve"> success rate of unmanned ANPR cannot be ignored as a passive enforcement strategy to aid registration compliance</w:t>
      </w:r>
      <w:r w:rsidR="006A015A">
        <w:t>.</w:t>
      </w:r>
      <w:r>
        <w:t xml:space="preserve"> The number of unregistered vehicles and trailers detected by Police over the past three financial years can be seen in Figure 13 below.</w:t>
      </w:r>
    </w:p>
    <w:tbl>
      <w:tblPr>
        <w:tblStyle w:val="LightGrid-Accent5"/>
        <w:tblW w:w="5000" w:type="pct"/>
        <w:tblLook w:val="04A0"/>
      </w:tblPr>
      <w:tblGrid>
        <w:gridCol w:w="2000"/>
        <w:gridCol w:w="2414"/>
        <w:gridCol w:w="2414"/>
        <w:gridCol w:w="2414"/>
      </w:tblGrid>
      <w:tr w:rsidR="00AE3440" w:rsidRPr="000C3B97" w:rsidTr="000C3B97">
        <w:trPr>
          <w:cnfStyle w:val="100000000000"/>
          <w:trHeight w:val="246"/>
        </w:trPr>
        <w:tc>
          <w:tcPr>
            <w:cnfStyle w:val="001000000000"/>
            <w:tcW w:w="5000" w:type="pct"/>
            <w:gridSpan w:val="4"/>
            <w:noWrap/>
            <w:hideMark/>
          </w:tcPr>
          <w:p w:rsidR="00AE3440" w:rsidRPr="000C3B97" w:rsidRDefault="00AE3440" w:rsidP="00995E2B">
            <w:pPr>
              <w:jc w:val="both"/>
              <w:rPr>
                <w:rFonts w:asciiTheme="minorHAnsi" w:eastAsiaTheme="minorEastAsia" w:hAnsiTheme="minorHAnsi" w:cstheme="minorBidi"/>
                <w:bCs w:val="0"/>
                <w:caps/>
                <w:sz w:val="28"/>
              </w:rPr>
            </w:pPr>
            <w:r w:rsidRPr="000C3B97">
              <w:rPr>
                <w:rFonts w:asciiTheme="minorHAnsi" w:eastAsiaTheme="minorEastAsia" w:hAnsiTheme="minorHAnsi" w:cstheme="minorBidi"/>
                <w:bCs w:val="0"/>
                <w:caps/>
                <w:sz w:val="28"/>
              </w:rPr>
              <w:t>Unregistered Motor Vehicle or Unregistered Trailer</w:t>
            </w:r>
          </w:p>
        </w:tc>
      </w:tr>
      <w:tr w:rsidR="00AE3440" w:rsidRPr="000C3B97" w:rsidTr="000C3B97">
        <w:trPr>
          <w:cnfStyle w:val="000000100000"/>
          <w:trHeight w:val="175"/>
        </w:trPr>
        <w:tc>
          <w:tcPr>
            <w:cnfStyle w:val="001000000000"/>
            <w:tcW w:w="1082" w:type="pct"/>
            <w:noWrap/>
            <w:hideMark/>
          </w:tcPr>
          <w:p w:rsidR="00AE3440" w:rsidRPr="000C3B97" w:rsidRDefault="00AE3440" w:rsidP="00995E2B">
            <w:pPr>
              <w:jc w:val="both"/>
              <w:rPr>
                <w:rFonts w:asciiTheme="minorHAnsi" w:eastAsiaTheme="minorEastAsia" w:hAnsiTheme="minorHAnsi" w:cstheme="minorBidi"/>
              </w:rPr>
            </w:pPr>
          </w:p>
        </w:tc>
        <w:tc>
          <w:tcPr>
            <w:tcW w:w="1306" w:type="pct"/>
            <w:noWrap/>
            <w:hideMark/>
          </w:tcPr>
          <w:p w:rsidR="00AE3440" w:rsidRPr="000C3B97" w:rsidRDefault="00AE3440" w:rsidP="00995E2B">
            <w:pPr>
              <w:jc w:val="both"/>
              <w:cnfStyle w:val="000000100000"/>
              <w:rPr>
                <w:rFonts w:asciiTheme="minorHAnsi" w:eastAsiaTheme="minorEastAsia" w:hAnsiTheme="minorHAnsi" w:cstheme="minorBidi"/>
              </w:rPr>
            </w:pPr>
          </w:p>
        </w:tc>
        <w:tc>
          <w:tcPr>
            <w:tcW w:w="1306" w:type="pct"/>
            <w:noWrap/>
            <w:hideMark/>
          </w:tcPr>
          <w:p w:rsidR="00AE3440" w:rsidRPr="000C3B97" w:rsidRDefault="00AE3440" w:rsidP="00995E2B">
            <w:pPr>
              <w:jc w:val="both"/>
              <w:cnfStyle w:val="000000100000"/>
              <w:rPr>
                <w:rFonts w:asciiTheme="minorHAnsi" w:eastAsiaTheme="minorEastAsia" w:hAnsiTheme="minorHAnsi" w:cstheme="minorBidi"/>
              </w:rPr>
            </w:pPr>
          </w:p>
        </w:tc>
        <w:tc>
          <w:tcPr>
            <w:tcW w:w="1306" w:type="pct"/>
            <w:noWrap/>
            <w:hideMark/>
          </w:tcPr>
          <w:p w:rsidR="00AE3440" w:rsidRPr="000C3B97" w:rsidRDefault="00AE3440" w:rsidP="00995E2B">
            <w:pPr>
              <w:jc w:val="both"/>
              <w:cnfStyle w:val="000000100000"/>
              <w:rPr>
                <w:rFonts w:asciiTheme="minorHAnsi" w:eastAsiaTheme="minorEastAsia" w:hAnsiTheme="minorHAnsi" w:cstheme="minorBidi"/>
              </w:rPr>
            </w:pPr>
          </w:p>
        </w:tc>
      </w:tr>
      <w:tr w:rsidR="00AE3440" w:rsidRPr="000C3B97" w:rsidTr="000C3B97">
        <w:trPr>
          <w:cnfStyle w:val="000000010000"/>
          <w:trHeight w:val="175"/>
        </w:trPr>
        <w:tc>
          <w:tcPr>
            <w:cnfStyle w:val="001000000000"/>
            <w:tcW w:w="1082" w:type="pct"/>
            <w:noWrap/>
            <w:hideMark/>
          </w:tcPr>
          <w:p w:rsidR="00AE3440" w:rsidRPr="000C3B97" w:rsidRDefault="00AE3440" w:rsidP="00995E2B">
            <w:pPr>
              <w:jc w:val="both"/>
              <w:rPr>
                <w:rFonts w:asciiTheme="minorHAnsi" w:eastAsiaTheme="minorEastAsia" w:hAnsiTheme="minorHAnsi" w:cstheme="minorBidi"/>
                <w:bCs w:val="0"/>
              </w:rPr>
            </w:pPr>
            <w:r w:rsidRPr="000C3B97">
              <w:rPr>
                <w:rFonts w:asciiTheme="minorHAnsi" w:eastAsiaTheme="minorEastAsia" w:hAnsiTheme="minorHAnsi" w:cstheme="minorBidi"/>
                <w:bCs w:val="0"/>
              </w:rPr>
              <w:t>Occurrence District</w:t>
            </w:r>
          </w:p>
        </w:tc>
        <w:tc>
          <w:tcPr>
            <w:tcW w:w="1306" w:type="pct"/>
            <w:noWrap/>
            <w:vAlign w:val="center"/>
            <w:hideMark/>
          </w:tcPr>
          <w:p w:rsidR="00AE3440" w:rsidRPr="000C3B97" w:rsidRDefault="00AE3440" w:rsidP="00995E2B">
            <w:pPr>
              <w:jc w:val="both"/>
              <w:cnfStyle w:val="000000010000"/>
              <w:rPr>
                <w:rFonts w:asciiTheme="minorHAnsi" w:eastAsiaTheme="minorEastAsia" w:hAnsiTheme="minorHAnsi" w:cstheme="minorBidi"/>
                <w:b/>
                <w:bCs/>
              </w:rPr>
            </w:pPr>
            <w:r w:rsidRPr="000C3B97">
              <w:rPr>
                <w:rFonts w:asciiTheme="minorHAnsi" w:eastAsiaTheme="minorEastAsia" w:hAnsiTheme="minorHAnsi" w:cstheme="minorBidi"/>
                <w:b/>
                <w:bCs/>
              </w:rPr>
              <w:t>2009-10</w:t>
            </w:r>
          </w:p>
        </w:tc>
        <w:tc>
          <w:tcPr>
            <w:tcW w:w="1306" w:type="pct"/>
            <w:noWrap/>
            <w:vAlign w:val="center"/>
            <w:hideMark/>
          </w:tcPr>
          <w:p w:rsidR="00AE3440" w:rsidRPr="000C3B97" w:rsidRDefault="00AE3440" w:rsidP="00995E2B">
            <w:pPr>
              <w:jc w:val="both"/>
              <w:cnfStyle w:val="000000010000"/>
              <w:rPr>
                <w:rFonts w:asciiTheme="minorHAnsi" w:eastAsiaTheme="minorEastAsia" w:hAnsiTheme="minorHAnsi" w:cstheme="minorBidi"/>
                <w:b/>
                <w:bCs/>
              </w:rPr>
            </w:pPr>
            <w:r w:rsidRPr="000C3B97">
              <w:rPr>
                <w:rFonts w:asciiTheme="minorHAnsi" w:eastAsiaTheme="minorEastAsia" w:hAnsiTheme="minorHAnsi" w:cstheme="minorBidi"/>
                <w:b/>
                <w:bCs/>
              </w:rPr>
              <w:t>2010-11</w:t>
            </w:r>
          </w:p>
        </w:tc>
        <w:tc>
          <w:tcPr>
            <w:tcW w:w="1306" w:type="pct"/>
            <w:noWrap/>
            <w:vAlign w:val="center"/>
            <w:hideMark/>
          </w:tcPr>
          <w:p w:rsidR="00AE3440" w:rsidRPr="000C3B97" w:rsidRDefault="00AE3440" w:rsidP="00995E2B">
            <w:pPr>
              <w:jc w:val="both"/>
              <w:cnfStyle w:val="000000010000"/>
              <w:rPr>
                <w:rFonts w:asciiTheme="minorHAnsi" w:eastAsiaTheme="minorEastAsia" w:hAnsiTheme="minorHAnsi" w:cstheme="minorBidi"/>
                <w:b/>
                <w:bCs/>
              </w:rPr>
            </w:pPr>
            <w:r w:rsidRPr="000C3B97">
              <w:rPr>
                <w:rFonts w:asciiTheme="minorHAnsi" w:eastAsiaTheme="minorEastAsia" w:hAnsiTheme="minorHAnsi" w:cstheme="minorBidi"/>
                <w:b/>
                <w:bCs/>
              </w:rPr>
              <w:t>2011-12</w:t>
            </w:r>
          </w:p>
        </w:tc>
      </w:tr>
      <w:tr w:rsidR="00AE3440" w:rsidRPr="000C3B97" w:rsidTr="000C3B97">
        <w:trPr>
          <w:cnfStyle w:val="000000100000"/>
          <w:trHeight w:val="175"/>
        </w:trPr>
        <w:tc>
          <w:tcPr>
            <w:cnfStyle w:val="001000000000"/>
            <w:tcW w:w="1082" w:type="pct"/>
            <w:noWrap/>
            <w:hideMark/>
          </w:tcPr>
          <w:p w:rsidR="00AE3440" w:rsidRPr="000C3B97" w:rsidRDefault="00AE3440" w:rsidP="00995E2B">
            <w:pPr>
              <w:jc w:val="both"/>
              <w:rPr>
                <w:rFonts w:asciiTheme="minorHAnsi" w:eastAsiaTheme="minorEastAsia" w:hAnsiTheme="minorHAnsi" w:cstheme="minorBidi"/>
                <w:b w:val="0"/>
              </w:rPr>
            </w:pPr>
            <w:r w:rsidRPr="000C3B97">
              <w:rPr>
                <w:rFonts w:asciiTheme="minorHAnsi" w:eastAsiaTheme="minorEastAsia" w:hAnsiTheme="minorHAnsi" w:cstheme="minorBidi"/>
                <w:b w:val="0"/>
              </w:rPr>
              <w:t>Southern</w:t>
            </w:r>
          </w:p>
        </w:tc>
        <w:tc>
          <w:tcPr>
            <w:tcW w:w="1306" w:type="pct"/>
            <w:noWrap/>
            <w:vAlign w:val="center"/>
            <w:hideMark/>
          </w:tcPr>
          <w:p w:rsidR="00AE3440" w:rsidRPr="000C3B97" w:rsidRDefault="00AE3440" w:rsidP="00995E2B">
            <w:pPr>
              <w:jc w:val="both"/>
              <w:cnfStyle w:val="000000100000"/>
              <w:rPr>
                <w:rFonts w:asciiTheme="minorHAnsi" w:eastAsiaTheme="minorEastAsia" w:hAnsiTheme="minorHAnsi" w:cstheme="minorBidi"/>
              </w:rPr>
            </w:pPr>
            <w:r w:rsidRPr="000C3B97">
              <w:rPr>
                <w:rFonts w:asciiTheme="minorHAnsi" w:eastAsiaTheme="minorEastAsia" w:hAnsiTheme="minorHAnsi" w:cstheme="minorBidi"/>
              </w:rPr>
              <w:t>2,526</w:t>
            </w:r>
          </w:p>
        </w:tc>
        <w:tc>
          <w:tcPr>
            <w:tcW w:w="1306" w:type="pct"/>
            <w:noWrap/>
            <w:vAlign w:val="center"/>
            <w:hideMark/>
          </w:tcPr>
          <w:p w:rsidR="00AE3440" w:rsidRPr="000C3B97" w:rsidRDefault="00AE3440" w:rsidP="00995E2B">
            <w:pPr>
              <w:jc w:val="both"/>
              <w:cnfStyle w:val="000000100000"/>
              <w:rPr>
                <w:rFonts w:asciiTheme="minorHAnsi" w:eastAsiaTheme="minorEastAsia" w:hAnsiTheme="minorHAnsi" w:cstheme="minorBidi"/>
              </w:rPr>
            </w:pPr>
            <w:r w:rsidRPr="000C3B97">
              <w:rPr>
                <w:rFonts w:asciiTheme="minorHAnsi" w:eastAsiaTheme="minorEastAsia" w:hAnsiTheme="minorHAnsi" w:cstheme="minorBidi"/>
              </w:rPr>
              <w:t>3,076</w:t>
            </w:r>
          </w:p>
        </w:tc>
        <w:tc>
          <w:tcPr>
            <w:tcW w:w="1306" w:type="pct"/>
            <w:noWrap/>
            <w:vAlign w:val="center"/>
            <w:hideMark/>
          </w:tcPr>
          <w:p w:rsidR="00AE3440" w:rsidRPr="000C3B97" w:rsidRDefault="00AE3440" w:rsidP="00995E2B">
            <w:pPr>
              <w:jc w:val="both"/>
              <w:cnfStyle w:val="000000100000"/>
              <w:rPr>
                <w:rFonts w:asciiTheme="minorHAnsi" w:eastAsiaTheme="minorEastAsia" w:hAnsiTheme="minorHAnsi" w:cstheme="minorBidi"/>
              </w:rPr>
            </w:pPr>
            <w:r w:rsidRPr="000C3B97">
              <w:rPr>
                <w:rFonts w:asciiTheme="minorHAnsi" w:eastAsiaTheme="minorEastAsia" w:hAnsiTheme="minorHAnsi" w:cstheme="minorBidi"/>
              </w:rPr>
              <w:t>2,582</w:t>
            </w:r>
          </w:p>
        </w:tc>
      </w:tr>
      <w:tr w:rsidR="00AE3440" w:rsidRPr="000C3B97" w:rsidTr="000C3B97">
        <w:trPr>
          <w:cnfStyle w:val="000000010000"/>
          <w:trHeight w:val="175"/>
        </w:trPr>
        <w:tc>
          <w:tcPr>
            <w:cnfStyle w:val="001000000000"/>
            <w:tcW w:w="1082" w:type="pct"/>
            <w:noWrap/>
            <w:hideMark/>
          </w:tcPr>
          <w:p w:rsidR="00AE3440" w:rsidRPr="000C3B97" w:rsidRDefault="00AE3440" w:rsidP="00995E2B">
            <w:pPr>
              <w:jc w:val="both"/>
              <w:rPr>
                <w:rFonts w:asciiTheme="minorHAnsi" w:eastAsiaTheme="minorEastAsia" w:hAnsiTheme="minorHAnsi" w:cstheme="minorBidi"/>
                <w:b w:val="0"/>
              </w:rPr>
            </w:pPr>
            <w:r w:rsidRPr="000C3B97">
              <w:rPr>
                <w:rFonts w:asciiTheme="minorHAnsi" w:eastAsiaTheme="minorEastAsia" w:hAnsiTheme="minorHAnsi" w:cstheme="minorBidi"/>
                <w:b w:val="0"/>
              </w:rPr>
              <w:t>Northern</w:t>
            </w:r>
          </w:p>
        </w:tc>
        <w:tc>
          <w:tcPr>
            <w:tcW w:w="1306" w:type="pct"/>
            <w:noWrap/>
            <w:vAlign w:val="center"/>
            <w:hideMark/>
          </w:tcPr>
          <w:p w:rsidR="00AE3440" w:rsidRPr="000C3B97" w:rsidRDefault="00AE3440" w:rsidP="00995E2B">
            <w:pPr>
              <w:jc w:val="both"/>
              <w:cnfStyle w:val="000000010000"/>
              <w:rPr>
                <w:rFonts w:asciiTheme="minorHAnsi" w:eastAsiaTheme="minorEastAsia" w:hAnsiTheme="minorHAnsi" w:cstheme="minorBidi"/>
              </w:rPr>
            </w:pPr>
            <w:r w:rsidRPr="000C3B97">
              <w:rPr>
                <w:rFonts w:asciiTheme="minorHAnsi" w:eastAsiaTheme="minorEastAsia" w:hAnsiTheme="minorHAnsi" w:cstheme="minorBidi"/>
              </w:rPr>
              <w:t>2,226</w:t>
            </w:r>
          </w:p>
        </w:tc>
        <w:tc>
          <w:tcPr>
            <w:tcW w:w="1306" w:type="pct"/>
            <w:noWrap/>
            <w:vAlign w:val="center"/>
            <w:hideMark/>
          </w:tcPr>
          <w:p w:rsidR="00AE3440" w:rsidRPr="000C3B97" w:rsidRDefault="00AE3440" w:rsidP="00995E2B">
            <w:pPr>
              <w:jc w:val="both"/>
              <w:cnfStyle w:val="000000010000"/>
              <w:rPr>
                <w:rFonts w:asciiTheme="minorHAnsi" w:eastAsiaTheme="minorEastAsia" w:hAnsiTheme="minorHAnsi" w:cstheme="minorBidi"/>
              </w:rPr>
            </w:pPr>
            <w:r w:rsidRPr="000C3B97">
              <w:rPr>
                <w:rFonts w:asciiTheme="minorHAnsi" w:eastAsiaTheme="minorEastAsia" w:hAnsiTheme="minorHAnsi" w:cstheme="minorBidi"/>
              </w:rPr>
              <w:t>2,226</w:t>
            </w:r>
          </w:p>
        </w:tc>
        <w:tc>
          <w:tcPr>
            <w:tcW w:w="1306" w:type="pct"/>
            <w:noWrap/>
            <w:vAlign w:val="center"/>
            <w:hideMark/>
          </w:tcPr>
          <w:p w:rsidR="00AE3440" w:rsidRPr="000C3B97" w:rsidRDefault="00AE3440" w:rsidP="00995E2B">
            <w:pPr>
              <w:jc w:val="both"/>
              <w:cnfStyle w:val="000000010000"/>
              <w:rPr>
                <w:rFonts w:asciiTheme="minorHAnsi" w:eastAsiaTheme="minorEastAsia" w:hAnsiTheme="minorHAnsi" w:cstheme="minorBidi"/>
              </w:rPr>
            </w:pPr>
            <w:r w:rsidRPr="000C3B97">
              <w:rPr>
                <w:rFonts w:asciiTheme="minorHAnsi" w:eastAsiaTheme="minorEastAsia" w:hAnsiTheme="minorHAnsi" w:cstheme="minorBidi"/>
              </w:rPr>
              <w:t>2,166</w:t>
            </w:r>
          </w:p>
        </w:tc>
      </w:tr>
      <w:tr w:rsidR="00AE3440" w:rsidRPr="000C3B97" w:rsidTr="000C3B97">
        <w:trPr>
          <w:cnfStyle w:val="000000100000"/>
          <w:trHeight w:val="175"/>
        </w:trPr>
        <w:tc>
          <w:tcPr>
            <w:cnfStyle w:val="001000000000"/>
            <w:tcW w:w="1082" w:type="pct"/>
            <w:noWrap/>
            <w:hideMark/>
          </w:tcPr>
          <w:p w:rsidR="00AE3440" w:rsidRPr="000C3B97" w:rsidRDefault="00AE3440" w:rsidP="00995E2B">
            <w:pPr>
              <w:jc w:val="both"/>
              <w:rPr>
                <w:rFonts w:asciiTheme="minorHAnsi" w:eastAsiaTheme="minorEastAsia" w:hAnsiTheme="minorHAnsi" w:cstheme="minorBidi"/>
                <w:b w:val="0"/>
              </w:rPr>
            </w:pPr>
            <w:r w:rsidRPr="000C3B97">
              <w:rPr>
                <w:rFonts w:asciiTheme="minorHAnsi" w:eastAsiaTheme="minorEastAsia" w:hAnsiTheme="minorHAnsi" w:cstheme="minorBidi"/>
                <w:b w:val="0"/>
              </w:rPr>
              <w:t>Western</w:t>
            </w:r>
          </w:p>
        </w:tc>
        <w:tc>
          <w:tcPr>
            <w:tcW w:w="1306" w:type="pct"/>
            <w:noWrap/>
            <w:vAlign w:val="center"/>
            <w:hideMark/>
          </w:tcPr>
          <w:p w:rsidR="00AE3440" w:rsidRPr="000C3B97" w:rsidRDefault="00AE3440" w:rsidP="00995E2B">
            <w:pPr>
              <w:jc w:val="both"/>
              <w:cnfStyle w:val="000000100000"/>
              <w:rPr>
                <w:rFonts w:asciiTheme="minorHAnsi" w:eastAsiaTheme="minorEastAsia" w:hAnsiTheme="minorHAnsi" w:cstheme="minorBidi"/>
              </w:rPr>
            </w:pPr>
            <w:r w:rsidRPr="000C3B97">
              <w:rPr>
                <w:rFonts w:asciiTheme="minorHAnsi" w:eastAsiaTheme="minorEastAsia" w:hAnsiTheme="minorHAnsi" w:cstheme="minorBidi"/>
              </w:rPr>
              <w:t>1,599</w:t>
            </w:r>
          </w:p>
        </w:tc>
        <w:tc>
          <w:tcPr>
            <w:tcW w:w="1306" w:type="pct"/>
            <w:noWrap/>
            <w:vAlign w:val="center"/>
            <w:hideMark/>
          </w:tcPr>
          <w:p w:rsidR="00AE3440" w:rsidRPr="000C3B97" w:rsidRDefault="00AE3440" w:rsidP="00995E2B">
            <w:pPr>
              <w:jc w:val="both"/>
              <w:cnfStyle w:val="000000100000"/>
              <w:rPr>
                <w:rFonts w:asciiTheme="minorHAnsi" w:eastAsiaTheme="minorEastAsia" w:hAnsiTheme="minorHAnsi" w:cstheme="minorBidi"/>
              </w:rPr>
            </w:pPr>
            <w:r w:rsidRPr="000C3B97">
              <w:rPr>
                <w:rFonts w:asciiTheme="minorHAnsi" w:eastAsiaTheme="minorEastAsia" w:hAnsiTheme="minorHAnsi" w:cstheme="minorBidi"/>
              </w:rPr>
              <w:t>1,807</w:t>
            </w:r>
          </w:p>
        </w:tc>
        <w:tc>
          <w:tcPr>
            <w:tcW w:w="1306" w:type="pct"/>
            <w:noWrap/>
            <w:vAlign w:val="center"/>
            <w:hideMark/>
          </w:tcPr>
          <w:p w:rsidR="00AE3440" w:rsidRPr="000C3B97" w:rsidRDefault="00AE3440" w:rsidP="00995E2B">
            <w:pPr>
              <w:jc w:val="both"/>
              <w:cnfStyle w:val="000000100000"/>
              <w:rPr>
                <w:rFonts w:asciiTheme="minorHAnsi" w:eastAsiaTheme="minorEastAsia" w:hAnsiTheme="minorHAnsi" w:cstheme="minorBidi"/>
              </w:rPr>
            </w:pPr>
            <w:r w:rsidRPr="000C3B97">
              <w:rPr>
                <w:rFonts w:asciiTheme="minorHAnsi" w:eastAsiaTheme="minorEastAsia" w:hAnsiTheme="minorHAnsi" w:cstheme="minorBidi"/>
              </w:rPr>
              <w:t>1,633</w:t>
            </w:r>
          </w:p>
        </w:tc>
      </w:tr>
      <w:tr w:rsidR="00AE3440" w:rsidRPr="000C3B97" w:rsidTr="000C3B97">
        <w:trPr>
          <w:cnfStyle w:val="000000010000"/>
          <w:trHeight w:val="175"/>
        </w:trPr>
        <w:tc>
          <w:tcPr>
            <w:cnfStyle w:val="001000000000"/>
            <w:tcW w:w="1082" w:type="pct"/>
            <w:noWrap/>
            <w:hideMark/>
          </w:tcPr>
          <w:p w:rsidR="00AE3440" w:rsidRPr="000C3B97" w:rsidRDefault="00AE3440" w:rsidP="00995E2B">
            <w:pPr>
              <w:jc w:val="both"/>
              <w:rPr>
                <w:rFonts w:asciiTheme="minorHAnsi" w:eastAsiaTheme="minorEastAsia" w:hAnsiTheme="minorHAnsi" w:cstheme="minorBidi"/>
                <w:b w:val="0"/>
              </w:rPr>
            </w:pPr>
            <w:r w:rsidRPr="000C3B97">
              <w:rPr>
                <w:rFonts w:asciiTheme="minorHAnsi" w:eastAsiaTheme="minorEastAsia" w:hAnsiTheme="minorHAnsi" w:cstheme="minorBidi"/>
                <w:b w:val="0"/>
              </w:rPr>
              <w:t>Eastern</w:t>
            </w:r>
          </w:p>
        </w:tc>
        <w:tc>
          <w:tcPr>
            <w:tcW w:w="1306" w:type="pct"/>
            <w:noWrap/>
            <w:vAlign w:val="center"/>
            <w:hideMark/>
          </w:tcPr>
          <w:p w:rsidR="00AE3440" w:rsidRPr="000C3B97" w:rsidRDefault="00AE3440" w:rsidP="00995E2B">
            <w:pPr>
              <w:jc w:val="both"/>
              <w:cnfStyle w:val="000000010000"/>
              <w:rPr>
                <w:rFonts w:asciiTheme="minorHAnsi" w:eastAsiaTheme="minorEastAsia" w:hAnsiTheme="minorHAnsi" w:cstheme="minorBidi"/>
              </w:rPr>
            </w:pPr>
            <w:r w:rsidRPr="000C3B97">
              <w:rPr>
                <w:rFonts w:asciiTheme="minorHAnsi" w:eastAsiaTheme="minorEastAsia" w:hAnsiTheme="minorHAnsi" w:cstheme="minorBidi"/>
              </w:rPr>
              <w:t>1,281</w:t>
            </w:r>
          </w:p>
        </w:tc>
        <w:tc>
          <w:tcPr>
            <w:tcW w:w="1306" w:type="pct"/>
            <w:noWrap/>
            <w:vAlign w:val="center"/>
            <w:hideMark/>
          </w:tcPr>
          <w:p w:rsidR="00AE3440" w:rsidRPr="000C3B97" w:rsidRDefault="00AE3440" w:rsidP="00995E2B">
            <w:pPr>
              <w:jc w:val="both"/>
              <w:cnfStyle w:val="000000010000"/>
              <w:rPr>
                <w:rFonts w:asciiTheme="minorHAnsi" w:eastAsiaTheme="minorEastAsia" w:hAnsiTheme="minorHAnsi" w:cstheme="minorBidi"/>
              </w:rPr>
            </w:pPr>
            <w:r w:rsidRPr="000C3B97">
              <w:rPr>
                <w:rFonts w:asciiTheme="minorHAnsi" w:eastAsiaTheme="minorEastAsia" w:hAnsiTheme="minorHAnsi" w:cstheme="minorBidi"/>
              </w:rPr>
              <w:t>1,451</w:t>
            </w:r>
          </w:p>
        </w:tc>
        <w:tc>
          <w:tcPr>
            <w:tcW w:w="1306" w:type="pct"/>
            <w:noWrap/>
            <w:vAlign w:val="center"/>
            <w:hideMark/>
          </w:tcPr>
          <w:p w:rsidR="00AE3440" w:rsidRPr="000C3B97" w:rsidRDefault="00AE3440" w:rsidP="00995E2B">
            <w:pPr>
              <w:jc w:val="both"/>
              <w:cnfStyle w:val="000000010000"/>
              <w:rPr>
                <w:rFonts w:asciiTheme="minorHAnsi" w:eastAsiaTheme="minorEastAsia" w:hAnsiTheme="minorHAnsi" w:cstheme="minorBidi"/>
              </w:rPr>
            </w:pPr>
            <w:r w:rsidRPr="000C3B97">
              <w:rPr>
                <w:rFonts w:asciiTheme="minorHAnsi" w:eastAsiaTheme="minorEastAsia" w:hAnsiTheme="minorHAnsi" w:cstheme="minorBidi"/>
              </w:rPr>
              <w:t>1,326</w:t>
            </w:r>
          </w:p>
        </w:tc>
      </w:tr>
      <w:tr w:rsidR="00AE3440" w:rsidRPr="000C3B97" w:rsidTr="000C3B97">
        <w:trPr>
          <w:cnfStyle w:val="000000100000"/>
          <w:trHeight w:val="175"/>
        </w:trPr>
        <w:tc>
          <w:tcPr>
            <w:cnfStyle w:val="001000000000"/>
            <w:tcW w:w="1082" w:type="pct"/>
            <w:noWrap/>
            <w:hideMark/>
          </w:tcPr>
          <w:p w:rsidR="00AE3440" w:rsidRPr="000C3B97" w:rsidRDefault="00AE3440" w:rsidP="00995E2B">
            <w:pPr>
              <w:jc w:val="both"/>
              <w:rPr>
                <w:rFonts w:asciiTheme="minorHAnsi" w:eastAsiaTheme="minorEastAsia" w:hAnsiTheme="minorHAnsi" w:cstheme="minorBidi"/>
                <w:b w:val="0"/>
                <w:bCs w:val="0"/>
              </w:rPr>
            </w:pPr>
            <w:r w:rsidRPr="000C3B97">
              <w:rPr>
                <w:rFonts w:asciiTheme="minorHAnsi" w:eastAsiaTheme="minorEastAsia" w:hAnsiTheme="minorHAnsi" w:cstheme="minorBidi"/>
                <w:b w:val="0"/>
                <w:bCs w:val="0"/>
              </w:rPr>
              <w:t>State</w:t>
            </w:r>
          </w:p>
        </w:tc>
        <w:tc>
          <w:tcPr>
            <w:tcW w:w="1306" w:type="pct"/>
            <w:noWrap/>
            <w:vAlign w:val="center"/>
            <w:hideMark/>
          </w:tcPr>
          <w:p w:rsidR="00AE3440" w:rsidRPr="000C3B97" w:rsidRDefault="00AE3440" w:rsidP="00995E2B">
            <w:pPr>
              <w:jc w:val="both"/>
              <w:cnfStyle w:val="000000100000"/>
              <w:rPr>
                <w:rFonts w:asciiTheme="minorHAnsi" w:eastAsiaTheme="minorEastAsia" w:hAnsiTheme="minorHAnsi" w:cstheme="minorBidi"/>
                <w:b/>
                <w:bCs/>
              </w:rPr>
            </w:pPr>
            <w:r w:rsidRPr="000C3B97">
              <w:rPr>
                <w:rFonts w:asciiTheme="minorHAnsi" w:eastAsiaTheme="minorEastAsia" w:hAnsiTheme="minorHAnsi" w:cstheme="minorBidi"/>
                <w:b/>
                <w:bCs/>
              </w:rPr>
              <w:t>7,632</w:t>
            </w:r>
          </w:p>
        </w:tc>
        <w:tc>
          <w:tcPr>
            <w:tcW w:w="1306" w:type="pct"/>
            <w:noWrap/>
            <w:vAlign w:val="center"/>
            <w:hideMark/>
          </w:tcPr>
          <w:p w:rsidR="00AE3440" w:rsidRPr="000C3B97" w:rsidRDefault="00AE3440" w:rsidP="00995E2B">
            <w:pPr>
              <w:jc w:val="both"/>
              <w:cnfStyle w:val="000000100000"/>
              <w:rPr>
                <w:rFonts w:asciiTheme="minorHAnsi" w:eastAsiaTheme="minorEastAsia" w:hAnsiTheme="minorHAnsi" w:cstheme="minorBidi"/>
                <w:b/>
                <w:bCs/>
              </w:rPr>
            </w:pPr>
            <w:r w:rsidRPr="000C3B97">
              <w:rPr>
                <w:rFonts w:asciiTheme="minorHAnsi" w:eastAsiaTheme="minorEastAsia" w:hAnsiTheme="minorHAnsi" w:cstheme="minorBidi"/>
                <w:b/>
                <w:bCs/>
              </w:rPr>
              <w:t>8,560</w:t>
            </w:r>
          </w:p>
        </w:tc>
        <w:tc>
          <w:tcPr>
            <w:tcW w:w="1306" w:type="pct"/>
            <w:noWrap/>
            <w:vAlign w:val="center"/>
            <w:hideMark/>
          </w:tcPr>
          <w:p w:rsidR="00AE3440" w:rsidRPr="000C3B97" w:rsidRDefault="00AE3440" w:rsidP="00995E2B">
            <w:pPr>
              <w:jc w:val="both"/>
              <w:cnfStyle w:val="000000100000"/>
              <w:rPr>
                <w:rFonts w:asciiTheme="minorHAnsi" w:eastAsiaTheme="minorEastAsia" w:hAnsiTheme="minorHAnsi" w:cstheme="minorBidi"/>
                <w:b/>
                <w:bCs/>
              </w:rPr>
            </w:pPr>
            <w:r w:rsidRPr="000C3B97">
              <w:rPr>
                <w:rFonts w:asciiTheme="minorHAnsi" w:eastAsiaTheme="minorEastAsia" w:hAnsiTheme="minorHAnsi" w:cstheme="minorBidi"/>
                <w:b/>
                <w:bCs/>
              </w:rPr>
              <w:t>7,707</w:t>
            </w:r>
          </w:p>
        </w:tc>
      </w:tr>
      <w:tr w:rsidR="00AE3440" w:rsidRPr="000C3B97" w:rsidTr="000C3B97">
        <w:trPr>
          <w:cnfStyle w:val="000000010000"/>
          <w:trHeight w:val="175"/>
        </w:trPr>
        <w:tc>
          <w:tcPr>
            <w:cnfStyle w:val="001000000000"/>
            <w:tcW w:w="1082" w:type="pct"/>
            <w:noWrap/>
            <w:hideMark/>
          </w:tcPr>
          <w:p w:rsidR="00AE3440" w:rsidRPr="000C3B97" w:rsidRDefault="00AE3440" w:rsidP="00995E2B">
            <w:pPr>
              <w:jc w:val="both"/>
              <w:rPr>
                <w:rFonts w:asciiTheme="minorHAnsi" w:eastAsiaTheme="minorEastAsia" w:hAnsiTheme="minorHAnsi" w:cstheme="minorBidi"/>
              </w:rPr>
            </w:pPr>
          </w:p>
        </w:tc>
        <w:tc>
          <w:tcPr>
            <w:tcW w:w="1306" w:type="pct"/>
            <w:noWrap/>
            <w:hideMark/>
          </w:tcPr>
          <w:p w:rsidR="00AE3440" w:rsidRPr="000C3B97" w:rsidRDefault="00AE3440" w:rsidP="00995E2B">
            <w:pPr>
              <w:jc w:val="both"/>
              <w:cnfStyle w:val="000000010000"/>
              <w:rPr>
                <w:rFonts w:asciiTheme="minorHAnsi" w:eastAsiaTheme="minorEastAsia" w:hAnsiTheme="minorHAnsi" w:cstheme="minorBidi"/>
              </w:rPr>
            </w:pPr>
          </w:p>
        </w:tc>
        <w:tc>
          <w:tcPr>
            <w:tcW w:w="1306" w:type="pct"/>
            <w:noWrap/>
            <w:hideMark/>
          </w:tcPr>
          <w:p w:rsidR="00AE3440" w:rsidRPr="000C3B97" w:rsidRDefault="00AE3440" w:rsidP="00995E2B">
            <w:pPr>
              <w:jc w:val="both"/>
              <w:cnfStyle w:val="000000010000"/>
              <w:rPr>
                <w:rFonts w:asciiTheme="minorHAnsi" w:eastAsiaTheme="minorEastAsia" w:hAnsiTheme="minorHAnsi" w:cstheme="minorBidi"/>
              </w:rPr>
            </w:pPr>
          </w:p>
        </w:tc>
        <w:tc>
          <w:tcPr>
            <w:tcW w:w="1306" w:type="pct"/>
            <w:noWrap/>
            <w:hideMark/>
          </w:tcPr>
          <w:p w:rsidR="00AE3440" w:rsidRPr="000C3B97" w:rsidRDefault="00AE3440" w:rsidP="00995E2B">
            <w:pPr>
              <w:jc w:val="both"/>
              <w:cnfStyle w:val="000000010000"/>
              <w:rPr>
                <w:rFonts w:asciiTheme="minorHAnsi" w:eastAsiaTheme="minorEastAsia" w:hAnsiTheme="minorHAnsi" w:cstheme="minorBidi"/>
              </w:rPr>
            </w:pPr>
          </w:p>
        </w:tc>
      </w:tr>
      <w:tr w:rsidR="00AE3440" w:rsidRPr="000C3B97" w:rsidTr="000C3B97">
        <w:trPr>
          <w:cnfStyle w:val="000000100000"/>
          <w:trHeight w:val="175"/>
        </w:trPr>
        <w:tc>
          <w:tcPr>
            <w:cnfStyle w:val="001000000000"/>
            <w:tcW w:w="5000" w:type="pct"/>
            <w:gridSpan w:val="4"/>
            <w:shd w:val="clear" w:color="auto" w:fill="FFFFFF" w:themeFill="background1"/>
            <w:noWrap/>
            <w:hideMark/>
          </w:tcPr>
          <w:p w:rsidR="00AE3440" w:rsidRPr="000C3B97" w:rsidRDefault="00AE3440" w:rsidP="00995E2B">
            <w:pPr>
              <w:jc w:val="both"/>
              <w:rPr>
                <w:rFonts w:asciiTheme="minorHAnsi" w:eastAsiaTheme="minorEastAsia" w:hAnsiTheme="minorHAnsi" w:cstheme="minorBidi"/>
              </w:rPr>
            </w:pPr>
            <w:r w:rsidRPr="000C3B97">
              <w:rPr>
                <w:rFonts w:asciiTheme="minorHAnsi" w:eastAsiaTheme="minorEastAsia" w:hAnsiTheme="minorHAnsi" w:cstheme="minorBidi"/>
              </w:rPr>
              <w:t>Produced by Luke Topfer, Tasmania Police, 26 Sep 2012</w:t>
            </w:r>
          </w:p>
        </w:tc>
      </w:tr>
    </w:tbl>
    <w:p w:rsidR="00AE3440" w:rsidRDefault="00013CB0" w:rsidP="00013CB0">
      <w:pPr>
        <w:rPr>
          <w:i/>
        </w:rPr>
      </w:pPr>
      <w:r w:rsidRPr="00013CB0">
        <w:rPr>
          <w:i/>
        </w:rPr>
        <w:t>Figure 13: number of unregistered vehicles detected by Police in each major district</w:t>
      </w:r>
      <w:r w:rsidR="009E3AC7">
        <w:rPr>
          <w:i/>
        </w:rPr>
        <w:t xml:space="preserve"> by ANPR and active enforcement duties.</w:t>
      </w:r>
      <w:r w:rsidRPr="00013CB0">
        <w:rPr>
          <w:i/>
        </w:rPr>
        <w:t xml:space="preserve"> </w:t>
      </w:r>
    </w:p>
    <w:p w:rsidR="008329FE" w:rsidRDefault="008329FE" w:rsidP="00604159">
      <w:pPr>
        <w:pStyle w:val="Heading1"/>
        <w:jc w:val="both"/>
      </w:pPr>
      <w:bookmarkStart w:id="13" w:name="_Toc341047903"/>
    </w:p>
    <w:p w:rsidR="008329FE" w:rsidRDefault="008329FE" w:rsidP="00604159">
      <w:pPr>
        <w:pStyle w:val="Heading1"/>
        <w:jc w:val="both"/>
      </w:pPr>
    </w:p>
    <w:p w:rsidR="008329FE" w:rsidRDefault="008329FE" w:rsidP="00604159">
      <w:pPr>
        <w:pStyle w:val="Heading1"/>
        <w:jc w:val="both"/>
      </w:pPr>
    </w:p>
    <w:p w:rsidR="00AE3440" w:rsidRPr="000638E8" w:rsidRDefault="002410B5" w:rsidP="00604159">
      <w:pPr>
        <w:pStyle w:val="Heading1"/>
        <w:jc w:val="both"/>
      </w:pPr>
      <w:r>
        <w:t xml:space="preserve">Unregistered </w:t>
      </w:r>
      <w:r w:rsidR="00AE10B0">
        <w:t>v</w:t>
      </w:r>
      <w:r>
        <w:t xml:space="preserve">ehicles in </w:t>
      </w:r>
      <w:r w:rsidR="00AE10B0">
        <w:t>c</w:t>
      </w:r>
      <w:r>
        <w:t>rashes</w:t>
      </w:r>
      <w:bookmarkEnd w:id="13"/>
    </w:p>
    <w:p w:rsidR="00AE3440" w:rsidRPr="000638E8" w:rsidRDefault="0095464D" w:rsidP="00995E2B">
      <w:pPr>
        <w:jc w:val="both"/>
      </w:pPr>
      <w:r>
        <w:rPr>
          <w:rFonts w:cs="Arial"/>
          <w:color w:val="121212"/>
        </w:rPr>
        <w:t>In addition to recognis</w:t>
      </w:r>
      <w:r w:rsidR="00AE3440">
        <w:rPr>
          <w:rFonts w:cs="Arial"/>
          <w:color w:val="121212"/>
        </w:rPr>
        <w:t xml:space="preserve">ing </w:t>
      </w:r>
      <w:r w:rsidR="00AE3440" w:rsidRPr="000638E8">
        <w:rPr>
          <w:rFonts w:cs="Arial"/>
          <w:color w:val="121212"/>
        </w:rPr>
        <w:t xml:space="preserve">that </w:t>
      </w:r>
      <w:r w:rsidR="00FD5731">
        <w:t>unlicensed</w:t>
      </w:r>
      <w:r w:rsidR="00AE3440" w:rsidRPr="000638E8">
        <w:t xml:space="preserve"> </w:t>
      </w:r>
      <w:r w:rsidR="00AE3440">
        <w:t xml:space="preserve">driving </w:t>
      </w:r>
      <w:r w:rsidR="00AE3440" w:rsidRPr="000638E8">
        <w:t xml:space="preserve">does not imply </w:t>
      </w:r>
      <w:r w:rsidR="00AE3440">
        <w:t xml:space="preserve">a higher crash rate, the </w:t>
      </w:r>
      <w:r w:rsidR="00AE3440" w:rsidRPr="000638E8">
        <w:rPr>
          <w:rFonts w:cs="Arial"/>
          <w:color w:val="121212"/>
        </w:rPr>
        <w:t>ATC</w:t>
      </w:r>
      <w:r w:rsidR="00AE3440">
        <w:rPr>
          <w:rFonts w:cs="Arial"/>
          <w:color w:val="121212"/>
        </w:rPr>
        <w:t xml:space="preserve"> </w:t>
      </w:r>
      <w:r>
        <w:rPr>
          <w:rFonts w:cs="Arial"/>
          <w:color w:val="121212"/>
        </w:rPr>
        <w:t>notes</w:t>
      </w:r>
      <w:r w:rsidR="00AE3440">
        <w:rPr>
          <w:rFonts w:cs="Arial"/>
          <w:color w:val="121212"/>
        </w:rPr>
        <w:t xml:space="preserve"> that by simply driving an unregistered vehicle, the driver is no more likely to crash than the driver of a registered vehicle. </w:t>
      </w:r>
    </w:p>
    <w:p w:rsidR="00AE3440" w:rsidRPr="000638E8" w:rsidRDefault="00661003" w:rsidP="00995E2B">
      <w:pPr>
        <w:jc w:val="both"/>
        <w:rPr>
          <w:rFonts w:cs="Arial"/>
        </w:rPr>
      </w:pPr>
      <w:r>
        <w:rPr>
          <w:rFonts w:cs="Arial"/>
        </w:rPr>
        <w:t xml:space="preserve">It is considered that </w:t>
      </w:r>
      <w:r w:rsidR="00AE3440">
        <w:rPr>
          <w:rFonts w:cs="Arial"/>
        </w:rPr>
        <w:t xml:space="preserve">drivers of unregistered vehicles </w:t>
      </w:r>
      <w:r w:rsidR="00AE3440" w:rsidRPr="000638E8">
        <w:rPr>
          <w:rFonts w:cs="Arial"/>
        </w:rPr>
        <w:t xml:space="preserve">adopt driving practices to </w:t>
      </w:r>
      <w:r>
        <w:rPr>
          <w:rFonts w:cs="Arial"/>
        </w:rPr>
        <w:t xml:space="preserve">attempt to </w:t>
      </w:r>
      <w:r w:rsidR="00AE3440" w:rsidRPr="000638E8">
        <w:rPr>
          <w:rFonts w:cs="Arial"/>
        </w:rPr>
        <w:t xml:space="preserve">avoid the attention of police. By doing so, the </w:t>
      </w:r>
      <w:r w:rsidR="00AE3440">
        <w:rPr>
          <w:rFonts w:cs="Arial"/>
        </w:rPr>
        <w:t xml:space="preserve">driver </w:t>
      </w:r>
      <w:r>
        <w:rPr>
          <w:rFonts w:cs="Arial"/>
        </w:rPr>
        <w:t xml:space="preserve">may </w:t>
      </w:r>
      <w:r w:rsidR="00AE3440">
        <w:rPr>
          <w:rFonts w:cs="Arial"/>
        </w:rPr>
        <w:t>place</w:t>
      </w:r>
      <w:r w:rsidR="00AE3440" w:rsidRPr="000638E8">
        <w:rPr>
          <w:rFonts w:cs="Arial"/>
        </w:rPr>
        <w:t xml:space="preserve"> themselves in higher risk scenarios, for example travelling on unsealed roads in the dark. </w:t>
      </w:r>
    </w:p>
    <w:p w:rsidR="00AE3440" w:rsidRDefault="00AE3440" w:rsidP="00995E2B">
      <w:pPr>
        <w:jc w:val="both"/>
        <w:rPr>
          <w:rFonts w:cs="Arial"/>
        </w:rPr>
      </w:pPr>
      <w:r>
        <w:rPr>
          <w:rFonts w:cs="Arial"/>
        </w:rPr>
        <w:t>There is also an assumption that older vehicles are more likely to be unregistered and feature predominantly in the crash statistics. However in-depth analysis has shown that 51</w:t>
      </w:r>
      <w:r w:rsidR="009A0E84">
        <w:rPr>
          <w:rFonts w:cs="Arial"/>
        </w:rPr>
        <w:t xml:space="preserve"> </w:t>
      </w:r>
      <w:r w:rsidR="00FD2A8A">
        <w:rPr>
          <w:rFonts w:cs="Arial"/>
        </w:rPr>
        <w:t>per cent</w:t>
      </w:r>
      <w:r>
        <w:rPr>
          <w:rFonts w:cs="Arial"/>
        </w:rPr>
        <w:t xml:space="preserve"> of unregistered vehicles involved in serious casualty crashes over the last five years were manufactured less than 20 years ago.</w:t>
      </w:r>
    </w:p>
    <w:p w:rsidR="006F78E9" w:rsidRDefault="009A0E84" w:rsidP="006F78E9">
      <w:pPr>
        <w:jc w:val="both"/>
      </w:pPr>
      <w:r>
        <w:t>In terms of the total representation of unregistered vehicles in serious casualty crashes, b</w:t>
      </w:r>
      <w:r w:rsidR="00AE3440">
        <w:t xml:space="preserve">etween </w:t>
      </w:r>
      <w:r w:rsidR="00AE3440" w:rsidRPr="000638E8">
        <w:t>2007</w:t>
      </w:r>
      <w:r w:rsidR="00AE3440">
        <w:t xml:space="preserve"> and </w:t>
      </w:r>
      <w:r w:rsidR="00AE3440" w:rsidRPr="000638E8">
        <w:t>2011</w:t>
      </w:r>
      <w:r w:rsidR="00AE3440">
        <w:t xml:space="preserve"> less than 3</w:t>
      </w:r>
      <w:r w:rsidR="00FD2A8A">
        <w:t xml:space="preserve"> per cent</w:t>
      </w:r>
      <w:r w:rsidR="00AE3440">
        <w:t xml:space="preserve"> of </w:t>
      </w:r>
      <w:r w:rsidR="00AE3440" w:rsidRPr="000638E8">
        <w:t>serious casualty crashes</w:t>
      </w:r>
      <w:r w:rsidR="00AE3440">
        <w:t xml:space="preserve"> invol</w:t>
      </w:r>
      <w:r>
        <w:t xml:space="preserve">ved an unregistered vehicle (38 out of </w:t>
      </w:r>
      <w:r w:rsidR="00AE3440">
        <w:t>1</w:t>
      </w:r>
      <w:r>
        <w:t>,</w:t>
      </w:r>
      <w:r w:rsidR="00AE3440">
        <w:t>311</w:t>
      </w:r>
      <w:r>
        <w:t xml:space="preserve"> crashes</w:t>
      </w:r>
      <w:r w:rsidR="00AE3440">
        <w:t>).</w:t>
      </w:r>
      <w:r w:rsidR="00B30AC7">
        <w:t xml:space="preserve"> Figure 14 demonstrates the distribution of unregistered vehicles by crash severity over the past 5 years.</w:t>
      </w:r>
      <w:r w:rsidR="00344001">
        <w:t xml:space="preserve"> It shows that unregistered vehicles are most likely to be involved in property damage only crashes, followed by minor injury crashes.</w:t>
      </w:r>
      <w:r w:rsidR="006F78E9" w:rsidRPr="006F78E9">
        <w:t xml:space="preserve"> </w:t>
      </w:r>
    </w:p>
    <w:p w:rsidR="00A85FA6" w:rsidRDefault="00A85FA6" w:rsidP="006F78E9">
      <w:pPr>
        <w:jc w:val="both"/>
      </w:pPr>
    </w:p>
    <w:p w:rsidR="00AE3440" w:rsidRDefault="006F78E9" w:rsidP="006F78E9">
      <w:pPr>
        <w:jc w:val="both"/>
      </w:pPr>
      <w:r w:rsidRPr="006F78E9">
        <w:rPr>
          <w:noProof/>
          <w:lang w:val="en-AU" w:eastAsia="en-AU" w:bidi="ar-SA"/>
        </w:rPr>
        <w:drawing>
          <wp:inline distT="0" distB="0" distL="0" distR="0">
            <wp:extent cx="5246370" cy="4164037"/>
            <wp:effectExtent l="57150" t="0" r="30480" b="46013"/>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AE3440" w:rsidRDefault="004316DC" w:rsidP="004316DC">
      <w:pPr>
        <w:spacing w:after="0"/>
        <w:jc w:val="both"/>
        <w:rPr>
          <w:i/>
          <w:noProof/>
        </w:rPr>
      </w:pPr>
      <w:r w:rsidRPr="004316DC">
        <w:rPr>
          <w:i/>
          <w:noProof/>
        </w:rPr>
        <w:t xml:space="preserve">Figure 14: The number of unregistered vehicles </w:t>
      </w:r>
      <w:r w:rsidR="0097615E">
        <w:rPr>
          <w:i/>
          <w:noProof/>
        </w:rPr>
        <w:t xml:space="preserve">involved in crashes </w:t>
      </w:r>
      <w:r w:rsidRPr="004316DC">
        <w:rPr>
          <w:i/>
          <w:noProof/>
        </w:rPr>
        <w:t>per year and severity</w:t>
      </w:r>
      <w:r w:rsidR="00BF4DBD">
        <w:rPr>
          <w:i/>
          <w:noProof/>
        </w:rPr>
        <w:t>, Tasmania.</w:t>
      </w:r>
    </w:p>
    <w:p w:rsidR="004316DC" w:rsidRDefault="004316DC" w:rsidP="004316DC">
      <w:pPr>
        <w:spacing w:after="0"/>
        <w:jc w:val="both"/>
        <w:rPr>
          <w:i/>
          <w:noProof/>
        </w:rPr>
      </w:pPr>
    </w:p>
    <w:p w:rsidR="004316DC" w:rsidRDefault="00CB3203" w:rsidP="004316DC">
      <w:pPr>
        <w:spacing w:after="0"/>
        <w:jc w:val="both"/>
        <w:rPr>
          <w:noProof/>
        </w:rPr>
      </w:pPr>
      <w:r>
        <w:rPr>
          <w:noProof/>
        </w:rPr>
        <w:t>When considering the two behaviours that are the subject of this report together, i</w:t>
      </w:r>
      <w:r w:rsidR="004316DC" w:rsidRPr="004316DC">
        <w:rPr>
          <w:noProof/>
        </w:rPr>
        <w:t xml:space="preserve">t is most uncommon for an </w:t>
      </w:r>
      <w:r w:rsidR="00FD5731">
        <w:rPr>
          <w:noProof/>
        </w:rPr>
        <w:t>unlicensed</w:t>
      </w:r>
      <w:r w:rsidR="004316DC" w:rsidRPr="004316DC">
        <w:rPr>
          <w:noProof/>
        </w:rPr>
        <w:t xml:space="preserve"> driver, </w:t>
      </w:r>
      <w:r w:rsidR="00344001">
        <w:rPr>
          <w:noProof/>
        </w:rPr>
        <w:t>driving an unregistered vehicle</w:t>
      </w:r>
      <w:r w:rsidR="004316DC" w:rsidRPr="004316DC">
        <w:rPr>
          <w:noProof/>
        </w:rPr>
        <w:t xml:space="preserve"> to be involved in a serious</w:t>
      </w:r>
      <w:r w:rsidR="007D7321">
        <w:rPr>
          <w:noProof/>
        </w:rPr>
        <w:t xml:space="preserve"> </w:t>
      </w:r>
      <w:r w:rsidR="004316DC" w:rsidRPr="004316DC">
        <w:rPr>
          <w:noProof/>
        </w:rPr>
        <w:t>casualty crash, as seen in Figure 15.</w:t>
      </w:r>
    </w:p>
    <w:p w:rsidR="00115905" w:rsidRDefault="00115905" w:rsidP="004316DC">
      <w:pPr>
        <w:spacing w:after="0"/>
        <w:jc w:val="both"/>
        <w:rPr>
          <w:noProof/>
        </w:rPr>
      </w:pPr>
    </w:p>
    <w:p w:rsidR="00495443" w:rsidRPr="004316DC" w:rsidRDefault="00495443" w:rsidP="004316DC">
      <w:pPr>
        <w:spacing w:after="0"/>
        <w:jc w:val="both"/>
        <w:rPr>
          <w:noProof/>
        </w:rPr>
      </w:pPr>
    </w:p>
    <w:tbl>
      <w:tblPr>
        <w:tblStyle w:val="MediumShading1-Accent5"/>
        <w:tblW w:w="5000" w:type="pct"/>
        <w:tblLook w:val="04A0"/>
      </w:tblPr>
      <w:tblGrid>
        <w:gridCol w:w="2644"/>
        <w:gridCol w:w="1013"/>
        <w:gridCol w:w="1011"/>
        <w:gridCol w:w="1144"/>
        <w:gridCol w:w="1144"/>
        <w:gridCol w:w="1144"/>
        <w:gridCol w:w="1142"/>
      </w:tblGrid>
      <w:tr w:rsidR="000C3B97" w:rsidRPr="000C3B97" w:rsidTr="000C3B97">
        <w:trPr>
          <w:cnfStyle w:val="100000000000"/>
          <w:trHeight w:val="300"/>
        </w:trPr>
        <w:tc>
          <w:tcPr>
            <w:cnfStyle w:val="001000000000"/>
            <w:tcW w:w="5000" w:type="pct"/>
            <w:gridSpan w:val="7"/>
            <w:noWrap/>
            <w:hideMark/>
          </w:tcPr>
          <w:p w:rsidR="000C3B97" w:rsidRPr="000C3B97" w:rsidRDefault="004316DC" w:rsidP="00995E2B">
            <w:pPr>
              <w:jc w:val="both"/>
              <w:rPr>
                <w:caps/>
                <w:sz w:val="28"/>
                <w:szCs w:val="28"/>
                <w:lang w:val="en-AU" w:bidi="ar-SA"/>
              </w:rPr>
            </w:pPr>
            <w:r>
              <w:rPr>
                <w:i/>
                <w:noProof/>
              </w:rPr>
              <w:br w:type="page"/>
            </w:r>
            <w:r w:rsidR="00AE3440">
              <w:rPr>
                <w:b w:val="0"/>
                <w:noProof/>
              </w:rPr>
              <w:br w:type="page"/>
            </w:r>
            <w:r w:rsidR="0077465C" w:rsidRPr="00A50512">
              <w:rPr>
                <w:b w:val="0"/>
                <w:noProof/>
              </w:rPr>
              <w:t xml:space="preserve">SERIOUS CASUALTY CRASHES WHERE THE DRIVER WAS </w:t>
            </w:r>
            <w:r w:rsidR="00FD5731">
              <w:rPr>
                <w:b w:val="0"/>
                <w:noProof/>
              </w:rPr>
              <w:t>UNLICENSED</w:t>
            </w:r>
            <w:r w:rsidR="0077465C" w:rsidRPr="00A50512">
              <w:rPr>
                <w:b w:val="0"/>
                <w:noProof/>
              </w:rPr>
              <w:t xml:space="preserve"> AND THE VEHICLE WAS UNREGISTERED</w:t>
            </w:r>
          </w:p>
        </w:tc>
      </w:tr>
      <w:tr w:rsidR="00AE3440" w:rsidRPr="00A50512" w:rsidTr="000C3B97">
        <w:trPr>
          <w:cnfStyle w:val="000000100000"/>
          <w:trHeight w:val="300"/>
        </w:trPr>
        <w:tc>
          <w:tcPr>
            <w:cnfStyle w:val="001000000000"/>
            <w:tcW w:w="3144" w:type="pct"/>
            <w:gridSpan w:val="4"/>
            <w:noWrap/>
            <w:hideMark/>
          </w:tcPr>
          <w:p w:rsidR="00AE3440" w:rsidRPr="00A50512" w:rsidRDefault="00FD5731" w:rsidP="00995E2B">
            <w:pPr>
              <w:jc w:val="both"/>
              <w:rPr>
                <w:color w:val="000000"/>
                <w:lang w:val="en-AU" w:bidi="ar-SA"/>
              </w:rPr>
            </w:pPr>
            <w:r>
              <w:rPr>
                <w:color w:val="000000"/>
                <w:lang w:val="en-AU" w:bidi="ar-SA"/>
              </w:rPr>
              <w:t>Unlicensed</w:t>
            </w:r>
            <w:r w:rsidR="00AE3440" w:rsidRPr="00A50512">
              <w:rPr>
                <w:color w:val="000000"/>
                <w:lang w:val="en-AU" w:bidi="ar-SA"/>
              </w:rPr>
              <w:t xml:space="preserve"> &amp; Unregistered Motorcycle Riders</w:t>
            </w:r>
          </w:p>
        </w:tc>
        <w:tc>
          <w:tcPr>
            <w:tcW w:w="619" w:type="pct"/>
            <w:noWrap/>
            <w:hideMark/>
          </w:tcPr>
          <w:p w:rsidR="00AE3440" w:rsidRPr="00A50512" w:rsidRDefault="00AE3440" w:rsidP="00995E2B">
            <w:pPr>
              <w:jc w:val="both"/>
              <w:cnfStyle w:val="000000100000"/>
              <w:rPr>
                <w:color w:val="000000"/>
                <w:lang w:val="en-AU" w:bidi="ar-SA"/>
              </w:rPr>
            </w:pPr>
          </w:p>
        </w:tc>
        <w:tc>
          <w:tcPr>
            <w:tcW w:w="619" w:type="pct"/>
            <w:noWrap/>
            <w:hideMark/>
          </w:tcPr>
          <w:p w:rsidR="00AE3440" w:rsidRPr="00A50512" w:rsidRDefault="00AE3440" w:rsidP="00995E2B">
            <w:pPr>
              <w:jc w:val="both"/>
              <w:cnfStyle w:val="000000100000"/>
              <w:rPr>
                <w:color w:val="000000"/>
                <w:lang w:val="en-AU" w:bidi="ar-SA"/>
              </w:rPr>
            </w:pPr>
          </w:p>
        </w:tc>
        <w:tc>
          <w:tcPr>
            <w:tcW w:w="618" w:type="pct"/>
            <w:noWrap/>
            <w:hideMark/>
          </w:tcPr>
          <w:p w:rsidR="00AE3440" w:rsidRPr="00A50512" w:rsidRDefault="00AE3440" w:rsidP="00995E2B">
            <w:pPr>
              <w:jc w:val="both"/>
              <w:cnfStyle w:val="000000100000"/>
              <w:rPr>
                <w:color w:val="000000"/>
                <w:lang w:val="en-AU" w:bidi="ar-SA"/>
              </w:rPr>
            </w:pPr>
          </w:p>
        </w:tc>
      </w:tr>
      <w:tr w:rsidR="000C3B97" w:rsidRPr="00A50512" w:rsidTr="000C3B97">
        <w:trPr>
          <w:cnfStyle w:val="000000010000"/>
          <w:trHeight w:val="300"/>
        </w:trPr>
        <w:tc>
          <w:tcPr>
            <w:cnfStyle w:val="001000000000"/>
            <w:tcW w:w="1430" w:type="pct"/>
            <w:noWrap/>
            <w:hideMark/>
          </w:tcPr>
          <w:p w:rsidR="00AE3440" w:rsidRPr="00A50512" w:rsidRDefault="00AE3440" w:rsidP="00995E2B">
            <w:pPr>
              <w:jc w:val="both"/>
              <w:rPr>
                <w:color w:val="000000"/>
                <w:lang w:val="en-AU" w:bidi="ar-SA"/>
              </w:rPr>
            </w:pPr>
          </w:p>
        </w:tc>
        <w:tc>
          <w:tcPr>
            <w:tcW w:w="548" w:type="pct"/>
            <w:noWrap/>
            <w:hideMark/>
          </w:tcPr>
          <w:p w:rsidR="00AE3440" w:rsidRPr="00A50512" w:rsidRDefault="00AE3440" w:rsidP="00995E2B">
            <w:pPr>
              <w:jc w:val="both"/>
              <w:cnfStyle w:val="000000010000"/>
              <w:rPr>
                <w:color w:val="000000"/>
                <w:lang w:val="en-AU" w:bidi="ar-SA"/>
              </w:rPr>
            </w:pPr>
          </w:p>
        </w:tc>
        <w:tc>
          <w:tcPr>
            <w:tcW w:w="547" w:type="pct"/>
            <w:noWrap/>
            <w:hideMark/>
          </w:tcPr>
          <w:p w:rsidR="00AE3440" w:rsidRPr="00A50512" w:rsidRDefault="00AE3440" w:rsidP="00995E2B">
            <w:pPr>
              <w:jc w:val="both"/>
              <w:cnfStyle w:val="000000010000"/>
              <w:rPr>
                <w:color w:val="000000"/>
                <w:lang w:val="en-AU" w:bidi="ar-SA"/>
              </w:rPr>
            </w:pPr>
          </w:p>
        </w:tc>
        <w:tc>
          <w:tcPr>
            <w:tcW w:w="619" w:type="pct"/>
            <w:noWrap/>
            <w:hideMark/>
          </w:tcPr>
          <w:p w:rsidR="00AE3440" w:rsidRPr="00A50512" w:rsidRDefault="00AE3440" w:rsidP="00995E2B">
            <w:pPr>
              <w:jc w:val="both"/>
              <w:cnfStyle w:val="000000010000"/>
              <w:rPr>
                <w:color w:val="000000"/>
                <w:lang w:val="en-AU" w:bidi="ar-SA"/>
              </w:rPr>
            </w:pPr>
          </w:p>
        </w:tc>
        <w:tc>
          <w:tcPr>
            <w:tcW w:w="619" w:type="pct"/>
            <w:noWrap/>
            <w:hideMark/>
          </w:tcPr>
          <w:p w:rsidR="00AE3440" w:rsidRPr="00A50512" w:rsidRDefault="00AE3440" w:rsidP="00995E2B">
            <w:pPr>
              <w:jc w:val="both"/>
              <w:cnfStyle w:val="000000010000"/>
              <w:rPr>
                <w:color w:val="000000"/>
                <w:lang w:val="en-AU" w:bidi="ar-SA"/>
              </w:rPr>
            </w:pPr>
          </w:p>
        </w:tc>
        <w:tc>
          <w:tcPr>
            <w:tcW w:w="619" w:type="pct"/>
            <w:noWrap/>
            <w:hideMark/>
          </w:tcPr>
          <w:p w:rsidR="00AE3440" w:rsidRPr="00A50512" w:rsidRDefault="00AE3440" w:rsidP="00995E2B">
            <w:pPr>
              <w:jc w:val="both"/>
              <w:cnfStyle w:val="000000010000"/>
              <w:rPr>
                <w:color w:val="000000"/>
                <w:lang w:val="en-AU" w:bidi="ar-SA"/>
              </w:rPr>
            </w:pPr>
          </w:p>
        </w:tc>
        <w:tc>
          <w:tcPr>
            <w:tcW w:w="618" w:type="pct"/>
            <w:noWrap/>
            <w:hideMark/>
          </w:tcPr>
          <w:p w:rsidR="00AE3440" w:rsidRPr="00A50512" w:rsidRDefault="00AE3440" w:rsidP="00995E2B">
            <w:pPr>
              <w:jc w:val="both"/>
              <w:cnfStyle w:val="000000010000"/>
              <w:rPr>
                <w:color w:val="000000"/>
                <w:lang w:val="en-AU" w:bidi="ar-SA"/>
              </w:rPr>
            </w:pPr>
          </w:p>
        </w:tc>
      </w:tr>
      <w:tr w:rsidR="000C3B97" w:rsidRPr="00A50512" w:rsidTr="000C3B97">
        <w:trPr>
          <w:cnfStyle w:val="000000100000"/>
          <w:trHeight w:val="300"/>
        </w:trPr>
        <w:tc>
          <w:tcPr>
            <w:cnfStyle w:val="001000000000"/>
            <w:tcW w:w="1430" w:type="pct"/>
            <w:noWrap/>
            <w:hideMark/>
          </w:tcPr>
          <w:p w:rsidR="00AE3440" w:rsidRPr="00A50512" w:rsidRDefault="00AE3440" w:rsidP="00995E2B">
            <w:pPr>
              <w:jc w:val="both"/>
              <w:rPr>
                <w:color w:val="000000"/>
                <w:lang w:val="en-AU" w:bidi="ar-SA"/>
              </w:rPr>
            </w:pPr>
            <w:r w:rsidRPr="00A50512">
              <w:rPr>
                <w:color w:val="000000"/>
                <w:lang w:val="en-AU" w:bidi="ar-SA"/>
              </w:rPr>
              <w:t>Severity</w:t>
            </w:r>
          </w:p>
        </w:tc>
        <w:tc>
          <w:tcPr>
            <w:tcW w:w="548" w:type="pct"/>
            <w:noWrap/>
            <w:hideMark/>
          </w:tcPr>
          <w:p w:rsidR="00AE3440" w:rsidRPr="00A50512" w:rsidRDefault="00AE3440" w:rsidP="00995E2B">
            <w:pPr>
              <w:jc w:val="both"/>
              <w:cnfStyle w:val="000000100000"/>
              <w:rPr>
                <w:color w:val="000000"/>
                <w:lang w:val="en-AU" w:bidi="ar-SA"/>
              </w:rPr>
            </w:pPr>
            <w:r w:rsidRPr="00A50512">
              <w:rPr>
                <w:color w:val="000000"/>
                <w:lang w:val="en-AU" w:bidi="ar-SA"/>
              </w:rPr>
              <w:t>2007</w:t>
            </w:r>
          </w:p>
        </w:tc>
        <w:tc>
          <w:tcPr>
            <w:tcW w:w="547" w:type="pct"/>
            <w:noWrap/>
            <w:hideMark/>
          </w:tcPr>
          <w:p w:rsidR="00AE3440" w:rsidRPr="00A50512" w:rsidRDefault="00AE3440" w:rsidP="00995E2B">
            <w:pPr>
              <w:jc w:val="both"/>
              <w:cnfStyle w:val="000000100000"/>
              <w:rPr>
                <w:color w:val="000000"/>
                <w:lang w:val="en-AU" w:bidi="ar-SA"/>
              </w:rPr>
            </w:pPr>
            <w:r w:rsidRPr="00A50512">
              <w:rPr>
                <w:color w:val="000000"/>
                <w:lang w:val="en-AU" w:bidi="ar-SA"/>
              </w:rPr>
              <w:t>2008</w:t>
            </w:r>
          </w:p>
        </w:tc>
        <w:tc>
          <w:tcPr>
            <w:tcW w:w="619" w:type="pct"/>
            <w:noWrap/>
            <w:hideMark/>
          </w:tcPr>
          <w:p w:rsidR="00AE3440" w:rsidRPr="00A50512" w:rsidRDefault="00AE3440" w:rsidP="00995E2B">
            <w:pPr>
              <w:jc w:val="both"/>
              <w:cnfStyle w:val="000000100000"/>
              <w:rPr>
                <w:color w:val="000000"/>
                <w:lang w:val="en-AU" w:bidi="ar-SA"/>
              </w:rPr>
            </w:pPr>
            <w:r w:rsidRPr="00A50512">
              <w:rPr>
                <w:color w:val="000000"/>
                <w:lang w:val="en-AU" w:bidi="ar-SA"/>
              </w:rPr>
              <w:t>2009</w:t>
            </w:r>
          </w:p>
        </w:tc>
        <w:tc>
          <w:tcPr>
            <w:tcW w:w="619" w:type="pct"/>
            <w:noWrap/>
            <w:hideMark/>
          </w:tcPr>
          <w:p w:rsidR="00AE3440" w:rsidRPr="00A50512" w:rsidRDefault="00AE3440" w:rsidP="00995E2B">
            <w:pPr>
              <w:jc w:val="both"/>
              <w:cnfStyle w:val="000000100000"/>
              <w:rPr>
                <w:color w:val="000000"/>
                <w:lang w:val="en-AU" w:bidi="ar-SA"/>
              </w:rPr>
            </w:pPr>
            <w:r w:rsidRPr="00A50512">
              <w:rPr>
                <w:color w:val="000000"/>
                <w:lang w:val="en-AU" w:bidi="ar-SA"/>
              </w:rPr>
              <w:t>2010</w:t>
            </w:r>
          </w:p>
        </w:tc>
        <w:tc>
          <w:tcPr>
            <w:tcW w:w="619" w:type="pct"/>
            <w:noWrap/>
            <w:hideMark/>
          </w:tcPr>
          <w:p w:rsidR="00AE3440" w:rsidRPr="00A50512" w:rsidRDefault="00AE3440" w:rsidP="00995E2B">
            <w:pPr>
              <w:jc w:val="both"/>
              <w:cnfStyle w:val="000000100000"/>
              <w:rPr>
                <w:color w:val="000000"/>
                <w:lang w:val="en-AU" w:bidi="ar-SA"/>
              </w:rPr>
            </w:pPr>
            <w:r w:rsidRPr="00A50512">
              <w:rPr>
                <w:color w:val="000000"/>
                <w:lang w:val="en-AU" w:bidi="ar-SA"/>
              </w:rPr>
              <w:t>2011</w:t>
            </w:r>
          </w:p>
        </w:tc>
        <w:tc>
          <w:tcPr>
            <w:tcW w:w="618" w:type="pct"/>
            <w:noWrap/>
            <w:hideMark/>
          </w:tcPr>
          <w:p w:rsidR="00AE3440" w:rsidRPr="00A50512" w:rsidRDefault="00AE3440" w:rsidP="00995E2B">
            <w:pPr>
              <w:jc w:val="both"/>
              <w:cnfStyle w:val="000000100000"/>
              <w:rPr>
                <w:color w:val="000000"/>
                <w:lang w:val="en-AU" w:bidi="ar-SA"/>
              </w:rPr>
            </w:pPr>
            <w:r w:rsidRPr="00A50512">
              <w:rPr>
                <w:color w:val="000000"/>
                <w:lang w:val="en-AU" w:bidi="ar-SA"/>
              </w:rPr>
              <w:t>2012</w:t>
            </w:r>
          </w:p>
        </w:tc>
      </w:tr>
      <w:tr w:rsidR="000C3B97" w:rsidRPr="00A50512" w:rsidTr="000C3B97">
        <w:trPr>
          <w:cnfStyle w:val="000000010000"/>
          <w:trHeight w:val="300"/>
        </w:trPr>
        <w:tc>
          <w:tcPr>
            <w:cnfStyle w:val="001000000000"/>
            <w:tcW w:w="1430" w:type="pct"/>
            <w:noWrap/>
            <w:hideMark/>
          </w:tcPr>
          <w:p w:rsidR="00AE3440" w:rsidRPr="00A50512" w:rsidRDefault="00AE3440" w:rsidP="00995E2B">
            <w:pPr>
              <w:jc w:val="both"/>
              <w:rPr>
                <w:color w:val="000000"/>
                <w:lang w:val="en-AU" w:bidi="ar-SA"/>
              </w:rPr>
            </w:pPr>
            <w:r w:rsidRPr="00A50512">
              <w:rPr>
                <w:color w:val="000000"/>
                <w:lang w:val="en-AU" w:bidi="ar-SA"/>
              </w:rPr>
              <w:t>Fatal</w:t>
            </w:r>
          </w:p>
        </w:tc>
        <w:tc>
          <w:tcPr>
            <w:tcW w:w="548" w:type="pct"/>
            <w:noWrap/>
            <w:hideMark/>
          </w:tcPr>
          <w:p w:rsidR="00AE3440" w:rsidRPr="00A50512" w:rsidRDefault="00AE3440" w:rsidP="00995E2B">
            <w:pPr>
              <w:jc w:val="both"/>
              <w:cnfStyle w:val="000000010000"/>
              <w:rPr>
                <w:color w:val="000000"/>
                <w:lang w:val="en-AU" w:bidi="ar-SA"/>
              </w:rPr>
            </w:pPr>
            <w:r w:rsidRPr="00A50512">
              <w:rPr>
                <w:color w:val="000000"/>
                <w:lang w:val="en-AU" w:bidi="ar-SA"/>
              </w:rPr>
              <w:t>1</w:t>
            </w:r>
          </w:p>
        </w:tc>
        <w:tc>
          <w:tcPr>
            <w:tcW w:w="547" w:type="pct"/>
            <w:noWrap/>
            <w:hideMark/>
          </w:tcPr>
          <w:p w:rsidR="00AE3440" w:rsidRPr="00A50512" w:rsidRDefault="00AE3440" w:rsidP="00995E2B">
            <w:pPr>
              <w:jc w:val="both"/>
              <w:cnfStyle w:val="000000010000"/>
              <w:rPr>
                <w:color w:val="000000"/>
                <w:lang w:val="en-AU" w:bidi="ar-SA"/>
              </w:rPr>
            </w:pPr>
            <w:r w:rsidRPr="00A50512">
              <w:rPr>
                <w:color w:val="000000"/>
                <w:lang w:val="en-AU" w:bidi="ar-SA"/>
              </w:rPr>
              <w:t>1</w:t>
            </w:r>
          </w:p>
        </w:tc>
        <w:tc>
          <w:tcPr>
            <w:tcW w:w="619" w:type="pct"/>
            <w:noWrap/>
            <w:hideMark/>
          </w:tcPr>
          <w:p w:rsidR="00AE3440" w:rsidRPr="00A50512" w:rsidRDefault="00AE3440" w:rsidP="00995E2B">
            <w:pPr>
              <w:jc w:val="both"/>
              <w:cnfStyle w:val="000000010000"/>
              <w:rPr>
                <w:color w:val="000000"/>
                <w:lang w:val="en-AU" w:bidi="ar-SA"/>
              </w:rPr>
            </w:pPr>
            <w:r w:rsidRPr="00A50512">
              <w:rPr>
                <w:color w:val="000000"/>
                <w:lang w:val="en-AU" w:bidi="ar-SA"/>
              </w:rPr>
              <w:t>3</w:t>
            </w:r>
          </w:p>
        </w:tc>
        <w:tc>
          <w:tcPr>
            <w:tcW w:w="619" w:type="pct"/>
            <w:noWrap/>
            <w:hideMark/>
          </w:tcPr>
          <w:p w:rsidR="00AE3440" w:rsidRPr="00A50512" w:rsidRDefault="00AE3440" w:rsidP="00995E2B">
            <w:pPr>
              <w:jc w:val="both"/>
              <w:cnfStyle w:val="000000010000"/>
              <w:rPr>
                <w:color w:val="000000"/>
                <w:lang w:val="en-AU" w:bidi="ar-SA"/>
              </w:rPr>
            </w:pPr>
            <w:r w:rsidRPr="00A50512">
              <w:rPr>
                <w:color w:val="000000"/>
                <w:lang w:val="en-AU" w:bidi="ar-SA"/>
              </w:rPr>
              <w:t>0</w:t>
            </w:r>
          </w:p>
        </w:tc>
        <w:tc>
          <w:tcPr>
            <w:tcW w:w="619" w:type="pct"/>
            <w:noWrap/>
            <w:hideMark/>
          </w:tcPr>
          <w:p w:rsidR="00AE3440" w:rsidRPr="00A50512" w:rsidRDefault="00AE3440" w:rsidP="00995E2B">
            <w:pPr>
              <w:jc w:val="both"/>
              <w:cnfStyle w:val="000000010000"/>
              <w:rPr>
                <w:color w:val="000000"/>
                <w:lang w:val="en-AU" w:bidi="ar-SA"/>
              </w:rPr>
            </w:pPr>
            <w:r w:rsidRPr="00A50512">
              <w:rPr>
                <w:color w:val="000000"/>
                <w:lang w:val="en-AU" w:bidi="ar-SA"/>
              </w:rPr>
              <w:t>0</w:t>
            </w:r>
          </w:p>
        </w:tc>
        <w:tc>
          <w:tcPr>
            <w:tcW w:w="618" w:type="pct"/>
            <w:noWrap/>
            <w:hideMark/>
          </w:tcPr>
          <w:p w:rsidR="00AE3440" w:rsidRPr="00A50512" w:rsidRDefault="00AE3440" w:rsidP="00995E2B">
            <w:pPr>
              <w:jc w:val="both"/>
              <w:cnfStyle w:val="000000010000"/>
              <w:rPr>
                <w:color w:val="000000"/>
                <w:lang w:val="en-AU" w:bidi="ar-SA"/>
              </w:rPr>
            </w:pPr>
            <w:r w:rsidRPr="00A50512">
              <w:rPr>
                <w:color w:val="000000"/>
                <w:lang w:val="en-AU" w:bidi="ar-SA"/>
              </w:rPr>
              <w:t>0</w:t>
            </w:r>
          </w:p>
        </w:tc>
      </w:tr>
      <w:tr w:rsidR="000C3B97" w:rsidRPr="00A50512" w:rsidTr="000C3B97">
        <w:trPr>
          <w:cnfStyle w:val="000000100000"/>
          <w:trHeight w:val="300"/>
        </w:trPr>
        <w:tc>
          <w:tcPr>
            <w:cnfStyle w:val="001000000000"/>
            <w:tcW w:w="1430" w:type="pct"/>
            <w:noWrap/>
            <w:hideMark/>
          </w:tcPr>
          <w:p w:rsidR="00AE3440" w:rsidRPr="00A50512" w:rsidRDefault="00AE3440" w:rsidP="00995E2B">
            <w:pPr>
              <w:jc w:val="both"/>
              <w:rPr>
                <w:color w:val="000000"/>
                <w:lang w:val="en-AU" w:bidi="ar-SA"/>
              </w:rPr>
            </w:pPr>
            <w:r w:rsidRPr="00A50512">
              <w:rPr>
                <w:color w:val="000000"/>
                <w:lang w:val="en-AU" w:bidi="ar-SA"/>
              </w:rPr>
              <w:t>Serious Injury</w:t>
            </w:r>
          </w:p>
        </w:tc>
        <w:tc>
          <w:tcPr>
            <w:tcW w:w="548" w:type="pct"/>
            <w:noWrap/>
            <w:hideMark/>
          </w:tcPr>
          <w:p w:rsidR="00AE3440" w:rsidRPr="00A50512" w:rsidRDefault="00AE3440" w:rsidP="00995E2B">
            <w:pPr>
              <w:jc w:val="both"/>
              <w:cnfStyle w:val="000000100000"/>
              <w:rPr>
                <w:color w:val="000000"/>
                <w:lang w:val="en-AU" w:bidi="ar-SA"/>
              </w:rPr>
            </w:pPr>
            <w:r w:rsidRPr="00A50512">
              <w:rPr>
                <w:color w:val="000000"/>
                <w:lang w:val="en-AU" w:bidi="ar-SA"/>
              </w:rPr>
              <w:t>6</w:t>
            </w:r>
          </w:p>
        </w:tc>
        <w:tc>
          <w:tcPr>
            <w:tcW w:w="547" w:type="pct"/>
            <w:noWrap/>
            <w:hideMark/>
          </w:tcPr>
          <w:p w:rsidR="00AE3440" w:rsidRPr="00A50512" w:rsidRDefault="00AE3440" w:rsidP="00995E2B">
            <w:pPr>
              <w:jc w:val="both"/>
              <w:cnfStyle w:val="000000100000"/>
              <w:rPr>
                <w:color w:val="000000"/>
                <w:lang w:val="en-AU" w:bidi="ar-SA"/>
              </w:rPr>
            </w:pPr>
            <w:r w:rsidRPr="00A50512">
              <w:rPr>
                <w:color w:val="000000"/>
                <w:lang w:val="en-AU" w:bidi="ar-SA"/>
              </w:rPr>
              <w:t>14</w:t>
            </w:r>
          </w:p>
        </w:tc>
        <w:tc>
          <w:tcPr>
            <w:tcW w:w="619" w:type="pct"/>
            <w:noWrap/>
            <w:hideMark/>
          </w:tcPr>
          <w:p w:rsidR="00AE3440" w:rsidRPr="00A50512" w:rsidRDefault="00AE3440" w:rsidP="00995E2B">
            <w:pPr>
              <w:jc w:val="both"/>
              <w:cnfStyle w:val="000000100000"/>
              <w:rPr>
                <w:color w:val="000000"/>
                <w:lang w:val="en-AU" w:bidi="ar-SA"/>
              </w:rPr>
            </w:pPr>
            <w:r w:rsidRPr="00A50512">
              <w:rPr>
                <w:color w:val="000000"/>
                <w:lang w:val="en-AU" w:bidi="ar-SA"/>
              </w:rPr>
              <w:t>14</w:t>
            </w:r>
          </w:p>
        </w:tc>
        <w:tc>
          <w:tcPr>
            <w:tcW w:w="619" w:type="pct"/>
            <w:noWrap/>
            <w:hideMark/>
          </w:tcPr>
          <w:p w:rsidR="00AE3440" w:rsidRPr="00A50512" w:rsidRDefault="00AE3440" w:rsidP="00995E2B">
            <w:pPr>
              <w:jc w:val="both"/>
              <w:cnfStyle w:val="000000100000"/>
              <w:rPr>
                <w:color w:val="000000"/>
                <w:lang w:val="en-AU" w:bidi="ar-SA"/>
              </w:rPr>
            </w:pPr>
            <w:r w:rsidRPr="00A50512">
              <w:rPr>
                <w:color w:val="000000"/>
                <w:lang w:val="en-AU" w:bidi="ar-SA"/>
              </w:rPr>
              <w:t>7</w:t>
            </w:r>
          </w:p>
        </w:tc>
        <w:tc>
          <w:tcPr>
            <w:tcW w:w="619" w:type="pct"/>
            <w:noWrap/>
            <w:hideMark/>
          </w:tcPr>
          <w:p w:rsidR="00AE3440" w:rsidRPr="00A50512" w:rsidRDefault="00AE3440" w:rsidP="00995E2B">
            <w:pPr>
              <w:jc w:val="both"/>
              <w:cnfStyle w:val="000000100000"/>
              <w:rPr>
                <w:color w:val="000000"/>
                <w:lang w:val="en-AU" w:bidi="ar-SA"/>
              </w:rPr>
            </w:pPr>
            <w:r w:rsidRPr="00A50512">
              <w:rPr>
                <w:color w:val="000000"/>
                <w:lang w:val="en-AU" w:bidi="ar-SA"/>
              </w:rPr>
              <w:t>11</w:t>
            </w:r>
          </w:p>
        </w:tc>
        <w:tc>
          <w:tcPr>
            <w:tcW w:w="618" w:type="pct"/>
            <w:noWrap/>
            <w:hideMark/>
          </w:tcPr>
          <w:p w:rsidR="00AE3440" w:rsidRPr="00A50512" w:rsidRDefault="00AE3440" w:rsidP="00995E2B">
            <w:pPr>
              <w:jc w:val="both"/>
              <w:cnfStyle w:val="000000100000"/>
              <w:rPr>
                <w:color w:val="000000"/>
                <w:lang w:val="en-AU" w:bidi="ar-SA"/>
              </w:rPr>
            </w:pPr>
            <w:r w:rsidRPr="00A50512">
              <w:rPr>
                <w:color w:val="000000"/>
                <w:lang w:val="en-AU" w:bidi="ar-SA"/>
              </w:rPr>
              <w:t>6</w:t>
            </w:r>
          </w:p>
        </w:tc>
      </w:tr>
      <w:tr w:rsidR="000C3B97" w:rsidRPr="00A50512" w:rsidTr="000C3B97">
        <w:trPr>
          <w:cnfStyle w:val="000000010000"/>
          <w:trHeight w:val="300"/>
        </w:trPr>
        <w:tc>
          <w:tcPr>
            <w:cnfStyle w:val="001000000000"/>
            <w:tcW w:w="1430" w:type="pct"/>
            <w:noWrap/>
            <w:hideMark/>
          </w:tcPr>
          <w:p w:rsidR="00AE3440" w:rsidRPr="00A50512" w:rsidRDefault="00AE3440" w:rsidP="00995E2B">
            <w:pPr>
              <w:jc w:val="both"/>
              <w:rPr>
                <w:color w:val="000000"/>
                <w:lang w:val="en-AU" w:bidi="ar-SA"/>
              </w:rPr>
            </w:pPr>
            <w:r w:rsidRPr="00A50512">
              <w:rPr>
                <w:color w:val="000000"/>
                <w:lang w:val="en-AU" w:bidi="ar-SA"/>
              </w:rPr>
              <w:t>Total</w:t>
            </w:r>
          </w:p>
        </w:tc>
        <w:tc>
          <w:tcPr>
            <w:tcW w:w="548" w:type="pct"/>
            <w:noWrap/>
            <w:hideMark/>
          </w:tcPr>
          <w:p w:rsidR="00AE3440" w:rsidRPr="00A50512" w:rsidRDefault="00AE3440" w:rsidP="00995E2B">
            <w:pPr>
              <w:jc w:val="both"/>
              <w:cnfStyle w:val="000000010000"/>
              <w:rPr>
                <w:color w:val="000000"/>
                <w:lang w:val="en-AU" w:bidi="ar-SA"/>
              </w:rPr>
            </w:pPr>
            <w:r w:rsidRPr="00A50512">
              <w:rPr>
                <w:color w:val="000000"/>
                <w:lang w:val="en-AU" w:bidi="ar-SA"/>
              </w:rPr>
              <w:t>7</w:t>
            </w:r>
          </w:p>
        </w:tc>
        <w:tc>
          <w:tcPr>
            <w:tcW w:w="547" w:type="pct"/>
            <w:noWrap/>
            <w:hideMark/>
          </w:tcPr>
          <w:p w:rsidR="00AE3440" w:rsidRPr="00A50512" w:rsidRDefault="00AE3440" w:rsidP="00995E2B">
            <w:pPr>
              <w:jc w:val="both"/>
              <w:cnfStyle w:val="000000010000"/>
              <w:rPr>
                <w:color w:val="000000"/>
                <w:lang w:val="en-AU" w:bidi="ar-SA"/>
              </w:rPr>
            </w:pPr>
            <w:r w:rsidRPr="00A50512">
              <w:rPr>
                <w:color w:val="000000"/>
                <w:lang w:val="en-AU" w:bidi="ar-SA"/>
              </w:rPr>
              <w:t>15</w:t>
            </w:r>
          </w:p>
        </w:tc>
        <w:tc>
          <w:tcPr>
            <w:tcW w:w="619" w:type="pct"/>
            <w:noWrap/>
            <w:hideMark/>
          </w:tcPr>
          <w:p w:rsidR="00AE3440" w:rsidRPr="00A50512" w:rsidRDefault="00AE3440" w:rsidP="00995E2B">
            <w:pPr>
              <w:jc w:val="both"/>
              <w:cnfStyle w:val="000000010000"/>
              <w:rPr>
                <w:color w:val="000000"/>
                <w:lang w:val="en-AU" w:bidi="ar-SA"/>
              </w:rPr>
            </w:pPr>
            <w:r w:rsidRPr="00A50512">
              <w:rPr>
                <w:color w:val="000000"/>
                <w:lang w:val="en-AU" w:bidi="ar-SA"/>
              </w:rPr>
              <w:t>17</w:t>
            </w:r>
          </w:p>
        </w:tc>
        <w:tc>
          <w:tcPr>
            <w:tcW w:w="619" w:type="pct"/>
            <w:noWrap/>
            <w:hideMark/>
          </w:tcPr>
          <w:p w:rsidR="00AE3440" w:rsidRPr="00A50512" w:rsidRDefault="00AE3440" w:rsidP="00995E2B">
            <w:pPr>
              <w:jc w:val="both"/>
              <w:cnfStyle w:val="000000010000"/>
              <w:rPr>
                <w:color w:val="000000"/>
                <w:lang w:val="en-AU" w:bidi="ar-SA"/>
              </w:rPr>
            </w:pPr>
            <w:r w:rsidRPr="00A50512">
              <w:rPr>
                <w:color w:val="000000"/>
                <w:lang w:val="en-AU" w:bidi="ar-SA"/>
              </w:rPr>
              <w:t>7</w:t>
            </w:r>
          </w:p>
        </w:tc>
        <w:tc>
          <w:tcPr>
            <w:tcW w:w="619" w:type="pct"/>
            <w:noWrap/>
            <w:hideMark/>
          </w:tcPr>
          <w:p w:rsidR="00AE3440" w:rsidRPr="00A50512" w:rsidRDefault="00AE3440" w:rsidP="00995E2B">
            <w:pPr>
              <w:jc w:val="both"/>
              <w:cnfStyle w:val="000000010000"/>
              <w:rPr>
                <w:color w:val="000000"/>
                <w:lang w:val="en-AU" w:bidi="ar-SA"/>
              </w:rPr>
            </w:pPr>
            <w:r w:rsidRPr="00A50512">
              <w:rPr>
                <w:color w:val="000000"/>
                <w:lang w:val="en-AU" w:bidi="ar-SA"/>
              </w:rPr>
              <w:t>11</w:t>
            </w:r>
          </w:p>
        </w:tc>
        <w:tc>
          <w:tcPr>
            <w:tcW w:w="618" w:type="pct"/>
            <w:noWrap/>
            <w:hideMark/>
          </w:tcPr>
          <w:p w:rsidR="00AE3440" w:rsidRPr="00A50512" w:rsidRDefault="00AE3440" w:rsidP="00995E2B">
            <w:pPr>
              <w:jc w:val="both"/>
              <w:cnfStyle w:val="000000010000"/>
              <w:rPr>
                <w:color w:val="000000"/>
                <w:lang w:val="en-AU" w:bidi="ar-SA"/>
              </w:rPr>
            </w:pPr>
            <w:r w:rsidRPr="00A50512">
              <w:rPr>
                <w:color w:val="000000"/>
                <w:lang w:val="en-AU" w:bidi="ar-SA"/>
              </w:rPr>
              <w:t>6</w:t>
            </w:r>
          </w:p>
        </w:tc>
      </w:tr>
      <w:tr w:rsidR="000C3B97" w:rsidRPr="00A50512" w:rsidTr="000C3B97">
        <w:trPr>
          <w:cnfStyle w:val="000000100000"/>
          <w:trHeight w:val="300"/>
        </w:trPr>
        <w:tc>
          <w:tcPr>
            <w:cnfStyle w:val="001000000000"/>
            <w:tcW w:w="1430" w:type="pct"/>
            <w:noWrap/>
            <w:hideMark/>
          </w:tcPr>
          <w:p w:rsidR="00AE3440" w:rsidRPr="00A50512" w:rsidRDefault="00AE3440" w:rsidP="00995E2B">
            <w:pPr>
              <w:jc w:val="both"/>
              <w:rPr>
                <w:color w:val="000000"/>
                <w:lang w:val="en-AU" w:bidi="ar-SA"/>
              </w:rPr>
            </w:pPr>
          </w:p>
        </w:tc>
        <w:tc>
          <w:tcPr>
            <w:tcW w:w="548" w:type="pct"/>
            <w:noWrap/>
            <w:hideMark/>
          </w:tcPr>
          <w:p w:rsidR="00AE3440" w:rsidRPr="00A50512" w:rsidRDefault="00AE3440" w:rsidP="00995E2B">
            <w:pPr>
              <w:jc w:val="both"/>
              <w:cnfStyle w:val="000000100000"/>
              <w:rPr>
                <w:color w:val="000000"/>
                <w:lang w:val="en-AU" w:bidi="ar-SA"/>
              </w:rPr>
            </w:pPr>
          </w:p>
        </w:tc>
        <w:tc>
          <w:tcPr>
            <w:tcW w:w="547" w:type="pct"/>
            <w:noWrap/>
            <w:hideMark/>
          </w:tcPr>
          <w:p w:rsidR="00AE3440" w:rsidRPr="00A50512" w:rsidRDefault="00AE3440" w:rsidP="00995E2B">
            <w:pPr>
              <w:jc w:val="both"/>
              <w:cnfStyle w:val="000000100000"/>
              <w:rPr>
                <w:color w:val="000000"/>
                <w:lang w:val="en-AU" w:bidi="ar-SA"/>
              </w:rPr>
            </w:pPr>
          </w:p>
        </w:tc>
        <w:tc>
          <w:tcPr>
            <w:tcW w:w="619" w:type="pct"/>
            <w:noWrap/>
            <w:hideMark/>
          </w:tcPr>
          <w:p w:rsidR="00AE3440" w:rsidRPr="00A50512" w:rsidRDefault="00AE3440" w:rsidP="00995E2B">
            <w:pPr>
              <w:jc w:val="both"/>
              <w:cnfStyle w:val="000000100000"/>
              <w:rPr>
                <w:color w:val="000000"/>
                <w:lang w:val="en-AU" w:bidi="ar-SA"/>
              </w:rPr>
            </w:pPr>
          </w:p>
        </w:tc>
        <w:tc>
          <w:tcPr>
            <w:tcW w:w="619" w:type="pct"/>
            <w:noWrap/>
            <w:hideMark/>
          </w:tcPr>
          <w:p w:rsidR="00AE3440" w:rsidRPr="00A50512" w:rsidRDefault="00AE3440" w:rsidP="00995E2B">
            <w:pPr>
              <w:jc w:val="both"/>
              <w:cnfStyle w:val="000000100000"/>
              <w:rPr>
                <w:color w:val="000000"/>
                <w:lang w:val="en-AU" w:bidi="ar-SA"/>
              </w:rPr>
            </w:pPr>
          </w:p>
        </w:tc>
        <w:tc>
          <w:tcPr>
            <w:tcW w:w="619" w:type="pct"/>
            <w:noWrap/>
            <w:hideMark/>
          </w:tcPr>
          <w:p w:rsidR="00AE3440" w:rsidRPr="00A50512" w:rsidRDefault="00AE3440" w:rsidP="00995E2B">
            <w:pPr>
              <w:jc w:val="both"/>
              <w:cnfStyle w:val="000000100000"/>
              <w:rPr>
                <w:color w:val="000000"/>
                <w:lang w:val="en-AU" w:bidi="ar-SA"/>
              </w:rPr>
            </w:pPr>
          </w:p>
        </w:tc>
        <w:tc>
          <w:tcPr>
            <w:tcW w:w="618" w:type="pct"/>
            <w:noWrap/>
            <w:hideMark/>
          </w:tcPr>
          <w:p w:rsidR="00AE3440" w:rsidRPr="00A50512" w:rsidRDefault="00AE3440" w:rsidP="00995E2B">
            <w:pPr>
              <w:jc w:val="both"/>
              <w:cnfStyle w:val="000000100000"/>
              <w:rPr>
                <w:color w:val="000000"/>
                <w:lang w:val="en-AU" w:bidi="ar-SA"/>
              </w:rPr>
            </w:pPr>
          </w:p>
        </w:tc>
      </w:tr>
      <w:tr w:rsidR="00AE3440" w:rsidRPr="00A50512" w:rsidTr="000C3B97">
        <w:trPr>
          <w:cnfStyle w:val="000000010000"/>
          <w:trHeight w:val="300"/>
        </w:trPr>
        <w:tc>
          <w:tcPr>
            <w:cnfStyle w:val="001000000000"/>
            <w:tcW w:w="2525" w:type="pct"/>
            <w:gridSpan w:val="3"/>
            <w:noWrap/>
            <w:hideMark/>
          </w:tcPr>
          <w:p w:rsidR="00AE3440" w:rsidRPr="00A50512" w:rsidRDefault="00FD5731" w:rsidP="00995E2B">
            <w:pPr>
              <w:jc w:val="both"/>
              <w:rPr>
                <w:color w:val="000000"/>
                <w:lang w:val="en-AU" w:bidi="ar-SA"/>
              </w:rPr>
            </w:pPr>
            <w:r>
              <w:rPr>
                <w:color w:val="000000"/>
                <w:lang w:val="en-AU" w:bidi="ar-SA"/>
              </w:rPr>
              <w:t>Unlicensed</w:t>
            </w:r>
            <w:r w:rsidR="00AE3440" w:rsidRPr="00A50512">
              <w:rPr>
                <w:color w:val="000000"/>
                <w:lang w:val="en-AU" w:bidi="ar-SA"/>
              </w:rPr>
              <w:t xml:space="preserve"> &amp; Unregistered Drivers</w:t>
            </w:r>
          </w:p>
        </w:tc>
        <w:tc>
          <w:tcPr>
            <w:tcW w:w="619" w:type="pct"/>
            <w:noWrap/>
            <w:hideMark/>
          </w:tcPr>
          <w:p w:rsidR="00AE3440" w:rsidRPr="00A50512" w:rsidRDefault="00AE3440" w:rsidP="00995E2B">
            <w:pPr>
              <w:jc w:val="both"/>
              <w:cnfStyle w:val="000000010000"/>
              <w:rPr>
                <w:color w:val="000000"/>
                <w:lang w:val="en-AU" w:bidi="ar-SA"/>
              </w:rPr>
            </w:pPr>
          </w:p>
        </w:tc>
        <w:tc>
          <w:tcPr>
            <w:tcW w:w="619" w:type="pct"/>
            <w:noWrap/>
            <w:hideMark/>
          </w:tcPr>
          <w:p w:rsidR="00AE3440" w:rsidRPr="00A50512" w:rsidRDefault="00AE3440" w:rsidP="00995E2B">
            <w:pPr>
              <w:jc w:val="both"/>
              <w:cnfStyle w:val="000000010000"/>
              <w:rPr>
                <w:color w:val="000000"/>
                <w:lang w:val="en-AU" w:bidi="ar-SA"/>
              </w:rPr>
            </w:pPr>
          </w:p>
        </w:tc>
        <w:tc>
          <w:tcPr>
            <w:tcW w:w="619" w:type="pct"/>
            <w:noWrap/>
            <w:hideMark/>
          </w:tcPr>
          <w:p w:rsidR="00AE3440" w:rsidRPr="00A50512" w:rsidRDefault="00AE3440" w:rsidP="00995E2B">
            <w:pPr>
              <w:jc w:val="both"/>
              <w:cnfStyle w:val="000000010000"/>
              <w:rPr>
                <w:color w:val="000000"/>
                <w:lang w:val="en-AU" w:bidi="ar-SA"/>
              </w:rPr>
            </w:pPr>
          </w:p>
        </w:tc>
        <w:tc>
          <w:tcPr>
            <w:tcW w:w="618" w:type="pct"/>
            <w:noWrap/>
            <w:hideMark/>
          </w:tcPr>
          <w:p w:rsidR="00AE3440" w:rsidRPr="00A50512" w:rsidRDefault="00AE3440" w:rsidP="00995E2B">
            <w:pPr>
              <w:jc w:val="both"/>
              <w:cnfStyle w:val="000000010000"/>
              <w:rPr>
                <w:color w:val="000000"/>
                <w:lang w:val="en-AU" w:bidi="ar-SA"/>
              </w:rPr>
            </w:pPr>
          </w:p>
        </w:tc>
      </w:tr>
      <w:tr w:rsidR="000C3B97" w:rsidRPr="00A50512" w:rsidTr="000C3B97">
        <w:trPr>
          <w:cnfStyle w:val="000000100000"/>
          <w:trHeight w:val="300"/>
        </w:trPr>
        <w:tc>
          <w:tcPr>
            <w:cnfStyle w:val="001000000000"/>
            <w:tcW w:w="1430" w:type="pct"/>
            <w:noWrap/>
            <w:hideMark/>
          </w:tcPr>
          <w:p w:rsidR="00AE3440" w:rsidRPr="00A50512" w:rsidRDefault="00AE3440" w:rsidP="00995E2B">
            <w:pPr>
              <w:jc w:val="both"/>
              <w:rPr>
                <w:color w:val="000000"/>
                <w:lang w:val="en-AU" w:bidi="ar-SA"/>
              </w:rPr>
            </w:pPr>
          </w:p>
        </w:tc>
        <w:tc>
          <w:tcPr>
            <w:tcW w:w="548" w:type="pct"/>
            <w:noWrap/>
            <w:hideMark/>
          </w:tcPr>
          <w:p w:rsidR="00AE3440" w:rsidRPr="00A50512" w:rsidRDefault="00AE3440" w:rsidP="00995E2B">
            <w:pPr>
              <w:jc w:val="both"/>
              <w:cnfStyle w:val="000000100000"/>
              <w:rPr>
                <w:color w:val="000000"/>
                <w:lang w:val="en-AU" w:bidi="ar-SA"/>
              </w:rPr>
            </w:pPr>
          </w:p>
        </w:tc>
        <w:tc>
          <w:tcPr>
            <w:tcW w:w="547" w:type="pct"/>
            <w:noWrap/>
            <w:hideMark/>
          </w:tcPr>
          <w:p w:rsidR="00AE3440" w:rsidRPr="00A50512" w:rsidRDefault="00AE3440" w:rsidP="00995E2B">
            <w:pPr>
              <w:jc w:val="both"/>
              <w:cnfStyle w:val="000000100000"/>
              <w:rPr>
                <w:color w:val="000000"/>
                <w:lang w:val="en-AU" w:bidi="ar-SA"/>
              </w:rPr>
            </w:pPr>
          </w:p>
        </w:tc>
        <w:tc>
          <w:tcPr>
            <w:tcW w:w="619" w:type="pct"/>
            <w:noWrap/>
            <w:hideMark/>
          </w:tcPr>
          <w:p w:rsidR="00AE3440" w:rsidRPr="00A50512" w:rsidRDefault="00AE3440" w:rsidP="00995E2B">
            <w:pPr>
              <w:jc w:val="both"/>
              <w:cnfStyle w:val="000000100000"/>
              <w:rPr>
                <w:color w:val="000000"/>
                <w:lang w:val="en-AU" w:bidi="ar-SA"/>
              </w:rPr>
            </w:pPr>
          </w:p>
        </w:tc>
        <w:tc>
          <w:tcPr>
            <w:tcW w:w="619" w:type="pct"/>
            <w:noWrap/>
            <w:hideMark/>
          </w:tcPr>
          <w:p w:rsidR="00AE3440" w:rsidRPr="00A50512" w:rsidRDefault="00AE3440" w:rsidP="00995E2B">
            <w:pPr>
              <w:jc w:val="both"/>
              <w:cnfStyle w:val="000000100000"/>
              <w:rPr>
                <w:color w:val="000000"/>
                <w:lang w:val="en-AU" w:bidi="ar-SA"/>
              </w:rPr>
            </w:pPr>
          </w:p>
        </w:tc>
        <w:tc>
          <w:tcPr>
            <w:tcW w:w="619" w:type="pct"/>
            <w:noWrap/>
            <w:hideMark/>
          </w:tcPr>
          <w:p w:rsidR="00AE3440" w:rsidRPr="00A50512" w:rsidRDefault="00AE3440" w:rsidP="00995E2B">
            <w:pPr>
              <w:jc w:val="both"/>
              <w:cnfStyle w:val="000000100000"/>
              <w:rPr>
                <w:color w:val="000000"/>
                <w:lang w:val="en-AU" w:bidi="ar-SA"/>
              </w:rPr>
            </w:pPr>
          </w:p>
        </w:tc>
        <w:tc>
          <w:tcPr>
            <w:tcW w:w="618" w:type="pct"/>
            <w:noWrap/>
            <w:hideMark/>
          </w:tcPr>
          <w:p w:rsidR="00AE3440" w:rsidRPr="00A50512" w:rsidRDefault="00AE3440" w:rsidP="00995E2B">
            <w:pPr>
              <w:jc w:val="both"/>
              <w:cnfStyle w:val="000000100000"/>
              <w:rPr>
                <w:color w:val="000000"/>
                <w:lang w:val="en-AU" w:bidi="ar-SA"/>
              </w:rPr>
            </w:pPr>
          </w:p>
        </w:tc>
      </w:tr>
      <w:tr w:rsidR="000C3B97" w:rsidRPr="00A50512" w:rsidTr="000C3B97">
        <w:trPr>
          <w:cnfStyle w:val="000000010000"/>
          <w:trHeight w:val="300"/>
        </w:trPr>
        <w:tc>
          <w:tcPr>
            <w:cnfStyle w:val="001000000000"/>
            <w:tcW w:w="1430" w:type="pct"/>
            <w:noWrap/>
            <w:hideMark/>
          </w:tcPr>
          <w:p w:rsidR="00AE3440" w:rsidRPr="00A50512" w:rsidRDefault="00AE3440" w:rsidP="00995E2B">
            <w:pPr>
              <w:jc w:val="both"/>
              <w:rPr>
                <w:color w:val="000000"/>
                <w:lang w:val="en-AU" w:bidi="ar-SA"/>
              </w:rPr>
            </w:pPr>
            <w:r w:rsidRPr="00A50512">
              <w:rPr>
                <w:color w:val="000000"/>
                <w:lang w:val="en-AU" w:bidi="ar-SA"/>
              </w:rPr>
              <w:t>Severity</w:t>
            </w:r>
          </w:p>
        </w:tc>
        <w:tc>
          <w:tcPr>
            <w:tcW w:w="548" w:type="pct"/>
            <w:noWrap/>
            <w:hideMark/>
          </w:tcPr>
          <w:p w:rsidR="00AE3440" w:rsidRPr="00A50512" w:rsidRDefault="00AE3440" w:rsidP="00995E2B">
            <w:pPr>
              <w:jc w:val="both"/>
              <w:cnfStyle w:val="000000010000"/>
              <w:rPr>
                <w:color w:val="000000"/>
                <w:lang w:val="en-AU" w:bidi="ar-SA"/>
              </w:rPr>
            </w:pPr>
            <w:r w:rsidRPr="00A50512">
              <w:rPr>
                <w:color w:val="000000"/>
                <w:lang w:val="en-AU" w:bidi="ar-SA"/>
              </w:rPr>
              <w:t>2007</w:t>
            </w:r>
          </w:p>
        </w:tc>
        <w:tc>
          <w:tcPr>
            <w:tcW w:w="547" w:type="pct"/>
            <w:noWrap/>
            <w:hideMark/>
          </w:tcPr>
          <w:p w:rsidR="00AE3440" w:rsidRPr="00A50512" w:rsidRDefault="00AE3440" w:rsidP="00995E2B">
            <w:pPr>
              <w:jc w:val="both"/>
              <w:cnfStyle w:val="000000010000"/>
              <w:rPr>
                <w:color w:val="000000"/>
                <w:lang w:val="en-AU" w:bidi="ar-SA"/>
              </w:rPr>
            </w:pPr>
            <w:r w:rsidRPr="00A50512">
              <w:rPr>
                <w:color w:val="000000"/>
                <w:lang w:val="en-AU" w:bidi="ar-SA"/>
              </w:rPr>
              <w:t>2008</w:t>
            </w:r>
          </w:p>
        </w:tc>
        <w:tc>
          <w:tcPr>
            <w:tcW w:w="619" w:type="pct"/>
            <w:noWrap/>
            <w:hideMark/>
          </w:tcPr>
          <w:p w:rsidR="00AE3440" w:rsidRPr="00A50512" w:rsidRDefault="00AE3440" w:rsidP="00995E2B">
            <w:pPr>
              <w:jc w:val="both"/>
              <w:cnfStyle w:val="000000010000"/>
              <w:rPr>
                <w:color w:val="000000"/>
                <w:lang w:val="en-AU" w:bidi="ar-SA"/>
              </w:rPr>
            </w:pPr>
            <w:r w:rsidRPr="00A50512">
              <w:rPr>
                <w:color w:val="000000"/>
                <w:lang w:val="en-AU" w:bidi="ar-SA"/>
              </w:rPr>
              <w:t>2009</w:t>
            </w:r>
          </w:p>
        </w:tc>
        <w:tc>
          <w:tcPr>
            <w:tcW w:w="619" w:type="pct"/>
            <w:noWrap/>
            <w:hideMark/>
          </w:tcPr>
          <w:p w:rsidR="00AE3440" w:rsidRPr="00A50512" w:rsidRDefault="00AE3440" w:rsidP="00995E2B">
            <w:pPr>
              <w:jc w:val="both"/>
              <w:cnfStyle w:val="000000010000"/>
              <w:rPr>
                <w:color w:val="000000"/>
                <w:lang w:val="en-AU" w:bidi="ar-SA"/>
              </w:rPr>
            </w:pPr>
            <w:r w:rsidRPr="00A50512">
              <w:rPr>
                <w:color w:val="000000"/>
                <w:lang w:val="en-AU" w:bidi="ar-SA"/>
              </w:rPr>
              <w:t>2010</w:t>
            </w:r>
          </w:p>
        </w:tc>
        <w:tc>
          <w:tcPr>
            <w:tcW w:w="619" w:type="pct"/>
            <w:noWrap/>
            <w:hideMark/>
          </w:tcPr>
          <w:p w:rsidR="00AE3440" w:rsidRPr="00A50512" w:rsidRDefault="00AE3440" w:rsidP="00995E2B">
            <w:pPr>
              <w:jc w:val="both"/>
              <w:cnfStyle w:val="000000010000"/>
              <w:rPr>
                <w:color w:val="000000"/>
                <w:lang w:val="en-AU" w:bidi="ar-SA"/>
              </w:rPr>
            </w:pPr>
            <w:r w:rsidRPr="00A50512">
              <w:rPr>
                <w:color w:val="000000"/>
                <w:lang w:val="en-AU" w:bidi="ar-SA"/>
              </w:rPr>
              <w:t>2011</w:t>
            </w:r>
          </w:p>
        </w:tc>
        <w:tc>
          <w:tcPr>
            <w:tcW w:w="618" w:type="pct"/>
            <w:noWrap/>
            <w:hideMark/>
          </w:tcPr>
          <w:p w:rsidR="00AE3440" w:rsidRPr="00A50512" w:rsidRDefault="00AE3440" w:rsidP="00995E2B">
            <w:pPr>
              <w:jc w:val="both"/>
              <w:cnfStyle w:val="000000010000"/>
              <w:rPr>
                <w:color w:val="000000"/>
                <w:lang w:val="en-AU" w:bidi="ar-SA"/>
              </w:rPr>
            </w:pPr>
            <w:r w:rsidRPr="00A50512">
              <w:rPr>
                <w:color w:val="000000"/>
                <w:lang w:val="en-AU" w:bidi="ar-SA"/>
              </w:rPr>
              <w:t>2012</w:t>
            </w:r>
          </w:p>
        </w:tc>
      </w:tr>
      <w:tr w:rsidR="000C3B97" w:rsidRPr="00A50512" w:rsidTr="000C3B97">
        <w:trPr>
          <w:cnfStyle w:val="000000100000"/>
          <w:trHeight w:val="300"/>
        </w:trPr>
        <w:tc>
          <w:tcPr>
            <w:cnfStyle w:val="001000000000"/>
            <w:tcW w:w="1430" w:type="pct"/>
            <w:noWrap/>
            <w:hideMark/>
          </w:tcPr>
          <w:p w:rsidR="00AE3440" w:rsidRPr="00A50512" w:rsidRDefault="00AE3440" w:rsidP="00995E2B">
            <w:pPr>
              <w:jc w:val="both"/>
              <w:rPr>
                <w:color w:val="000000"/>
                <w:lang w:val="en-AU" w:bidi="ar-SA"/>
              </w:rPr>
            </w:pPr>
            <w:r w:rsidRPr="00A50512">
              <w:rPr>
                <w:color w:val="000000"/>
                <w:lang w:val="en-AU" w:bidi="ar-SA"/>
              </w:rPr>
              <w:t>Fatal</w:t>
            </w:r>
          </w:p>
        </w:tc>
        <w:tc>
          <w:tcPr>
            <w:tcW w:w="548" w:type="pct"/>
            <w:noWrap/>
            <w:hideMark/>
          </w:tcPr>
          <w:p w:rsidR="00AE3440" w:rsidRPr="00A50512" w:rsidRDefault="00AE3440" w:rsidP="00995E2B">
            <w:pPr>
              <w:jc w:val="both"/>
              <w:cnfStyle w:val="000000100000"/>
              <w:rPr>
                <w:color w:val="000000"/>
                <w:lang w:val="en-AU" w:bidi="ar-SA"/>
              </w:rPr>
            </w:pPr>
            <w:r w:rsidRPr="00A50512">
              <w:rPr>
                <w:color w:val="000000"/>
                <w:lang w:val="en-AU" w:bidi="ar-SA"/>
              </w:rPr>
              <w:t>0</w:t>
            </w:r>
          </w:p>
        </w:tc>
        <w:tc>
          <w:tcPr>
            <w:tcW w:w="547" w:type="pct"/>
            <w:noWrap/>
            <w:hideMark/>
          </w:tcPr>
          <w:p w:rsidR="00AE3440" w:rsidRPr="00A50512" w:rsidRDefault="00AE3440" w:rsidP="00995E2B">
            <w:pPr>
              <w:jc w:val="both"/>
              <w:cnfStyle w:val="000000100000"/>
              <w:rPr>
                <w:color w:val="000000"/>
                <w:lang w:val="en-AU" w:bidi="ar-SA"/>
              </w:rPr>
            </w:pPr>
            <w:r w:rsidRPr="00A50512">
              <w:rPr>
                <w:color w:val="000000"/>
                <w:lang w:val="en-AU" w:bidi="ar-SA"/>
              </w:rPr>
              <w:t>0</w:t>
            </w:r>
          </w:p>
        </w:tc>
        <w:tc>
          <w:tcPr>
            <w:tcW w:w="619" w:type="pct"/>
            <w:noWrap/>
            <w:hideMark/>
          </w:tcPr>
          <w:p w:rsidR="00AE3440" w:rsidRPr="00A50512" w:rsidRDefault="00AE3440" w:rsidP="00995E2B">
            <w:pPr>
              <w:jc w:val="both"/>
              <w:cnfStyle w:val="000000100000"/>
              <w:rPr>
                <w:color w:val="000000"/>
                <w:lang w:val="en-AU" w:bidi="ar-SA"/>
              </w:rPr>
            </w:pPr>
            <w:r w:rsidRPr="00A50512">
              <w:rPr>
                <w:color w:val="000000"/>
                <w:lang w:val="en-AU" w:bidi="ar-SA"/>
              </w:rPr>
              <w:t>2</w:t>
            </w:r>
          </w:p>
        </w:tc>
        <w:tc>
          <w:tcPr>
            <w:tcW w:w="619" w:type="pct"/>
            <w:noWrap/>
            <w:hideMark/>
          </w:tcPr>
          <w:p w:rsidR="00AE3440" w:rsidRPr="00A50512" w:rsidRDefault="00AE3440" w:rsidP="00995E2B">
            <w:pPr>
              <w:jc w:val="both"/>
              <w:cnfStyle w:val="000000100000"/>
              <w:rPr>
                <w:color w:val="000000"/>
                <w:lang w:val="en-AU" w:bidi="ar-SA"/>
              </w:rPr>
            </w:pPr>
            <w:r w:rsidRPr="00A50512">
              <w:rPr>
                <w:color w:val="000000"/>
                <w:lang w:val="en-AU" w:bidi="ar-SA"/>
              </w:rPr>
              <w:t>0</w:t>
            </w:r>
          </w:p>
        </w:tc>
        <w:tc>
          <w:tcPr>
            <w:tcW w:w="619" w:type="pct"/>
            <w:noWrap/>
            <w:hideMark/>
          </w:tcPr>
          <w:p w:rsidR="00AE3440" w:rsidRPr="00A50512" w:rsidRDefault="00AE3440" w:rsidP="00995E2B">
            <w:pPr>
              <w:jc w:val="both"/>
              <w:cnfStyle w:val="000000100000"/>
              <w:rPr>
                <w:color w:val="000000"/>
                <w:lang w:val="en-AU" w:bidi="ar-SA"/>
              </w:rPr>
            </w:pPr>
            <w:r w:rsidRPr="00A50512">
              <w:rPr>
                <w:color w:val="000000"/>
                <w:lang w:val="en-AU" w:bidi="ar-SA"/>
              </w:rPr>
              <w:t>0</w:t>
            </w:r>
          </w:p>
        </w:tc>
        <w:tc>
          <w:tcPr>
            <w:tcW w:w="618" w:type="pct"/>
            <w:noWrap/>
            <w:hideMark/>
          </w:tcPr>
          <w:p w:rsidR="00AE3440" w:rsidRPr="00A50512" w:rsidRDefault="00AE3440" w:rsidP="00995E2B">
            <w:pPr>
              <w:jc w:val="both"/>
              <w:cnfStyle w:val="000000100000"/>
              <w:rPr>
                <w:color w:val="000000"/>
                <w:lang w:val="en-AU" w:bidi="ar-SA"/>
              </w:rPr>
            </w:pPr>
            <w:r w:rsidRPr="00A50512">
              <w:rPr>
                <w:color w:val="000000"/>
                <w:lang w:val="en-AU" w:bidi="ar-SA"/>
              </w:rPr>
              <w:t>0</w:t>
            </w:r>
          </w:p>
        </w:tc>
      </w:tr>
      <w:tr w:rsidR="000C3B97" w:rsidRPr="00A50512" w:rsidTr="000C3B97">
        <w:trPr>
          <w:cnfStyle w:val="000000010000"/>
          <w:trHeight w:val="300"/>
        </w:trPr>
        <w:tc>
          <w:tcPr>
            <w:cnfStyle w:val="001000000000"/>
            <w:tcW w:w="1430" w:type="pct"/>
            <w:noWrap/>
            <w:hideMark/>
          </w:tcPr>
          <w:p w:rsidR="00AE3440" w:rsidRPr="00A50512" w:rsidRDefault="00AE3440" w:rsidP="00995E2B">
            <w:pPr>
              <w:jc w:val="both"/>
              <w:rPr>
                <w:color w:val="000000"/>
                <w:lang w:val="en-AU" w:bidi="ar-SA"/>
              </w:rPr>
            </w:pPr>
            <w:r w:rsidRPr="00A50512">
              <w:rPr>
                <w:color w:val="000000"/>
                <w:lang w:val="en-AU" w:bidi="ar-SA"/>
              </w:rPr>
              <w:t>Serious Injury</w:t>
            </w:r>
          </w:p>
        </w:tc>
        <w:tc>
          <w:tcPr>
            <w:tcW w:w="548" w:type="pct"/>
            <w:noWrap/>
            <w:hideMark/>
          </w:tcPr>
          <w:p w:rsidR="00AE3440" w:rsidRPr="00A50512" w:rsidRDefault="00AE3440" w:rsidP="00995E2B">
            <w:pPr>
              <w:jc w:val="both"/>
              <w:cnfStyle w:val="000000010000"/>
              <w:rPr>
                <w:color w:val="000000"/>
                <w:lang w:val="en-AU" w:bidi="ar-SA"/>
              </w:rPr>
            </w:pPr>
            <w:r w:rsidRPr="00A50512">
              <w:rPr>
                <w:color w:val="000000"/>
                <w:lang w:val="en-AU" w:bidi="ar-SA"/>
              </w:rPr>
              <w:t>3</w:t>
            </w:r>
          </w:p>
        </w:tc>
        <w:tc>
          <w:tcPr>
            <w:tcW w:w="547" w:type="pct"/>
            <w:noWrap/>
            <w:hideMark/>
          </w:tcPr>
          <w:p w:rsidR="00AE3440" w:rsidRPr="00A50512" w:rsidRDefault="00AE3440" w:rsidP="00995E2B">
            <w:pPr>
              <w:jc w:val="both"/>
              <w:cnfStyle w:val="000000010000"/>
              <w:rPr>
                <w:color w:val="000000"/>
                <w:lang w:val="en-AU" w:bidi="ar-SA"/>
              </w:rPr>
            </w:pPr>
            <w:r w:rsidRPr="00A50512">
              <w:rPr>
                <w:color w:val="000000"/>
                <w:lang w:val="en-AU" w:bidi="ar-SA"/>
              </w:rPr>
              <w:t>0</w:t>
            </w:r>
          </w:p>
        </w:tc>
        <w:tc>
          <w:tcPr>
            <w:tcW w:w="619" w:type="pct"/>
            <w:noWrap/>
            <w:hideMark/>
          </w:tcPr>
          <w:p w:rsidR="00AE3440" w:rsidRPr="00A50512" w:rsidRDefault="00AE3440" w:rsidP="00995E2B">
            <w:pPr>
              <w:jc w:val="both"/>
              <w:cnfStyle w:val="000000010000"/>
              <w:rPr>
                <w:color w:val="000000"/>
                <w:lang w:val="en-AU" w:bidi="ar-SA"/>
              </w:rPr>
            </w:pPr>
            <w:r w:rsidRPr="00A50512">
              <w:rPr>
                <w:color w:val="000000"/>
                <w:lang w:val="en-AU" w:bidi="ar-SA"/>
              </w:rPr>
              <w:t>0</w:t>
            </w:r>
          </w:p>
        </w:tc>
        <w:tc>
          <w:tcPr>
            <w:tcW w:w="619" w:type="pct"/>
            <w:noWrap/>
            <w:hideMark/>
          </w:tcPr>
          <w:p w:rsidR="00AE3440" w:rsidRPr="00A50512" w:rsidRDefault="00AE3440" w:rsidP="00995E2B">
            <w:pPr>
              <w:jc w:val="both"/>
              <w:cnfStyle w:val="000000010000"/>
              <w:rPr>
                <w:color w:val="000000"/>
                <w:lang w:val="en-AU" w:bidi="ar-SA"/>
              </w:rPr>
            </w:pPr>
            <w:r w:rsidRPr="00A50512">
              <w:rPr>
                <w:color w:val="000000"/>
                <w:lang w:val="en-AU" w:bidi="ar-SA"/>
              </w:rPr>
              <w:t>1</w:t>
            </w:r>
          </w:p>
        </w:tc>
        <w:tc>
          <w:tcPr>
            <w:tcW w:w="619" w:type="pct"/>
            <w:noWrap/>
            <w:hideMark/>
          </w:tcPr>
          <w:p w:rsidR="00AE3440" w:rsidRPr="00A50512" w:rsidRDefault="00AE3440" w:rsidP="00995E2B">
            <w:pPr>
              <w:jc w:val="both"/>
              <w:cnfStyle w:val="000000010000"/>
              <w:rPr>
                <w:color w:val="000000"/>
                <w:lang w:val="en-AU" w:bidi="ar-SA"/>
              </w:rPr>
            </w:pPr>
            <w:r w:rsidRPr="00A50512">
              <w:rPr>
                <w:color w:val="000000"/>
                <w:lang w:val="en-AU" w:bidi="ar-SA"/>
              </w:rPr>
              <w:t>2</w:t>
            </w:r>
          </w:p>
        </w:tc>
        <w:tc>
          <w:tcPr>
            <w:tcW w:w="618" w:type="pct"/>
            <w:noWrap/>
            <w:hideMark/>
          </w:tcPr>
          <w:p w:rsidR="00AE3440" w:rsidRPr="00A50512" w:rsidRDefault="00AE3440" w:rsidP="00995E2B">
            <w:pPr>
              <w:jc w:val="both"/>
              <w:cnfStyle w:val="000000010000"/>
              <w:rPr>
                <w:color w:val="000000"/>
                <w:lang w:val="en-AU" w:bidi="ar-SA"/>
              </w:rPr>
            </w:pPr>
            <w:r w:rsidRPr="00A50512">
              <w:rPr>
                <w:color w:val="000000"/>
                <w:lang w:val="en-AU" w:bidi="ar-SA"/>
              </w:rPr>
              <w:t>0</w:t>
            </w:r>
          </w:p>
        </w:tc>
      </w:tr>
      <w:tr w:rsidR="000C3B97" w:rsidRPr="00A50512" w:rsidTr="000C3B97">
        <w:trPr>
          <w:cnfStyle w:val="000000100000"/>
          <w:trHeight w:val="300"/>
        </w:trPr>
        <w:tc>
          <w:tcPr>
            <w:cnfStyle w:val="001000000000"/>
            <w:tcW w:w="1430" w:type="pct"/>
            <w:noWrap/>
            <w:hideMark/>
          </w:tcPr>
          <w:p w:rsidR="00AE3440" w:rsidRPr="00A50512" w:rsidRDefault="00AE3440" w:rsidP="00995E2B">
            <w:pPr>
              <w:jc w:val="both"/>
              <w:rPr>
                <w:color w:val="000000"/>
                <w:lang w:val="en-AU" w:bidi="ar-SA"/>
              </w:rPr>
            </w:pPr>
            <w:r w:rsidRPr="00A50512">
              <w:rPr>
                <w:color w:val="000000"/>
                <w:lang w:val="en-AU" w:bidi="ar-SA"/>
              </w:rPr>
              <w:t>Total</w:t>
            </w:r>
          </w:p>
        </w:tc>
        <w:tc>
          <w:tcPr>
            <w:tcW w:w="548" w:type="pct"/>
            <w:noWrap/>
            <w:hideMark/>
          </w:tcPr>
          <w:p w:rsidR="00AE3440" w:rsidRPr="00A50512" w:rsidRDefault="00AE3440" w:rsidP="00995E2B">
            <w:pPr>
              <w:jc w:val="both"/>
              <w:cnfStyle w:val="000000100000"/>
              <w:rPr>
                <w:color w:val="000000"/>
                <w:lang w:val="en-AU" w:bidi="ar-SA"/>
              </w:rPr>
            </w:pPr>
            <w:r w:rsidRPr="00A50512">
              <w:rPr>
                <w:color w:val="000000"/>
                <w:lang w:val="en-AU" w:bidi="ar-SA"/>
              </w:rPr>
              <w:t>3</w:t>
            </w:r>
          </w:p>
        </w:tc>
        <w:tc>
          <w:tcPr>
            <w:tcW w:w="547" w:type="pct"/>
            <w:noWrap/>
            <w:hideMark/>
          </w:tcPr>
          <w:p w:rsidR="00AE3440" w:rsidRPr="00A50512" w:rsidRDefault="00AE3440" w:rsidP="00995E2B">
            <w:pPr>
              <w:jc w:val="both"/>
              <w:cnfStyle w:val="000000100000"/>
              <w:rPr>
                <w:color w:val="000000"/>
                <w:lang w:val="en-AU" w:bidi="ar-SA"/>
              </w:rPr>
            </w:pPr>
            <w:r w:rsidRPr="00A50512">
              <w:rPr>
                <w:color w:val="000000"/>
                <w:lang w:val="en-AU" w:bidi="ar-SA"/>
              </w:rPr>
              <w:t>0</w:t>
            </w:r>
          </w:p>
        </w:tc>
        <w:tc>
          <w:tcPr>
            <w:tcW w:w="619" w:type="pct"/>
            <w:noWrap/>
            <w:hideMark/>
          </w:tcPr>
          <w:p w:rsidR="00AE3440" w:rsidRPr="00A50512" w:rsidRDefault="00AE3440" w:rsidP="00995E2B">
            <w:pPr>
              <w:jc w:val="both"/>
              <w:cnfStyle w:val="000000100000"/>
              <w:rPr>
                <w:color w:val="000000"/>
                <w:lang w:val="en-AU" w:bidi="ar-SA"/>
              </w:rPr>
            </w:pPr>
            <w:r w:rsidRPr="00A50512">
              <w:rPr>
                <w:color w:val="000000"/>
                <w:lang w:val="en-AU" w:bidi="ar-SA"/>
              </w:rPr>
              <w:t>2</w:t>
            </w:r>
          </w:p>
        </w:tc>
        <w:tc>
          <w:tcPr>
            <w:tcW w:w="619" w:type="pct"/>
            <w:noWrap/>
            <w:hideMark/>
          </w:tcPr>
          <w:p w:rsidR="00AE3440" w:rsidRPr="00A50512" w:rsidRDefault="00AE3440" w:rsidP="00995E2B">
            <w:pPr>
              <w:jc w:val="both"/>
              <w:cnfStyle w:val="000000100000"/>
              <w:rPr>
                <w:color w:val="000000"/>
                <w:lang w:val="en-AU" w:bidi="ar-SA"/>
              </w:rPr>
            </w:pPr>
            <w:r w:rsidRPr="00A50512">
              <w:rPr>
                <w:color w:val="000000"/>
                <w:lang w:val="en-AU" w:bidi="ar-SA"/>
              </w:rPr>
              <w:t>1</w:t>
            </w:r>
          </w:p>
        </w:tc>
        <w:tc>
          <w:tcPr>
            <w:tcW w:w="619" w:type="pct"/>
            <w:noWrap/>
            <w:hideMark/>
          </w:tcPr>
          <w:p w:rsidR="00AE3440" w:rsidRPr="00A50512" w:rsidRDefault="00AE3440" w:rsidP="00995E2B">
            <w:pPr>
              <w:jc w:val="both"/>
              <w:cnfStyle w:val="000000100000"/>
              <w:rPr>
                <w:color w:val="000000"/>
                <w:lang w:val="en-AU" w:bidi="ar-SA"/>
              </w:rPr>
            </w:pPr>
            <w:r w:rsidRPr="00A50512">
              <w:rPr>
                <w:color w:val="000000"/>
                <w:lang w:val="en-AU" w:bidi="ar-SA"/>
              </w:rPr>
              <w:t>2</w:t>
            </w:r>
          </w:p>
        </w:tc>
        <w:tc>
          <w:tcPr>
            <w:tcW w:w="618" w:type="pct"/>
            <w:noWrap/>
            <w:hideMark/>
          </w:tcPr>
          <w:p w:rsidR="00AE3440" w:rsidRPr="00A50512" w:rsidRDefault="00AE3440" w:rsidP="00995E2B">
            <w:pPr>
              <w:jc w:val="both"/>
              <w:cnfStyle w:val="000000100000"/>
              <w:rPr>
                <w:color w:val="000000"/>
                <w:lang w:val="en-AU" w:bidi="ar-SA"/>
              </w:rPr>
            </w:pPr>
            <w:r w:rsidRPr="00A50512">
              <w:rPr>
                <w:color w:val="000000"/>
                <w:lang w:val="en-AU" w:bidi="ar-SA"/>
              </w:rPr>
              <w:t>0</w:t>
            </w:r>
          </w:p>
        </w:tc>
      </w:tr>
      <w:tr w:rsidR="000C3B97" w:rsidRPr="00A50512" w:rsidTr="000C3B97">
        <w:trPr>
          <w:cnfStyle w:val="000000010000"/>
          <w:trHeight w:val="300"/>
        </w:trPr>
        <w:tc>
          <w:tcPr>
            <w:cnfStyle w:val="001000000000"/>
            <w:tcW w:w="5000" w:type="pct"/>
            <w:gridSpan w:val="7"/>
            <w:noWrap/>
            <w:hideMark/>
          </w:tcPr>
          <w:p w:rsidR="000C3B97" w:rsidRPr="00A50512" w:rsidRDefault="000C3B97" w:rsidP="00995E2B">
            <w:pPr>
              <w:jc w:val="both"/>
              <w:rPr>
                <w:color w:val="000000"/>
                <w:lang w:val="en-AU" w:bidi="ar-SA"/>
              </w:rPr>
            </w:pPr>
            <w:r w:rsidRPr="00A50512">
              <w:rPr>
                <w:color w:val="000000"/>
                <w:lang w:val="en-AU" w:bidi="ar-SA"/>
              </w:rPr>
              <w:t>Source: CDM as at 18 October 2012</w:t>
            </w:r>
          </w:p>
        </w:tc>
      </w:tr>
    </w:tbl>
    <w:p w:rsidR="00BE432E" w:rsidRPr="00AE10B0" w:rsidRDefault="004316DC" w:rsidP="00AE10B0">
      <w:pPr>
        <w:rPr>
          <w:rStyle w:val="Heading1Char"/>
          <w:i/>
          <w:caps w:val="0"/>
          <w:sz w:val="22"/>
          <w:szCs w:val="22"/>
        </w:rPr>
      </w:pPr>
      <w:bookmarkStart w:id="14" w:name="_Toc341047699"/>
      <w:r w:rsidRPr="00E24537">
        <w:t>Figure 15:</w:t>
      </w:r>
      <w:bookmarkEnd w:id="14"/>
      <w:r w:rsidRPr="00AE10B0">
        <w:rPr>
          <w:rStyle w:val="Heading1Char"/>
          <w:i/>
          <w:caps w:val="0"/>
          <w:sz w:val="22"/>
          <w:szCs w:val="22"/>
        </w:rPr>
        <w:t xml:space="preserve"> </w:t>
      </w:r>
      <w:r w:rsidR="00FD5731" w:rsidRPr="00AE10B0">
        <w:rPr>
          <w:i/>
        </w:rPr>
        <w:t>Unlicensed</w:t>
      </w:r>
      <w:r w:rsidRPr="00AE10B0">
        <w:rPr>
          <w:i/>
        </w:rPr>
        <w:t xml:space="preserve"> driver, driving an unregistered vehicle involved in serious or fatal crashes.</w:t>
      </w:r>
    </w:p>
    <w:p w:rsidR="00D26D99" w:rsidRDefault="00D26D99" w:rsidP="00604159">
      <w:pPr>
        <w:jc w:val="both"/>
        <w:rPr>
          <w:rStyle w:val="Heading1Char"/>
        </w:rPr>
      </w:pPr>
      <w:bookmarkStart w:id="15" w:name="_Toc341047904"/>
      <w:r>
        <w:rPr>
          <w:rStyle w:val="Heading1Char"/>
        </w:rPr>
        <w:t>CONCLUSION</w:t>
      </w:r>
      <w:bookmarkEnd w:id="15"/>
    </w:p>
    <w:p w:rsidR="00D26D99" w:rsidRDefault="00D26D99" w:rsidP="00D26D99">
      <w:pPr>
        <w:jc w:val="both"/>
        <w:rPr>
          <w:rFonts w:asciiTheme="minorHAnsi" w:hAnsiTheme="minorHAnsi" w:cs="Arial"/>
        </w:rPr>
      </w:pPr>
      <w:r>
        <w:rPr>
          <w:rFonts w:asciiTheme="minorHAnsi" w:hAnsiTheme="minorHAnsi" w:cs="Arial"/>
        </w:rPr>
        <w:t>U</w:t>
      </w:r>
      <w:r w:rsidRPr="00D26D99">
        <w:rPr>
          <w:rFonts w:asciiTheme="minorHAnsi" w:hAnsiTheme="minorHAnsi" w:cs="Arial"/>
        </w:rPr>
        <w:t>nlicensed driving and drivi</w:t>
      </w:r>
      <w:r w:rsidR="00F65E36">
        <w:rPr>
          <w:rFonts w:asciiTheme="minorHAnsi" w:hAnsiTheme="minorHAnsi" w:cs="Arial"/>
        </w:rPr>
        <w:t>ng of unregistered vehicles do</w:t>
      </w:r>
      <w:r w:rsidRPr="00D26D99">
        <w:rPr>
          <w:rFonts w:asciiTheme="minorHAnsi" w:hAnsiTheme="minorHAnsi" w:cs="Arial"/>
        </w:rPr>
        <w:t xml:space="preserve"> not play a direct causative role in road crashes, rather they are synonymous with </w:t>
      </w:r>
      <w:r w:rsidR="00655A19">
        <w:rPr>
          <w:rFonts w:asciiTheme="minorHAnsi" w:hAnsiTheme="minorHAnsi" w:cs="Arial"/>
        </w:rPr>
        <w:t>other high risk driving behavio</w:t>
      </w:r>
      <w:r w:rsidRPr="00D26D99">
        <w:rPr>
          <w:rFonts w:asciiTheme="minorHAnsi" w:hAnsiTheme="minorHAnsi" w:cs="Arial"/>
        </w:rPr>
        <w:t>rs</w:t>
      </w:r>
      <w:r>
        <w:rPr>
          <w:rFonts w:asciiTheme="minorHAnsi" w:hAnsiTheme="minorHAnsi" w:cs="Arial"/>
        </w:rPr>
        <w:t xml:space="preserve">.  </w:t>
      </w:r>
    </w:p>
    <w:p w:rsidR="00655A19" w:rsidRPr="00655A19" w:rsidRDefault="00655A19" w:rsidP="00655A19">
      <w:pPr>
        <w:jc w:val="both"/>
        <w:rPr>
          <w:rFonts w:asciiTheme="minorHAnsi" w:hAnsiTheme="minorHAnsi" w:cs="Arial"/>
          <w:lang w:eastAsia="en-AU"/>
        </w:rPr>
      </w:pPr>
      <w:r w:rsidRPr="00655A19">
        <w:rPr>
          <w:rFonts w:asciiTheme="minorHAnsi" w:hAnsiTheme="minorHAnsi" w:cs="Arial"/>
          <w:lang w:eastAsia="en-AU"/>
        </w:rPr>
        <w:t xml:space="preserve">Data shows an increase in the percentage of drivers </w:t>
      </w:r>
      <w:r>
        <w:rPr>
          <w:rFonts w:asciiTheme="minorHAnsi" w:hAnsiTheme="minorHAnsi" w:cs="Arial"/>
          <w:lang w:eastAsia="en-AU"/>
        </w:rPr>
        <w:t xml:space="preserve">that are </w:t>
      </w:r>
      <w:r w:rsidR="00115905">
        <w:rPr>
          <w:rFonts w:asciiTheme="minorHAnsi" w:hAnsiTheme="minorHAnsi" w:cs="Arial"/>
          <w:lang w:eastAsia="en-AU"/>
        </w:rPr>
        <w:t xml:space="preserve">detected driving </w:t>
      </w:r>
      <w:r>
        <w:rPr>
          <w:rFonts w:asciiTheme="minorHAnsi" w:hAnsiTheme="minorHAnsi" w:cs="Arial"/>
          <w:lang w:eastAsia="en-AU"/>
        </w:rPr>
        <w:t>unlicens</w:t>
      </w:r>
      <w:r w:rsidRPr="00655A19">
        <w:rPr>
          <w:rFonts w:asciiTheme="minorHAnsi" w:hAnsiTheme="minorHAnsi" w:cs="Arial"/>
          <w:lang w:eastAsia="en-AU"/>
        </w:rPr>
        <w:t>ed</w:t>
      </w:r>
      <w:r w:rsidR="00115905">
        <w:rPr>
          <w:rFonts w:asciiTheme="minorHAnsi" w:hAnsiTheme="minorHAnsi" w:cs="Arial"/>
          <w:lang w:eastAsia="en-AU"/>
        </w:rPr>
        <w:t xml:space="preserve">.  </w:t>
      </w:r>
    </w:p>
    <w:p w:rsidR="00655A19" w:rsidRPr="00655A19" w:rsidRDefault="00655A19" w:rsidP="00655A19">
      <w:pPr>
        <w:jc w:val="both"/>
        <w:rPr>
          <w:rFonts w:asciiTheme="minorHAnsi" w:hAnsiTheme="minorHAnsi" w:cs="Arial"/>
          <w:lang w:eastAsia="en-AU"/>
        </w:rPr>
      </w:pPr>
      <w:r w:rsidRPr="00655A19">
        <w:rPr>
          <w:rFonts w:asciiTheme="minorHAnsi" w:hAnsiTheme="minorHAnsi" w:cs="Arial"/>
          <w:lang w:eastAsia="en-AU"/>
        </w:rPr>
        <w:t xml:space="preserve">Increases </w:t>
      </w:r>
      <w:r>
        <w:rPr>
          <w:rFonts w:asciiTheme="minorHAnsi" w:hAnsiTheme="minorHAnsi" w:cs="Arial"/>
          <w:lang w:eastAsia="en-AU"/>
        </w:rPr>
        <w:t>in the percentage of unlicens</w:t>
      </w:r>
      <w:r w:rsidRPr="00655A19">
        <w:rPr>
          <w:rFonts w:asciiTheme="minorHAnsi" w:hAnsiTheme="minorHAnsi" w:cs="Arial"/>
          <w:lang w:eastAsia="en-AU"/>
        </w:rPr>
        <w:t>ed drivers can be attributed to automatic disqualification of licence for high risk or dangerous driving offences</w:t>
      </w:r>
      <w:r>
        <w:rPr>
          <w:rFonts w:asciiTheme="minorHAnsi" w:hAnsiTheme="minorHAnsi" w:cs="Arial"/>
          <w:lang w:eastAsia="en-AU"/>
        </w:rPr>
        <w:t xml:space="preserve"> and</w:t>
      </w:r>
      <w:r w:rsidRPr="00655A19">
        <w:rPr>
          <w:rFonts w:asciiTheme="minorHAnsi" w:hAnsiTheme="minorHAnsi" w:cs="Arial"/>
          <w:lang w:eastAsia="en-AU"/>
        </w:rPr>
        <w:t xml:space="preserve"> </w:t>
      </w:r>
      <w:r w:rsidRPr="00655A19">
        <w:rPr>
          <w:rFonts w:asciiTheme="minorHAnsi" w:hAnsiTheme="minorHAnsi" w:cs="Arial"/>
        </w:rPr>
        <w:t>licence suspension due to the accrual of demerit points or suspension resulting from unpaid fines</w:t>
      </w:r>
      <w:r>
        <w:rPr>
          <w:rFonts w:asciiTheme="minorHAnsi" w:hAnsiTheme="minorHAnsi" w:cs="Arial"/>
        </w:rPr>
        <w:t xml:space="preserve"> (MPES)</w:t>
      </w:r>
      <w:r w:rsidRPr="00655A19">
        <w:rPr>
          <w:rFonts w:asciiTheme="minorHAnsi" w:hAnsiTheme="minorHAnsi" w:cs="Arial"/>
        </w:rPr>
        <w:t>.</w:t>
      </w:r>
    </w:p>
    <w:p w:rsidR="00655A19" w:rsidRPr="00655A19" w:rsidRDefault="00655A19" w:rsidP="00655A19">
      <w:pPr>
        <w:jc w:val="both"/>
        <w:rPr>
          <w:rFonts w:asciiTheme="minorHAnsi" w:hAnsiTheme="minorHAnsi" w:cs="Arial"/>
          <w:noProof/>
        </w:rPr>
      </w:pPr>
      <w:r w:rsidRPr="00655A19">
        <w:rPr>
          <w:rFonts w:asciiTheme="minorHAnsi" w:hAnsiTheme="minorHAnsi" w:cs="Arial"/>
          <w:noProof/>
        </w:rPr>
        <w:t>Increases in t</w:t>
      </w:r>
      <w:r>
        <w:rPr>
          <w:rFonts w:asciiTheme="minorHAnsi" w:hAnsiTheme="minorHAnsi" w:cs="Arial"/>
          <w:lang w:eastAsia="en-AU"/>
        </w:rPr>
        <w:t>he number of drivers detected</w:t>
      </w:r>
      <w:r w:rsidRPr="00655A19">
        <w:rPr>
          <w:rFonts w:asciiTheme="minorHAnsi" w:hAnsiTheme="minorHAnsi" w:cs="Arial"/>
          <w:lang w:eastAsia="en-AU"/>
        </w:rPr>
        <w:t xml:space="preserve"> driving during their period of prohibition can be attributed to the success of </w:t>
      </w:r>
      <w:r w:rsidRPr="00655A19">
        <w:rPr>
          <w:rFonts w:asciiTheme="minorHAnsi" w:hAnsiTheme="minorHAnsi" w:cs="Arial"/>
          <w:color w:val="000000"/>
        </w:rPr>
        <w:t>initiatives such as the compulsory carriage of licence, automatic number plate recognition technology, prevalence of speed detection devices and the extent of random breath testing and targeted general enforcement of high risk offenders.</w:t>
      </w:r>
    </w:p>
    <w:p w:rsidR="00655A19" w:rsidRPr="00655A19" w:rsidRDefault="00655A19" w:rsidP="00655A19">
      <w:pPr>
        <w:jc w:val="both"/>
        <w:rPr>
          <w:rFonts w:asciiTheme="minorHAnsi" w:hAnsiTheme="minorHAnsi" w:cs="Arial"/>
          <w:noProof/>
        </w:rPr>
      </w:pPr>
      <w:r w:rsidRPr="00655A19">
        <w:rPr>
          <w:rFonts w:asciiTheme="minorHAnsi" w:hAnsiTheme="minorHAnsi" w:cs="Arial"/>
        </w:rPr>
        <w:t xml:space="preserve">It should be noted that being </w:t>
      </w:r>
      <w:r>
        <w:rPr>
          <w:rFonts w:asciiTheme="minorHAnsi" w:hAnsiTheme="minorHAnsi" w:cs="Arial"/>
        </w:rPr>
        <w:t>unlicens</w:t>
      </w:r>
      <w:r w:rsidRPr="00655A19">
        <w:rPr>
          <w:rFonts w:asciiTheme="minorHAnsi" w:hAnsiTheme="minorHAnsi" w:cs="Arial"/>
        </w:rPr>
        <w:t xml:space="preserve">ed does not equate to an increase in crash risk, instead it is the </w:t>
      </w:r>
      <w:r>
        <w:rPr>
          <w:rFonts w:asciiTheme="minorHAnsi" w:hAnsiTheme="minorHAnsi" w:cs="Arial"/>
        </w:rPr>
        <w:t>high risk driving behavio</w:t>
      </w:r>
      <w:r w:rsidRPr="00655A19">
        <w:rPr>
          <w:rFonts w:asciiTheme="minorHAnsi" w:hAnsiTheme="minorHAnsi" w:cs="Arial"/>
        </w:rPr>
        <w:t>rs, such as inattention, drink driving and excessi</w:t>
      </w:r>
      <w:r>
        <w:rPr>
          <w:rFonts w:asciiTheme="minorHAnsi" w:hAnsiTheme="minorHAnsi" w:cs="Arial"/>
        </w:rPr>
        <w:t xml:space="preserve">ve speeding that increase </w:t>
      </w:r>
      <w:r w:rsidRPr="00655A19">
        <w:rPr>
          <w:rFonts w:asciiTheme="minorHAnsi" w:hAnsiTheme="minorHAnsi" w:cs="Arial"/>
        </w:rPr>
        <w:t>chances of crashing.</w:t>
      </w:r>
    </w:p>
    <w:p w:rsidR="00655A19" w:rsidRPr="00655A19" w:rsidRDefault="00655A19" w:rsidP="00655A19">
      <w:pPr>
        <w:jc w:val="both"/>
        <w:rPr>
          <w:rFonts w:asciiTheme="minorHAnsi" w:hAnsiTheme="minorHAnsi" w:cs="Arial"/>
          <w:noProof/>
        </w:rPr>
      </w:pPr>
      <w:r w:rsidRPr="00655A19">
        <w:rPr>
          <w:rFonts w:asciiTheme="minorHAnsi" w:hAnsiTheme="minorHAnsi" w:cs="Arial"/>
          <w:noProof/>
        </w:rPr>
        <w:t xml:space="preserve">Similarly, driving an unregistered vehicle </w:t>
      </w:r>
      <w:r w:rsidRPr="00655A19">
        <w:rPr>
          <w:rFonts w:asciiTheme="minorHAnsi" w:hAnsiTheme="minorHAnsi" w:cs="Arial"/>
        </w:rPr>
        <w:t>is not causal of road crashes, but can be linked to the same set of high risk behaviors that increase the chance of being involved in a crash.</w:t>
      </w:r>
    </w:p>
    <w:p w:rsidR="00655A19" w:rsidRPr="00655A19" w:rsidRDefault="00F8114C" w:rsidP="00655A19">
      <w:pPr>
        <w:jc w:val="both"/>
        <w:rPr>
          <w:rFonts w:asciiTheme="minorHAnsi" w:hAnsiTheme="minorHAnsi" w:cs="Arial"/>
          <w:noProof/>
        </w:rPr>
      </w:pPr>
      <w:r>
        <w:rPr>
          <w:rFonts w:asciiTheme="minorHAnsi" w:hAnsiTheme="minorHAnsi" w:cs="Arial"/>
        </w:rPr>
        <w:t xml:space="preserve">There has been recent success in reducing the proportion of </w:t>
      </w:r>
      <w:r w:rsidR="00655A19" w:rsidRPr="00655A19">
        <w:rPr>
          <w:rFonts w:asciiTheme="minorHAnsi" w:hAnsiTheme="minorHAnsi" w:cs="Arial"/>
        </w:rPr>
        <w:t xml:space="preserve">unregistered vehicles, </w:t>
      </w:r>
      <w:r w:rsidR="00655A19" w:rsidRPr="00655A19">
        <w:rPr>
          <w:rFonts w:asciiTheme="minorHAnsi" w:hAnsiTheme="minorHAnsi" w:cs="Arial"/>
          <w:lang w:eastAsia="en-AU"/>
        </w:rPr>
        <w:t xml:space="preserve">mainly due to </w:t>
      </w:r>
      <w:r w:rsidR="00655A19" w:rsidRPr="00655A19">
        <w:rPr>
          <w:rFonts w:asciiTheme="minorHAnsi" w:hAnsiTheme="minorHAnsi" w:cs="Arial"/>
          <w:color w:val="000000"/>
        </w:rPr>
        <w:t>automatic number plate recognition technology, the prevalence of speed detection devices and the extent of random breath testing.</w:t>
      </w:r>
    </w:p>
    <w:p w:rsidR="00655A19" w:rsidRPr="00655A19" w:rsidRDefault="00655A19" w:rsidP="00655A19">
      <w:pPr>
        <w:jc w:val="both"/>
        <w:rPr>
          <w:rFonts w:asciiTheme="minorHAnsi" w:hAnsiTheme="minorHAnsi" w:cs="Arial"/>
          <w:noProof/>
        </w:rPr>
      </w:pPr>
      <w:r w:rsidRPr="00655A19">
        <w:rPr>
          <w:rFonts w:asciiTheme="minorHAnsi" w:hAnsiTheme="minorHAnsi" w:cs="Arial"/>
          <w:color w:val="000000"/>
        </w:rPr>
        <w:t xml:space="preserve">It is evident that a complex problem such as regulatory compliance cannot be solely dealt with by </w:t>
      </w:r>
      <w:r w:rsidRPr="00655A19">
        <w:rPr>
          <w:rFonts w:asciiTheme="minorHAnsi" w:hAnsiTheme="minorHAnsi" w:cs="Arial"/>
        </w:rPr>
        <w:t xml:space="preserve">monetary fines and further loss of licence, but by behavior modification initiatives </w:t>
      </w:r>
      <w:r w:rsidRPr="00655A19">
        <w:rPr>
          <w:rFonts w:asciiTheme="minorHAnsi" w:hAnsiTheme="minorHAnsi" w:cs="Arial"/>
          <w:noProof/>
        </w:rPr>
        <w:t xml:space="preserve">such as alcohol interlocks, </w:t>
      </w:r>
      <w:r w:rsidRPr="00655A19">
        <w:rPr>
          <w:rFonts w:asciiTheme="minorHAnsi" w:hAnsiTheme="minorHAnsi" w:cs="Arial"/>
        </w:rPr>
        <w:t xml:space="preserve">vehicle clamping, general education and awareness and direct debit registration and compulsory third party payments. </w:t>
      </w:r>
    </w:p>
    <w:p w:rsidR="00841B6F" w:rsidRDefault="00841B6F" w:rsidP="00655A19">
      <w:pPr>
        <w:pStyle w:val="ListParagraph"/>
        <w:ind w:left="360"/>
        <w:jc w:val="both"/>
        <w:rPr>
          <w:rFonts w:ascii="Arial" w:hAnsi="Arial" w:cs="Arial"/>
        </w:rPr>
        <w:sectPr w:rsidR="00841B6F" w:rsidSect="00841B6F">
          <w:footerReference w:type="default" r:id="rId38"/>
          <w:pgSz w:w="11906" w:h="16838"/>
          <w:pgMar w:top="1440" w:right="1440" w:bottom="1440" w:left="1440" w:header="706" w:footer="706" w:gutter="0"/>
          <w:cols w:space="708"/>
          <w:docGrid w:linePitch="360"/>
        </w:sectPr>
      </w:pPr>
    </w:p>
    <w:p w:rsidR="00655A19" w:rsidRPr="005405C8" w:rsidRDefault="00655A19" w:rsidP="00655A19">
      <w:pPr>
        <w:pStyle w:val="ListParagraph"/>
        <w:ind w:left="360"/>
        <w:jc w:val="both"/>
        <w:rPr>
          <w:rFonts w:ascii="Arial" w:hAnsi="Arial" w:cs="Arial"/>
        </w:rPr>
      </w:pPr>
    </w:p>
    <w:p w:rsidR="00655A19" w:rsidRPr="00D26D99" w:rsidRDefault="00655A19" w:rsidP="00D26D99">
      <w:pPr>
        <w:jc w:val="both"/>
        <w:rPr>
          <w:rStyle w:val="Heading1Char"/>
          <w:rFonts w:asciiTheme="minorHAnsi" w:hAnsiTheme="minorHAnsi"/>
        </w:rPr>
      </w:pPr>
    </w:p>
    <w:p w:rsidR="006A4FEE" w:rsidRDefault="006A4FEE" w:rsidP="00495443">
      <w:pPr>
        <w:spacing w:after="0"/>
        <w:jc w:val="both"/>
        <w:rPr>
          <w:rFonts w:cs="Arial"/>
        </w:rPr>
      </w:pPr>
    </w:p>
    <w:p w:rsidR="00AE3440" w:rsidRPr="000638E8" w:rsidRDefault="00AE3440" w:rsidP="00495443">
      <w:pPr>
        <w:spacing w:after="0"/>
        <w:jc w:val="both"/>
        <w:rPr>
          <w:noProof/>
          <w:color w:val="000000"/>
        </w:rPr>
      </w:pPr>
    </w:p>
    <w:p w:rsidR="00482348" w:rsidRDefault="00482348" w:rsidP="00495443">
      <w:pPr>
        <w:spacing w:after="0"/>
      </w:pPr>
      <w:r>
        <w:br w:type="page"/>
      </w:r>
    </w:p>
    <w:p w:rsidR="00482348" w:rsidRDefault="00482348" w:rsidP="00495443">
      <w:pPr>
        <w:spacing w:after="0"/>
        <w:jc w:val="both"/>
        <w:sectPr w:rsidR="00482348" w:rsidSect="00841B6F">
          <w:pgSz w:w="16838" w:h="11906" w:orient="landscape"/>
          <w:pgMar w:top="1440" w:right="1440" w:bottom="1440" w:left="1440" w:header="706" w:footer="706" w:gutter="0"/>
          <w:cols w:space="708"/>
          <w:docGrid w:linePitch="360"/>
        </w:sectPr>
      </w:pPr>
    </w:p>
    <w:p w:rsidR="00482348" w:rsidRPr="0003049B" w:rsidRDefault="00F7744C" w:rsidP="004316DC">
      <w:pPr>
        <w:spacing w:after="0" w:line="240" w:lineRule="auto"/>
        <w:jc w:val="both"/>
        <w:rPr>
          <w:rFonts w:cs="Arial"/>
          <w:b/>
          <w:caps/>
          <w:sz w:val="24"/>
          <w:szCs w:val="24"/>
        </w:rPr>
      </w:pPr>
      <w:r>
        <w:rPr>
          <w:rFonts w:cs="Arial"/>
          <w:b/>
          <w:caps/>
          <w:noProof/>
          <w:sz w:val="24"/>
          <w:szCs w:val="24"/>
          <w:lang w:val="en-AU" w:eastAsia="en-AU" w:bidi="ar-SA"/>
        </w:rPr>
        <w:pict>
          <v:shape id="_x0000_s1027" type="#_x0000_t202" style="position:absolute;left:0;text-align:left;margin-left:328.2pt;margin-top:-48.6pt;width:369.35pt;height:48.6pt;z-index:251667456" wrapcoords="-44 0 -44 21268 21600 21268 21600 0 -44 0" stroked="f">
            <v:textbox style="mso-next-textbox:#_x0000_s1027">
              <w:txbxContent>
                <w:p w:rsidR="00787C1C" w:rsidRPr="00DE1339" w:rsidRDefault="00787C1C" w:rsidP="00DE1339">
                  <w:pPr>
                    <w:jc w:val="right"/>
                    <w:rPr>
                      <w:sz w:val="24"/>
                      <w:szCs w:val="24"/>
                    </w:rPr>
                  </w:pPr>
                  <w:r w:rsidRPr="00DE1339">
                    <w:rPr>
                      <w:sz w:val="24"/>
                      <w:szCs w:val="24"/>
                    </w:rPr>
                    <w:t xml:space="preserve">Appendix A – Penalties for driving disqualified, suspended or without ever having held a </w:t>
                  </w:r>
                  <w:r>
                    <w:rPr>
                      <w:sz w:val="24"/>
                      <w:szCs w:val="24"/>
                    </w:rPr>
                    <w:t>licence</w:t>
                  </w:r>
                  <w:r w:rsidRPr="00DE1339">
                    <w:rPr>
                      <w:sz w:val="24"/>
                      <w:szCs w:val="24"/>
                    </w:rPr>
                    <w:t>.</w:t>
                  </w:r>
                </w:p>
              </w:txbxContent>
            </v:textbox>
            <w10:wrap type="tight"/>
          </v:shape>
        </w:pict>
      </w:r>
      <w:r w:rsidR="00482348" w:rsidRPr="0003049B">
        <w:rPr>
          <w:rFonts w:cs="Arial"/>
          <w:b/>
          <w:caps/>
          <w:sz w:val="24"/>
          <w:szCs w:val="24"/>
        </w:rPr>
        <w:t>Penalties for driving while disqualified</w:t>
      </w:r>
    </w:p>
    <w:tbl>
      <w:tblPr>
        <w:tblStyle w:val="LightList-Accent5"/>
        <w:tblW w:w="5000" w:type="pct"/>
        <w:tblLook w:val="04A0"/>
      </w:tblPr>
      <w:tblGrid>
        <w:gridCol w:w="1030"/>
        <w:gridCol w:w="636"/>
        <w:gridCol w:w="508"/>
        <w:gridCol w:w="700"/>
        <w:gridCol w:w="635"/>
        <w:gridCol w:w="414"/>
        <w:gridCol w:w="700"/>
        <w:gridCol w:w="632"/>
        <w:gridCol w:w="774"/>
        <w:gridCol w:w="700"/>
        <w:gridCol w:w="632"/>
        <w:gridCol w:w="507"/>
        <w:gridCol w:w="700"/>
        <w:gridCol w:w="632"/>
        <w:gridCol w:w="414"/>
        <w:gridCol w:w="700"/>
        <w:gridCol w:w="646"/>
        <w:gridCol w:w="414"/>
        <w:gridCol w:w="700"/>
        <w:gridCol w:w="632"/>
        <w:gridCol w:w="771"/>
        <w:gridCol w:w="697"/>
      </w:tblGrid>
      <w:tr w:rsidR="00482348" w:rsidRPr="00733993" w:rsidTr="006D5871">
        <w:trPr>
          <w:cnfStyle w:val="100000000000"/>
          <w:trHeight w:val="361"/>
        </w:trPr>
        <w:tc>
          <w:tcPr>
            <w:cnfStyle w:val="001000000000"/>
            <w:tcW w:w="363" w:type="pct"/>
          </w:tcPr>
          <w:p w:rsidR="00482348" w:rsidRPr="00733993" w:rsidRDefault="00482348" w:rsidP="004316DC">
            <w:pPr>
              <w:jc w:val="both"/>
              <w:rPr>
                <w:rFonts w:asciiTheme="minorHAnsi" w:eastAsiaTheme="minorEastAsia" w:hAnsiTheme="minorHAnsi" w:cs="Arial"/>
                <w:sz w:val="16"/>
                <w:szCs w:val="16"/>
              </w:rPr>
            </w:pPr>
          </w:p>
        </w:tc>
        <w:tc>
          <w:tcPr>
            <w:tcW w:w="650" w:type="pct"/>
            <w:gridSpan w:val="3"/>
          </w:tcPr>
          <w:p w:rsidR="00482348" w:rsidRPr="00733993" w:rsidRDefault="00482348" w:rsidP="004316DC">
            <w:pPr>
              <w:jc w:val="both"/>
              <w:cnfStyle w:val="1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WA</w:t>
            </w:r>
          </w:p>
        </w:tc>
        <w:tc>
          <w:tcPr>
            <w:tcW w:w="617" w:type="pct"/>
            <w:gridSpan w:val="3"/>
          </w:tcPr>
          <w:p w:rsidR="00482348" w:rsidRPr="00733993" w:rsidRDefault="00482348" w:rsidP="004316DC">
            <w:pPr>
              <w:jc w:val="both"/>
              <w:cnfStyle w:val="1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NSW</w:t>
            </w:r>
          </w:p>
        </w:tc>
        <w:tc>
          <w:tcPr>
            <w:tcW w:w="742" w:type="pct"/>
            <w:gridSpan w:val="3"/>
          </w:tcPr>
          <w:p w:rsidR="00482348" w:rsidRPr="00733993" w:rsidRDefault="00482348" w:rsidP="004316DC">
            <w:pPr>
              <w:jc w:val="both"/>
              <w:cnfStyle w:val="1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NT</w:t>
            </w:r>
          </w:p>
        </w:tc>
        <w:tc>
          <w:tcPr>
            <w:tcW w:w="649" w:type="pct"/>
            <w:gridSpan w:val="3"/>
          </w:tcPr>
          <w:p w:rsidR="00482348" w:rsidRPr="00733993" w:rsidRDefault="00482348" w:rsidP="004316DC">
            <w:pPr>
              <w:jc w:val="both"/>
              <w:cnfStyle w:val="1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QLD</w:t>
            </w:r>
          </w:p>
        </w:tc>
        <w:tc>
          <w:tcPr>
            <w:tcW w:w="615" w:type="pct"/>
            <w:gridSpan w:val="3"/>
          </w:tcPr>
          <w:p w:rsidR="00482348" w:rsidRPr="00733993" w:rsidRDefault="00482348" w:rsidP="004316DC">
            <w:pPr>
              <w:jc w:val="both"/>
              <w:cnfStyle w:val="1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SA</w:t>
            </w:r>
          </w:p>
        </w:tc>
        <w:tc>
          <w:tcPr>
            <w:tcW w:w="621" w:type="pct"/>
            <w:gridSpan w:val="3"/>
          </w:tcPr>
          <w:p w:rsidR="00482348" w:rsidRPr="00733993" w:rsidRDefault="00482348" w:rsidP="004316DC">
            <w:pPr>
              <w:jc w:val="both"/>
              <w:cnfStyle w:val="1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TAS</w:t>
            </w:r>
          </w:p>
        </w:tc>
        <w:tc>
          <w:tcPr>
            <w:tcW w:w="742" w:type="pct"/>
            <w:gridSpan w:val="3"/>
          </w:tcPr>
          <w:p w:rsidR="00482348" w:rsidRPr="00733993" w:rsidRDefault="00482348" w:rsidP="004316DC">
            <w:pPr>
              <w:jc w:val="both"/>
              <w:cnfStyle w:val="1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VIC</w:t>
            </w:r>
          </w:p>
        </w:tc>
      </w:tr>
      <w:tr w:rsidR="00885C01" w:rsidRPr="00733993" w:rsidTr="006D5871">
        <w:trPr>
          <w:cnfStyle w:val="000000100000"/>
          <w:trHeight w:val="626"/>
        </w:trPr>
        <w:tc>
          <w:tcPr>
            <w:cnfStyle w:val="001000000000"/>
            <w:tcW w:w="363" w:type="pct"/>
          </w:tcPr>
          <w:p w:rsidR="00482348" w:rsidRPr="00733993" w:rsidRDefault="00482348" w:rsidP="004316DC">
            <w:pPr>
              <w:jc w:val="both"/>
              <w:rPr>
                <w:rFonts w:asciiTheme="minorHAnsi" w:eastAsiaTheme="minorEastAsia" w:hAnsiTheme="minorHAnsi" w:cs="Arial"/>
                <w:sz w:val="16"/>
                <w:szCs w:val="16"/>
              </w:rPr>
            </w:pPr>
          </w:p>
        </w:tc>
        <w:tc>
          <w:tcPr>
            <w:tcW w:w="224"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Fine ($) (max)</w:t>
            </w:r>
          </w:p>
        </w:tc>
        <w:tc>
          <w:tcPr>
            <w:tcW w:w="179"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Dis</w:t>
            </w:r>
          </w:p>
        </w:tc>
        <w:tc>
          <w:tcPr>
            <w:tcW w:w="247"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Imp (mths) (max)</w:t>
            </w:r>
          </w:p>
        </w:tc>
        <w:tc>
          <w:tcPr>
            <w:tcW w:w="224"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Fine ($) (max)</w:t>
            </w:r>
          </w:p>
        </w:tc>
        <w:tc>
          <w:tcPr>
            <w:tcW w:w="146"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Dis</w:t>
            </w:r>
          </w:p>
        </w:tc>
        <w:tc>
          <w:tcPr>
            <w:tcW w:w="247"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Imp (mths) (max)</w:t>
            </w:r>
          </w:p>
        </w:tc>
        <w:tc>
          <w:tcPr>
            <w:tcW w:w="223"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Fine ($) (max)</w:t>
            </w:r>
          </w:p>
        </w:tc>
        <w:tc>
          <w:tcPr>
            <w:tcW w:w="273"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Dis</w:t>
            </w:r>
          </w:p>
        </w:tc>
        <w:tc>
          <w:tcPr>
            <w:tcW w:w="247"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Imp (mths) (max)</w:t>
            </w:r>
          </w:p>
        </w:tc>
        <w:tc>
          <w:tcPr>
            <w:tcW w:w="223"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Fine ($) (max)</w:t>
            </w:r>
          </w:p>
        </w:tc>
        <w:tc>
          <w:tcPr>
            <w:tcW w:w="179"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Dis</w:t>
            </w:r>
          </w:p>
        </w:tc>
        <w:tc>
          <w:tcPr>
            <w:tcW w:w="247"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Imp (mths) (max)</w:t>
            </w:r>
          </w:p>
        </w:tc>
        <w:tc>
          <w:tcPr>
            <w:tcW w:w="223"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Fine ($) (max)</w:t>
            </w:r>
          </w:p>
        </w:tc>
        <w:tc>
          <w:tcPr>
            <w:tcW w:w="146"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Dis</w:t>
            </w:r>
          </w:p>
        </w:tc>
        <w:tc>
          <w:tcPr>
            <w:tcW w:w="247"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Imp (mths) (max)</w:t>
            </w:r>
          </w:p>
        </w:tc>
        <w:tc>
          <w:tcPr>
            <w:tcW w:w="228" w:type="pct"/>
            <w:shd w:val="clear" w:color="auto" w:fill="DAEEF3" w:themeFill="accent5" w:themeFillTint="33"/>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Fine ($) (max)</w:t>
            </w:r>
          </w:p>
        </w:tc>
        <w:tc>
          <w:tcPr>
            <w:tcW w:w="146" w:type="pct"/>
            <w:shd w:val="clear" w:color="auto" w:fill="DAEEF3" w:themeFill="accent5" w:themeFillTint="33"/>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Dis</w:t>
            </w:r>
          </w:p>
        </w:tc>
        <w:tc>
          <w:tcPr>
            <w:tcW w:w="247" w:type="pct"/>
            <w:shd w:val="clear" w:color="auto" w:fill="DAEEF3" w:themeFill="accent5" w:themeFillTint="33"/>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Imp (mths) (max)</w:t>
            </w:r>
          </w:p>
        </w:tc>
        <w:tc>
          <w:tcPr>
            <w:tcW w:w="223"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Fine ($) (max)</w:t>
            </w:r>
          </w:p>
        </w:tc>
        <w:tc>
          <w:tcPr>
            <w:tcW w:w="272"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Dis</w:t>
            </w:r>
          </w:p>
        </w:tc>
        <w:tc>
          <w:tcPr>
            <w:tcW w:w="247"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Imp (mths) (max)</w:t>
            </w:r>
          </w:p>
        </w:tc>
      </w:tr>
      <w:tr w:rsidR="00885C01" w:rsidRPr="00733993" w:rsidTr="006D5871">
        <w:trPr>
          <w:trHeight w:val="831"/>
        </w:trPr>
        <w:tc>
          <w:tcPr>
            <w:cnfStyle w:val="001000000000"/>
            <w:tcW w:w="363" w:type="pct"/>
          </w:tcPr>
          <w:p w:rsidR="00482348" w:rsidRPr="00733993" w:rsidRDefault="00482348" w:rsidP="004316DC">
            <w:pPr>
              <w:jc w:val="both"/>
              <w:rPr>
                <w:rFonts w:asciiTheme="minorHAnsi" w:eastAsiaTheme="minorEastAsia" w:hAnsiTheme="minorHAnsi" w:cs="Arial"/>
                <w:sz w:val="16"/>
                <w:szCs w:val="16"/>
              </w:rPr>
            </w:pPr>
            <w:r w:rsidRPr="00733993">
              <w:rPr>
                <w:rFonts w:asciiTheme="minorHAnsi" w:eastAsiaTheme="minorEastAsia" w:hAnsiTheme="minorHAnsi" w:cs="Arial"/>
                <w:sz w:val="16"/>
                <w:szCs w:val="16"/>
              </w:rPr>
              <w:t>1st offence</w:t>
            </w:r>
          </w:p>
        </w:tc>
        <w:tc>
          <w:tcPr>
            <w:tcW w:w="224" w:type="pct"/>
          </w:tcPr>
          <w:p w:rsidR="00482348" w:rsidRPr="00733993" w:rsidRDefault="00482348" w:rsidP="004316DC">
            <w:pPr>
              <w:jc w:val="both"/>
              <w:cnfStyle w:val="0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2000 &amp;/or imp</w:t>
            </w:r>
          </w:p>
        </w:tc>
        <w:tc>
          <w:tcPr>
            <w:tcW w:w="179" w:type="pct"/>
          </w:tcPr>
          <w:p w:rsidR="00482348" w:rsidRPr="00733993" w:rsidRDefault="00482348" w:rsidP="004316DC">
            <w:pPr>
              <w:jc w:val="both"/>
              <w:cnfStyle w:val="0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9-36</w:t>
            </w:r>
          </w:p>
        </w:tc>
        <w:tc>
          <w:tcPr>
            <w:tcW w:w="247" w:type="pct"/>
          </w:tcPr>
          <w:p w:rsidR="00482348" w:rsidRPr="00733993" w:rsidRDefault="00482348" w:rsidP="004316DC">
            <w:pPr>
              <w:jc w:val="both"/>
              <w:cnfStyle w:val="0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12 &amp;/or fine</w:t>
            </w:r>
          </w:p>
        </w:tc>
        <w:tc>
          <w:tcPr>
            <w:tcW w:w="224" w:type="pct"/>
          </w:tcPr>
          <w:p w:rsidR="00482348" w:rsidRPr="00733993" w:rsidRDefault="00482348" w:rsidP="004316DC">
            <w:pPr>
              <w:jc w:val="both"/>
              <w:cnfStyle w:val="0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3300 &amp;/or imp</w:t>
            </w:r>
          </w:p>
        </w:tc>
        <w:tc>
          <w:tcPr>
            <w:tcW w:w="146" w:type="pct"/>
          </w:tcPr>
          <w:p w:rsidR="00482348" w:rsidRPr="00733993" w:rsidRDefault="00482348" w:rsidP="004316DC">
            <w:pPr>
              <w:jc w:val="both"/>
              <w:cnfStyle w:val="0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12</w:t>
            </w:r>
          </w:p>
        </w:tc>
        <w:tc>
          <w:tcPr>
            <w:tcW w:w="247" w:type="pct"/>
          </w:tcPr>
          <w:p w:rsidR="00482348" w:rsidRPr="00733993" w:rsidRDefault="00482348" w:rsidP="004316DC">
            <w:pPr>
              <w:jc w:val="both"/>
              <w:cnfStyle w:val="0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18 &amp;/or fine</w:t>
            </w:r>
          </w:p>
        </w:tc>
        <w:tc>
          <w:tcPr>
            <w:tcW w:w="223" w:type="pct"/>
          </w:tcPr>
          <w:p w:rsidR="00482348" w:rsidRPr="00733993" w:rsidRDefault="00482348" w:rsidP="004316DC">
            <w:pPr>
              <w:jc w:val="both"/>
              <w:cnfStyle w:val="0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w:t>
            </w:r>
          </w:p>
        </w:tc>
        <w:tc>
          <w:tcPr>
            <w:tcW w:w="273" w:type="pct"/>
          </w:tcPr>
          <w:p w:rsidR="00482348" w:rsidRPr="00733993" w:rsidRDefault="00482348" w:rsidP="004316DC">
            <w:pPr>
              <w:jc w:val="both"/>
              <w:cnfStyle w:val="0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Court ordered</w:t>
            </w:r>
          </w:p>
        </w:tc>
        <w:tc>
          <w:tcPr>
            <w:tcW w:w="247" w:type="pct"/>
          </w:tcPr>
          <w:p w:rsidR="00482348" w:rsidRPr="00733993" w:rsidRDefault="00482348" w:rsidP="004316DC">
            <w:pPr>
              <w:jc w:val="both"/>
              <w:cnfStyle w:val="0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12</w:t>
            </w:r>
          </w:p>
        </w:tc>
        <w:tc>
          <w:tcPr>
            <w:tcW w:w="223" w:type="pct"/>
          </w:tcPr>
          <w:p w:rsidR="00482348" w:rsidRPr="00733993" w:rsidRDefault="00482348" w:rsidP="004316DC">
            <w:pPr>
              <w:jc w:val="both"/>
              <w:cnfStyle w:val="0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6000 or imp</w:t>
            </w:r>
          </w:p>
        </w:tc>
        <w:tc>
          <w:tcPr>
            <w:tcW w:w="179" w:type="pct"/>
          </w:tcPr>
          <w:p w:rsidR="00482348" w:rsidRPr="00733993" w:rsidRDefault="00482348" w:rsidP="004316DC">
            <w:pPr>
              <w:jc w:val="both"/>
              <w:cnfStyle w:val="0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6-60</w:t>
            </w:r>
          </w:p>
        </w:tc>
        <w:tc>
          <w:tcPr>
            <w:tcW w:w="247" w:type="pct"/>
          </w:tcPr>
          <w:p w:rsidR="00482348" w:rsidRPr="00733993" w:rsidRDefault="00482348" w:rsidP="004316DC">
            <w:pPr>
              <w:jc w:val="both"/>
              <w:cnfStyle w:val="0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18 or fine</w:t>
            </w:r>
          </w:p>
        </w:tc>
        <w:tc>
          <w:tcPr>
            <w:tcW w:w="223" w:type="pct"/>
          </w:tcPr>
          <w:p w:rsidR="00482348" w:rsidRPr="00733993" w:rsidRDefault="00482348" w:rsidP="004316DC">
            <w:pPr>
              <w:jc w:val="both"/>
              <w:cnfStyle w:val="0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w:t>
            </w:r>
          </w:p>
        </w:tc>
        <w:tc>
          <w:tcPr>
            <w:tcW w:w="146" w:type="pct"/>
          </w:tcPr>
          <w:p w:rsidR="00482348" w:rsidRPr="00733993" w:rsidRDefault="00482348" w:rsidP="004316DC">
            <w:pPr>
              <w:jc w:val="both"/>
              <w:cnfStyle w:val="0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w:t>
            </w:r>
          </w:p>
        </w:tc>
        <w:tc>
          <w:tcPr>
            <w:tcW w:w="247" w:type="pct"/>
          </w:tcPr>
          <w:p w:rsidR="00482348" w:rsidRPr="00733993" w:rsidRDefault="00482348" w:rsidP="004316DC">
            <w:pPr>
              <w:jc w:val="both"/>
              <w:cnfStyle w:val="0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6</w:t>
            </w:r>
          </w:p>
        </w:tc>
        <w:tc>
          <w:tcPr>
            <w:tcW w:w="228" w:type="pct"/>
            <w:shd w:val="clear" w:color="auto" w:fill="DAEEF3" w:themeFill="accent5" w:themeFillTint="33"/>
          </w:tcPr>
          <w:p w:rsidR="00482348" w:rsidRPr="00733993" w:rsidRDefault="00482348" w:rsidP="004316DC">
            <w:pPr>
              <w:jc w:val="both"/>
              <w:cnfStyle w:val="0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5200 &amp;/or imp</w:t>
            </w:r>
          </w:p>
        </w:tc>
        <w:tc>
          <w:tcPr>
            <w:tcW w:w="146" w:type="pct"/>
            <w:shd w:val="clear" w:color="auto" w:fill="DAEEF3" w:themeFill="accent5" w:themeFillTint="33"/>
          </w:tcPr>
          <w:p w:rsidR="00482348" w:rsidRPr="00733993" w:rsidRDefault="00482348" w:rsidP="004316DC">
            <w:pPr>
              <w:jc w:val="both"/>
              <w:cnfStyle w:val="0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36</w:t>
            </w:r>
          </w:p>
        </w:tc>
        <w:tc>
          <w:tcPr>
            <w:tcW w:w="247" w:type="pct"/>
            <w:shd w:val="clear" w:color="auto" w:fill="DAEEF3" w:themeFill="accent5" w:themeFillTint="33"/>
          </w:tcPr>
          <w:p w:rsidR="00482348" w:rsidRPr="00733993" w:rsidRDefault="00482348" w:rsidP="004316DC">
            <w:pPr>
              <w:jc w:val="both"/>
              <w:cnfStyle w:val="0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6 &amp;/or fine</w:t>
            </w:r>
          </w:p>
        </w:tc>
        <w:tc>
          <w:tcPr>
            <w:tcW w:w="223" w:type="pct"/>
          </w:tcPr>
          <w:p w:rsidR="00482348" w:rsidRPr="00733993" w:rsidRDefault="00482348" w:rsidP="004316DC">
            <w:pPr>
              <w:jc w:val="both"/>
              <w:cnfStyle w:val="0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3664 or imp</w:t>
            </w:r>
          </w:p>
        </w:tc>
        <w:tc>
          <w:tcPr>
            <w:tcW w:w="272" w:type="pct"/>
          </w:tcPr>
          <w:p w:rsidR="00482348" w:rsidRPr="00733993" w:rsidRDefault="00482348" w:rsidP="004316DC">
            <w:pPr>
              <w:jc w:val="both"/>
              <w:cnfStyle w:val="0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court ordered</w:t>
            </w:r>
          </w:p>
        </w:tc>
        <w:tc>
          <w:tcPr>
            <w:tcW w:w="247" w:type="pct"/>
          </w:tcPr>
          <w:p w:rsidR="00482348" w:rsidRPr="00733993" w:rsidRDefault="00482348" w:rsidP="004316DC">
            <w:pPr>
              <w:jc w:val="both"/>
              <w:cnfStyle w:val="0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4 or fine</w:t>
            </w:r>
          </w:p>
        </w:tc>
      </w:tr>
      <w:tr w:rsidR="00885C01" w:rsidRPr="00733993" w:rsidTr="006D5871">
        <w:trPr>
          <w:cnfStyle w:val="000000100000"/>
          <w:trHeight w:val="846"/>
        </w:trPr>
        <w:tc>
          <w:tcPr>
            <w:cnfStyle w:val="001000000000"/>
            <w:tcW w:w="363" w:type="pct"/>
          </w:tcPr>
          <w:p w:rsidR="00482348" w:rsidRPr="00733993" w:rsidRDefault="00482348" w:rsidP="004316DC">
            <w:pPr>
              <w:jc w:val="both"/>
              <w:rPr>
                <w:rFonts w:asciiTheme="minorHAnsi" w:eastAsiaTheme="minorEastAsia" w:hAnsiTheme="minorHAnsi" w:cs="Arial"/>
                <w:sz w:val="16"/>
                <w:szCs w:val="16"/>
              </w:rPr>
            </w:pPr>
            <w:r w:rsidRPr="00733993">
              <w:rPr>
                <w:rFonts w:asciiTheme="minorHAnsi" w:eastAsiaTheme="minorEastAsia" w:hAnsiTheme="minorHAnsi" w:cs="Arial"/>
                <w:sz w:val="16"/>
                <w:szCs w:val="16"/>
              </w:rPr>
              <w:t>Subsequent offence</w:t>
            </w:r>
          </w:p>
        </w:tc>
        <w:tc>
          <w:tcPr>
            <w:tcW w:w="224"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4000 &amp;/or imp</w:t>
            </w:r>
          </w:p>
        </w:tc>
        <w:tc>
          <w:tcPr>
            <w:tcW w:w="179"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9-36</w:t>
            </w:r>
          </w:p>
        </w:tc>
        <w:tc>
          <w:tcPr>
            <w:tcW w:w="247"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18 &amp;/or fine</w:t>
            </w:r>
          </w:p>
        </w:tc>
        <w:tc>
          <w:tcPr>
            <w:tcW w:w="224"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5500 &amp;/or imp</w:t>
            </w:r>
          </w:p>
        </w:tc>
        <w:tc>
          <w:tcPr>
            <w:tcW w:w="146"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24</w:t>
            </w:r>
          </w:p>
        </w:tc>
        <w:tc>
          <w:tcPr>
            <w:tcW w:w="247"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24 &amp;/or fine</w:t>
            </w:r>
          </w:p>
        </w:tc>
        <w:tc>
          <w:tcPr>
            <w:tcW w:w="223"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w:t>
            </w:r>
          </w:p>
        </w:tc>
        <w:tc>
          <w:tcPr>
            <w:tcW w:w="273"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court ordered</w:t>
            </w:r>
          </w:p>
        </w:tc>
        <w:tc>
          <w:tcPr>
            <w:tcW w:w="247"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12</w:t>
            </w:r>
          </w:p>
        </w:tc>
        <w:tc>
          <w:tcPr>
            <w:tcW w:w="223"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6000 or imp</w:t>
            </w:r>
          </w:p>
        </w:tc>
        <w:tc>
          <w:tcPr>
            <w:tcW w:w="179"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6-60</w:t>
            </w:r>
          </w:p>
        </w:tc>
        <w:tc>
          <w:tcPr>
            <w:tcW w:w="247"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18 or fine</w:t>
            </w:r>
          </w:p>
        </w:tc>
        <w:tc>
          <w:tcPr>
            <w:tcW w:w="223"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w:t>
            </w:r>
          </w:p>
        </w:tc>
        <w:tc>
          <w:tcPr>
            <w:tcW w:w="146"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w:t>
            </w:r>
          </w:p>
        </w:tc>
        <w:tc>
          <w:tcPr>
            <w:tcW w:w="247"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24</w:t>
            </w:r>
          </w:p>
        </w:tc>
        <w:tc>
          <w:tcPr>
            <w:tcW w:w="228" w:type="pct"/>
            <w:shd w:val="clear" w:color="auto" w:fill="DAEEF3" w:themeFill="accent5" w:themeFillTint="33"/>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10 400 &amp;/or imp</w:t>
            </w:r>
          </w:p>
        </w:tc>
        <w:tc>
          <w:tcPr>
            <w:tcW w:w="146" w:type="pct"/>
            <w:shd w:val="clear" w:color="auto" w:fill="DAEEF3" w:themeFill="accent5" w:themeFillTint="33"/>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60</w:t>
            </w:r>
          </w:p>
        </w:tc>
        <w:tc>
          <w:tcPr>
            <w:tcW w:w="247" w:type="pct"/>
            <w:shd w:val="clear" w:color="auto" w:fill="DAEEF3" w:themeFill="accent5" w:themeFillTint="33"/>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12 &amp;/or fine</w:t>
            </w:r>
          </w:p>
        </w:tc>
        <w:tc>
          <w:tcPr>
            <w:tcW w:w="223"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29 314 or imp</w:t>
            </w:r>
          </w:p>
        </w:tc>
        <w:tc>
          <w:tcPr>
            <w:tcW w:w="272"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court ordered</w:t>
            </w:r>
          </w:p>
        </w:tc>
        <w:tc>
          <w:tcPr>
            <w:tcW w:w="247"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24 or fine</w:t>
            </w:r>
          </w:p>
        </w:tc>
      </w:tr>
    </w:tbl>
    <w:p w:rsidR="00482348" w:rsidRPr="0003049B" w:rsidRDefault="00482348" w:rsidP="004316DC">
      <w:pPr>
        <w:spacing w:after="0" w:line="240" w:lineRule="auto"/>
        <w:jc w:val="both"/>
        <w:rPr>
          <w:rFonts w:cs="Arial"/>
          <w:b/>
          <w:caps/>
          <w:sz w:val="24"/>
          <w:szCs w:val="28"/>
        </w:rPr>
      </w:pPr>
      <w:r w:rsidRPr="0003049B">
        <w:rPr>
          <w:rFonts w:cs="Arial"/>
          <w:b/>
          <w:caps/>
          <w:sz w:val="24"/>
          <w:szCs w:val="28"/>
        </w:rPr>
        <w:t>Penalties for driving while Suspended</w:t>
      </w:r>
    </w:p>
    <w:tbl>
      <w:tblPr>
        <w:tblStyle w:val="LightList-Accent5"/>
        <w:tblW w:w="5000" w:type="pct"/>
        <w:tblLook w:val="04A0"/>
      </w:tblPr>
      <w:tblGrid>
        <w:gridCol w:w="1242"/>
        <w:gridCol w:w="587"/>
        <w:gridCol w:w="559"/>
        <w:gridCol w:w="642"/>
        <w:gridCol w:w="587"/>
        <w:gridCol w:w="562"/>
        <w:gridCol w:w="642"/>
        <w:gridCol w:w="587"/>
        <w:gridCol w:w="603"/>
        <w:gridCol w:w="642"/>
        <w:gridCol w:w="587"/>
        <w:gridCol w:w="740"/>
        <w:gridCol w:w="642"/>
        <w:gridCol w:w="587"/>
        <w:gridCol w:w="562"/>
        <w:gridCol w:w="642"/>
        <w:gridCol w:w="587"/>
        <w:gridCol w:w="563"/>
        <w:gridCol w:w="642"/>
        <w:gridCol w:w="587"/>
        <w:gridCol w:w="740"/>
        <w:gridCol w:w="642"/>
      </w:tblGrid>
      <w:tr w:rsidR="00482348" w:rsidRPr="00733993" w:rsidTr="006D5871">
        <w:trPr>
          <w:cnfStyle w:val="100000000000"/>
        </w:trPr>
        <w:tc>
          <w:tcPr>
            <w:cnfStyle w:val="001000000000"/>
            <w:tcW w:w="440" w:type="pct"/>
          </w:tcPr>
          <w:p w:rsidR="00482348" w:rsidRPr="00733993" w:rsidRDefault="00482348" w:rsidP="004316DC">
            <w:pPr>
              <w:jc w:val="both"/>
              <w:rPr>
                <w:rFonts w:asciiTheme="minorHAnsi" w:eastAsiaTheme="minorEastAsia" w:hAnsiTheme="minorHAnsi" w:cs="Arial"/>
                <w:sz w:val="16"/>
                <w:szCs w:val="16"/>
              </w:rPr>
            </w:pPr>
          </w:p>
        </w:tc>
        <w:tc>
          <w:tcPr>
            <w:tcW w:w="631" w:type="pct"/>
            <w:gridSpan w:val="3"/>
          </w:tcPr>
          <w:p w:rsidR="00482348" w:rsidRPr="00733993" w:rsidRDefault="00482348" w:rsidP="004316DC">
            <w:pPr>
              <w:jc w:val="both"/>
              <w:cnfStyle w:val="1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WA</w:t>
            </w:r>
          </w:p>
        </w:tc>
        <w:tc>
          <w:tcPr>
            <w:tcW w:w="633" w:type="pct"/>
            <w:gridSpan w:val="3"/>
          </w:tcPr>
          <w:p w:rsidR="00482348" w:rsidRPr="00733993" w:rsidRDefault="00482348" w:rsidP="004316DC">
            <w:pPr>
              <w:jc w:val="both"/>
              <w:cnfStyle w:val="1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NSW</w:t>
            </w:r>
          </w:p>
        </w:tc>
        <w:tc>
          <w:tcPr>
            <w:tcW w:w="648" w:type="pct"/>
            <w:gridSpan w:val="3"/>
          </w:tcPr>
          <w:p w:rsidR="00482348" w:rsidRPr="00733993" w:rsidRDefault="00482348" w:rsidP="004316DC">
            <w:pPr>
              <w:jc w:val="both"/>
              <w:cnfStyle w:val="1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NT</w:t>
            </w:r>
          </w:p>
        </w:tc>
        <w:tc>
          <w:tcPr>
            <w:tcW w:w="692" w:type="pct"/>
            <w:gridSpan w:val="3"/>
          </w:tcPr>
          <w:p w:rsidR="00482348" w:rsidRPr="00733993" w:rsidRDefault="00482348" w:rsidP="004316DC">
            <w:pPr>
              <w:jc w:val="both"/>
              <w:cnfStyle w:val="1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QLD</w:t>
            </w:r>
          </w:p>
        </w:tc>
        <w:tc>
          <w:tcPr>
            <w:tcW w:w="632" w:type="pct"/>
            <w:gridSpan w:val="3"/>
          </w:tcPr>
          <w:p w:rsidR="00482348" w:rsidRPr="00733993" w:rsidRDefault="00482348" w:rsidP="004316DC">
            <w:pPr>
              <w:jc w:val="both"/>
              <w:cnfStyle w:val="1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SA</w:t>
            </w:r>
          </w:p>
        </w:tc>
        <w:tc>
          <w:tcPr>
            <w:tcW w:w="632" w:type="pct"/>
            <w:gridSpan w:val="3"/>
          </w:tcPr>
          <w:p w:rsidR="00482348" w:rsidRPr="00733993" w:rsidRDefault="00482348" w:rsidP="004316DC">
            <w:pPr>
              <w:jc w:val="both"/>
              <w:cnfStyle w:val="1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TAS</w:t>
            </w:r>
          </w:p>
        </w:tc>
        <w:tc>
          <w:tcPr>
            <w:tcW w:w="692" w:type="pct"/>
            <w:gridSpan w:val="3"/>
          </w:tcPr>
          <w:p w:rsidR="00482348" w:rsidRPr="00733993" w:rsidRDefault="00482348" w:rsidP="004316DC">
            <w:pPr>
              <w:jc w:val="both"/>
              <w:cnfStyle w:val="1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VIC</w:t>
            </w:r>
          </w:p>
        </w:tc>
      </w:tr>
      <w:tr w:rsidR="00885C01" w:rsidRPr="00733993" w:rsidTr="006D5871">
        <w:trPr>
          <w:cnfStyle w:val="000000100000"/>
          <w:trHeight w:val="631"/>
        </w:trPr>
        <w:tc>
          <w:tcPr>
            <w:cnfStyle w:val="001000000000"/>
            <w:tcW w:w="440" w:type="pct"/>
          </w:tcPr>
          <w:p w:rsidR="00482348" w:rsidRPr="00733993" w:rsidRDefault="00482348" w:rsidP="004316DC">
            <w:pPr>
              <w:jc w:val="both"/>
              <w:rPr>
                <w:rFonts w:asciiTheme="minorHAnsi" w:eastAsiaTheme="minorEastAsia" w:hAnsiTheme="minorHAnsi" w:cs="Arial"/>
                <w:sz w:val="16"/>
                <w:szCs w:val="16"/>
              </w:rPr>
            </w:pPr>
          </w:p>
        </w:tc>
        <w:tc>
          <w:tcPr>
            <w:tcW w:w="206"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Fine ($) (max)</w:t>
            </w:r>
          </w:p>
        </w:tc>
        <w:tc>
          <w:tcPr>
            <w:tcW w:w="199"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Dis</w:t>
            </w:r>
          </w:p>
        </w:tc>
        <w:tc>
          <w:tcPr>
            <w:tcW w:w="226"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Imp (mths) (max)</w:t>
            </w:r>
          </w:p>
        </w:tc>
        <w:tc>
          <w:tcPr>
            <w:tcW w:w="206"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Fine ($) (max)</w:t>
            </w:r>
          </w:p>
        </w:tc>
        <w:tc>
          <w:tcPr>
            <w:tcW w:w="200"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Dis</w:t>
            </w:r>
          </w:p>
        </w:tc>
        <w:tc>
          <w:tcPr>
            <w:tcW w:w="226"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Imp (mths) (max)</w:t>
            </w:r>
          </w:p>
        </w:tc>
        <w:tc>
          <w:tcPr>
            <w:tcW w:w="206"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Fine ($) (max)</w:t>
            </w:r>
          </w:p>
        </w:tc>
        <w:tc>
          <w:tcPr>
            <w:tcW w:w="216"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Dis</w:t>
            </w:r>
          </w:p>
        </w:tc>
        <w:tc>
          <w:tcPr>
            <w:tcW w:w="226"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Imp (mths) (max)</w:t>
            </w:r>
          </w:p>
        </w:tc>
        <w:tc>
          <w:tcPr>
            <w:tcW w:w="206"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Fine ($) (max)</w:t>
            </w:r>
          </w:p>
        </w:tc>
        <w:tc>
          <w:tcPr>
            <w:tcW w:w="260"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Dis</w:t>
            </w:r>
          </w:p>
        </w:tc>
        <w:tc>
          <w:tcPr>
            <w:tcW w:w="226"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Imp (mths) (max)</w:t>
            </w:r>
          </w:p>
        </w:tc>
        <w:tc>
          <w:tcPr>
            <w:tcW w:w="206"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Fine ($) (max)</w:t>
            </w:r>
          </w:p>
        </w:tc>
        <w:tc>
          <w:tcPr>
            <w:tcW w:w="200"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Dis</w:t>
            </w:r>
          </w:p>
        </w:tc>
        <w:tc>
          <w:tcPr>
            <w:tcW w:w="226"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Imp (mths) (max)</w:t>
            </w:r>
          </w:p>
        </w:tc>
        <w:tc>
          <w:tcPr>
            <w:tcW w:w="206" w:type="pct"/>
            <w:shd w:val="clear" w:color="auto" w:fill="DAEEF3" w:themeFill="accent5" w:themeFillTint="33"/>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Fine ($) (max)</w:t>
            </w:r>
          </w:p>
        </w:tc>
        <w:tc>
          <w:tcPr>
            <w:tcW w:w="200" w:type="pct"/>
            <w:shd w:val="clear" w:color="auto" w:fill="DAEEF3" w:themeFill="accent5" w:themeFillTint="33"/>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Dis</w:t>
            </w:r>
          </w:p>
        </w:tc>
        <w:tc>
          <w:tcPr>
            <w:tcW w:w="226" w:type="pct"/>
            <w:shd w:val="clear" w:color="auto" w:fill="DAEEF3" w:themeFill="accent5" w:themeFillTint="33"/>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Imp (mths) (max)</w:t>
            </w:r>
          </w:p>
        </w:tc>
        <w:tc>
          <w:tcPr>
            <w:tcW w:w="206"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Fine ($) (max)</w:t>
            </w:r>
          </w:p>
        </w:tc>
        <w:tc>
          <w:tcPr>
            <w:tcW w:w="260"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Dis</w:t>
            </w:r>
          </w:p>
        </w:tc>
        <w:tc>
          <w:tcPr>
            <w:tcW w:w="226"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Imp (mths) (max)</w:t>
            </w:r>
          </w:p>
        </w:tc>
      </w:tr>
      <w:tr w:rsidR="00885C01" w:rsidRPr="00733993" w:rsidTr="006D5871">
        <w:trPr>
          <w:trHeight w:val="864"/>
        </w:trPr>
        <w:tc>
          <w:tcPr>
            <w:cnfStyle w:val="001000000000"/>
            <w:tcW w:w="440" w:type="pct"/>
          </w:tcPr>
          <w:p w:rsidR="00482348" w:rsidRPr="00733993" w:rsidRDefault="00482348" w:rsidP="004316DC">
            <w:pPr>
              <w:jc w:val="both"/>
              <w:rPr>
                <w:rFonts w:asciiTheme="minorHAnsi" w:eastAsiaTheme="minorEastAsia" w:hAnsiTheme="minorHAnsi" w:cs="Arial"/>
                <w:sz w:val="16"/>
                <w:szCs w:val="16"/>
              </w:rPr>
            </w:pPr>
            <w:r w:rsidRPr="00733993">
              <w:rPr>
                <w:rFonts w:asciiTheme="minorHAnsi" w:eastAsiaTheme="minorEastAsia" w:hAnsiTheme="minorHAnsi" w:cs="Arial"/>
                <w:sz w:val="16"/>
                <w:szCs w:val="16"/>
              </w:rPr>
              <w:t>1st offence</w:t>
            </w:r>
          </w:p>
        </w:tc>
        <w:tc>
          <w:tcPr>
            <w:tcW w:w="206" w:type="pct"/>
          </w:tcPr>
          <w:p w:rsidR="00482348" w:rsidRPr="00733993" w:rsidRDefault="00482348" w:rsidP="004316DC">
            <w:pPr>
              <w:jc w:val="both"/>
              <w:cnfStyle w:val="0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2000 &amp;/or imp</w:t>
            </w:r>
          </w:p>
        </w:tc>
        <w:tc>
          <w:tcPr>
            <w:tcW w:w="199" w:type="pct"/>
          </w:tcPr>
          <w:p w:rsidR="00482348" w:rsidRPr="00733993" w:rsidRDefault="00482348" w:rsidP="004316DC">
            <w:pPr>
              <w:jc w:val="both"/>
              <w:cnfStyle w:val="0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9-36</w:t>
            </w:r>
          </w:p>
        </w:tc>
        <w:tc>
          <w:tcPr>
            <w:tcW w:w="226" w:type="pct"/>
          </w:tcPr>
          <w:p w:rsidR="00482348" w:rsidRPr="00733993" w:rsidRDefault="00482348" w:rsidP="004316DC">
            <w:pPr>
              <w:jc w:val="both"/>
              <w:cnfStyle w:val="0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6 &amp;/or fine</w:t>
            </w:r>
          </w:p>
        </w:tc>
        <w:tc>
          <w:tcPr>
            <w:tcW w:w="206" w:type="pct"/>
          </w:tcPr>
          <w:p w:rsidR="00482348" w:rsidRPr="00733993" w:rsidRDefault="00482348" w:rsidP="004316DC">
            <w:pPr>
              <w:jc w:val="both"/>
              <w:cnfStyle w:val="0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3300 &amp;/or imp</w:t>
            </w:r>
          </w:p>
        </w:tc>
        <w:tc>
          <w:tcPr>
            <w:tcW w:w="200" w:type="pct"/>
          </w:tcPr>
          <w:p w:rsidR="00482348" w:rsidRPr="00733993" w:rsidRDefault="00482348" w:rsidP="004316DC">
            <w:pPr>
              <w:jc w:val="both"/>
              <w:cnfStyle w:val="0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3-12</w:t>
            </w:r>
          </w:p>
        </w:tc>
        <w:tc>
          <w:tcPr>
            <w:tcW w:w="226" w:type="pct"/>
          </w:tcPr>
          <w:p w:rsidR="00482348" w:rsidRPr="00733993" w:rsidRDefault="00482348" w:rsidP="004316DC">
            <w:pPr>
              <w:jc w:val="both"/>
              <w:cnfStyle w:val="0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18 &amp;/or fine</w:t>
            </w:r>
          </w:p>
        </w:tc>
        <w:tc>
          <w:tcPr>
            <w:tcW w:w="206" w:type="pct"/>
          </w:tcPr>
          <w:p w:rsidR="00482348" w:rsidRPr="00733993" w:rsidRDefault="00482348" w:rsidP="004316DC">
            <w:pPr>
              <w:jc w:val="both"/>
              <w:cnfStyle w:val="0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4500 or imp</w:t>
            </w:r>
          </w:p>
        </w:tc>
        <w:tc>
          <w:tcPr>
            <w:tcW w:w="216" w:type="pct"/>
          </w:tcPr>
          <w:p w:rsidR="00482348" w:rsidRPr="00733993" w:rsidRDefault="00482348" w:rsidP="004316DC">
            <w:pPr>
              <w:jc w:val="both"/>
              <w:cnfStyle w:val="0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6</w:t>
            </w:r>
          </w:p>
        </w:tc>
        <w:tc>
          <w:tcPr>
            <w:tcW w:w="226" w:type="pct"/>
          </w:tcPr>
          <w:p w:rsidR="00482348" w:rsidRPr="00733993" w:rsidRDefault="00482348" w:rsidP="004316DC">
            <w:pPr>
              <w:jc w:val="both"/>
              <w:cnfStyle w:val="0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3 or fine</w:t>
            </w:r>
          </w:p>
        </w:tc>
        <w:tc>
          <w:tcPr>
            <w:tcW w:w="206" w:type="pct"/>
          </w:tcPr>
          <w:p w:rsidR="00482348" w:rsidRPr="00733993" w:rsidRDefault="00482348" w:rsidP="004316DC">
            <w:pPr>
              <w:jc w:val="both"/>
              <w:cnfStyle w:val="0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2740 or imp</w:t>
            </w:r>
          </w:p>
        </w:tc>
        <w:tc>
          <w:tcPr>
            <w:tcW w:w="260" w:type="pct"/>
          </w:tcPr>
          <w:p w:rsidR="00482348" w:rsidRPr="00733993" w:rsidRDefault="00482348" w:rsidP="004316DC">
            <w:pPr>
              <w:jc w:val="both"/>
              <w:cnfStyle w:val="0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court ordered</w:t>
            </w:r>
          </w:p>
        </w:tc>
        <w:tc>
          <w:tcPr>
            <w:tcW w:w="226" w:type="pct"/>
          </w:tcPr>
          <w:p w:rsidR="00482348" w:rsidRPr="00733993" w:rsidRDefault="00482348" w:rsidP="004316DC">
            <w:pPr>
              <w:jc w:val="both"/>
              <w:cnfStyle w:val="0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12 or fine</w:t>
            </w:r>
          </w:p>
        </w:tc>
        <w:tc>
          <w:tcPr>
            <w:tcW w:w="206" w:type="pct"/>
          </w:tcPr>
          <w:p w:rsidR="00482348" w:rsidRPr="00733993" w:rsidRDefault="00482348" w:rsidP="004316DC">
            <w:pPr>
              <w:jc w:val="both"/>
              <w:cnfStyle w:val="0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4000 or imp</w:t>
            </w:r>
          </w:p>
        </w:tc>
        <w:tc>
          <w:tcPr>
            <w:tcW w:w="200" w:type="pct"/>
          </w:tcPr>
          <w:p w:rsidR="00482348" w:rsidRPr="00733993" w:rsidRDefault="00482348" w:rsidP="004316DC">
            <w:pPr>
              <w:jc w:val="both"/>
              <w:cnfStyle w:val="0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1-60</w:t>
            </w:r>
          </w:p>
        </w:tc>
        <w:tc>
          <w:tcPr>
            <w:tcW w:w="226" w:type="pct"/>
          </w:tcPr>
          <w:p w:rsidR="00482348" w:rsidRPr="00733993" w:rsidRDefault="00482348" w:rsidP="004316DC">
            <w:pPr>
              <w:jc w:val="both"/>
              <w:cnfStyle w:val="0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12 or fine</w:t>
            </w:r>
          </w:p>
        </w:tc>
        <w:tc>
          <w:tcPr>
            <w:tcW w:w="206" w:type="pct"/>
            <w:shd w:val="clear" w:color="auto" w:fill="DAEEF3" w:themeFill="accent5" w:themeFillTint="33"/>
          </w:tcPr>
          <w:p w:rsidR="00482348" w:rsidRPr="00733993" w:rsidRDefault="00482348" w:rsidP="004316DC">
            <w:pPr>
              <w:jc w:val="both"/>
              <w:cnfStyle w:val="0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3900 or imp</w:t>
            </w:r>
          </w:p>
        </w:tc>
        <w:tc>
          <w:tcPr>
            <w:tcW w:w="200" w:type="pct"/>
            <w:shd w:val="clear" w:color="auto" w:fill="DAEEF3" w:themeFill="accent5" w:themeFillTint="33"/>
          </w:tcPr>
          <w:p w:rsidR="00482348" w:rsidRPr="00733993" w:rsidRDefault="00482348" w:rsidP="004316DC">
            <w:pPr>
              <w:jc w:val="both"/>
              <w:cnfStyle w:val="0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w:t>
            </w:r>
          </w:p>
        </w:tc>
        <w:tc>
          <w:tcPr>
            <w:tcW w:w="226" w:type="pct"/>
            <w:shd w:val="clear" w:color="auto" w:fill="DAEEF3" w:themeFill="accent5" w:themeFillTint="33"/>
          </w:tcPr>
          <w:p w:rsidR="00482348" w:rsidRPr="00733993" w:rsidRDefault="00482348" w:rsidP="004316DC">
            <w:pPr>
              <w:jc w:val="both"/>
              <w:cnfStyle w:val="0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3 or fine</w:t>
            </w:r>
          </w:p>
        </w:tc>
        <w:tc>
          <w:tcPr>
            <w:tcW w:w="206" w:type="pct"/>
          </w:tcPr>
          <w:p w:rsidR="00482348" w:rsidRPr="00733993" w:rsidRDefault="00482348" w:rsidP="004316DC">
            <w:pPr>
              <w:jc w:val="both"/>
              <w:cnfStyle w:val="0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1221 - 3664 or imp</w:t>
            </w:r>
          </w:p>
        </w:tc>
        <w:tc>
          <w:tcPr>
            <w:tcW w:w="260" w:type="pct"/>
          </w:tcPr>
          <w:p w:rsidR="00482348" w:rsidRPr="00733993" w:rsidRDefault="00482348" w:rsidP="004316DC">
            <w:pPr>
              <w:jc w:val="both"/>
              <w:cnfStyle w:val="0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court ordered</w:t>
            </w:r>
          </w:p>
        </w:tc>
        <w:tc>
          <w:tcPr>
            <w:tcW w:w="226" w:type="pct"/>
          </w:tcPr>
          <w:p w:rsidR="00482348" w:rsidRPr="00733993" w:rsidRDefault="00482348" w:rsidP="004316DC">
            <w:pPr>
              <w:jc w:val="both"/>
              <w:cnfStyle w:val="0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4 or fine</w:t>
            </w:r>
          </w:p>
        </w:tc>
      </w:tr>
      <w:tr w:rsidR="00885C01" w:rsidRPr="00733993" w:rsidTr="006D5871">
        <w:trPr>
          <w:cnfStyle w:val="000000100000"/>
          <w:trHeight w:val="746"/>
        </w:trPr>
        <w:tc>
          <w:tcPr>
            <w:cnfStyle w:val="001000000000"/>
            <w:tcW w:w="440" w:type="pct"/>
          </w:tcPr>
          <w:p w:rsidR="00482348" w:rsidRPr="00733993" w:rsidRDefault="00482348" w:rsidP="004316DC">
            <w:pPr>
              <w:jc w:val="both"/>
              <w:rPr>
                <w:rFonts w:asciiTheme="minorHAnsi" w:eastAsiaTheme="minorEastAsia" w:hAnsiTheme="minorHAnsi" w:cs="Arial"/>
                <w:sz w:val="16"/>
                <w:szCs w:val="16"/>
              </w:rPr>
            </w:pPr>
            <w:r w:rsidRPr="00733993">
              <w:rPr>
                <w:rFonts w:asciiTheme="minorHAnsi" w:eastAsiaTheme="minorEastAsia" w:hAnsiTheme="minorHAnsi" w:cs="Arial"/>
                <w:sz w:val="16"/>
                <w:szCs w:val="16"/>
              </w:rPr>
              <w:t>Subsequent offence</w:t>
            </w:r>
          </w:p>
        </w:tc>
        <w:tc>
          <w:tcPr>
            <w:tcW w:w="206"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4000 &amp;/or imp</w:t>
            </w:r>
          </w:p>
        </w:tc>
        <w:tc>
          <w:tcPr>
            <w:tcW w:w="199"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9-36</w:t>
            </w:r>
          </w:p>
        </w:tc>
        <w:tc>
          <w:tcPr>
            <w:tcW w:w="226"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18 &amp;/or fine</w:t>
            </w:r>
          </w:p>
        </w:tc>
        <w:tc>
          <w:tcPr>
            <w:tcW w:w="206"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5500 &amp;/or imp</w:t>
            </w:r>
          </w:p>
        </w:tc>
        <w:tc>
          <w:tcPr>
            <w:tcW w:w="200"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24</w:t>
            </w:r>
          </w:p>
        </w:tc>
        <w:tc>
          <w:tcPr>
            <w:tcW w:w="226"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24 &amp;/or fine</w:t>
            </w:r>
          </w:p>
        </w:tc>
        <w:tc>
          <w:tcPr>
            <w:tcW w:w="206"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6000 or imp</w:t>
            </w:r>
          </w:p>
        </w:tc>
        <w:tc>
          <w:tcPr>
            <w:tcW w:w="216"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12</w:t>
            </w:r>
          </w:p>
        </w:tc>
        <w:tc>
          <w:tcPr>
            <w:tcW w:w="226"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24 or fine</w:t>
            </w:r>
          </w:p>
        </w:tc>
        <w:tc>
          <w:tcPr>
            <w:tcW w:w="206"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2740 or imp</w:t>
            </w:r>
          </w:p>
        </w:tc>
        <w:tc>
          <w:tcPr>
            <w:tcW w:w="260"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court ordered</w:t>
            </w:r>
          </w:p>
        </w:tc>
        <w:tc>
          <w:tcPr>
            <w:tcW w:w="226"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12 or fine</w:t>
            </w:r>
          </w:p>
        </w:tc>
        <w:tc>
          <w:tcPr>
            <w:tcW w:w="206"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4000 or imp</w:t>
            </w:r>
          </w:p>
        </w:tc>
        <w:tc>
          <w:tcPr>
            <w:tcW w:w="200"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1-60</w:t>
            </w:r>
          </w:p>
        </w:tc>
        <w:tc>
          <w:tcPr>
            <w:tcW w:w="226"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12 or fine</w:t>
            </w:r>
          </w:p>
        </w:tc>
        <w:tc>
          <w:tcPr>
            <w:tcW w:w="206" w:type="pct"/>
            <w:shd w:val="clear" w:color="auto" w:fill="DAEEF3" w:themeFill="accent5" w:themeFillTint="33"/>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7800 or imp</w:t>
            </w:r>
          </w:p>
        </w:tc>
        <w:tc>
          <w:tcPr>
            <w:tcW w:w="200" w:type="pct"/>
            <w:shd w:val="clear" w:color="auto" w:fill="DAEEF3" w:themeFill="accent5" w:themeFillTint="33"/>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w:t>
            </w:r>
          </w:p>
        </w:tc>
        <w:tc>
          <w:tcPr>
            <w:tcW w:w="226" w:type="pct"/>
            <w:shd w:val="clear" w:color="auto" w:fill="DAEEF3" w:themeFill="accent5" w:themeFillTint="33"/>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6 or fine</w:t>
            </w:r>
          </w:p>
        </w:tc>
        <w:tc>
          <w:tcPr>
            <w:tcW w:w="206"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1221 - 29 314 or imp</w:t>
            </w:r>
          </w:p>
        </w:tc>
        <w:tc>
          <w:tcPr>
            <w:tcW w:w="260"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court ordered</w:t>
            </w:r>
          </w:p>
        </w:tc>
        <w:tc>
          <w:tcPr>
            <w:tcW w:w="226"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24 or fine</w:t>
            </w:r>
          </w:p>
        </w:tc>
      </w:tr>
    </w:tbl>
    <w:p w:rsidR="00482348" w:rsidRPr="0003049B" w:rsidRDefault="00482348" w:rsidP="004316DC">
      <w:pPr>
        <w:spacing w:after="0" w:line="240" w:lineRule="auto"/>
        <w:jc w:val="both"/>
        <w:rPr>
          <w:rFonts w:cs="Arial"/>
          <w:b/>
          <w:caps/>
          <w:sz w:val="24"/>
          <w:szCs w:val="24"/>
        </w:rPr>
      </w:pPr>
      <w:r w:rsidRPr="0003049B">
        <w:rPr>
          <w:rFonts w:cs="Arial"/>
          <w:b/>
          <w:caps/>
          <w:sz w:val="24"/>
          <w:szCs w:val="24"/>
        </w:rPr>
        <w:t>Penalties for driving without a licence</w:t>
      </w:r>
    </w:p>
    <w:tbl>
      <w:tblPr>
        <w:tblStyle w:val="LightList-Accent5"/>
        <w:tblW w:w="5000" w:type="pct"/>
        <w:tblLook w:val="04A0"/>
      </w:tblPr>
      <w:tblGrid>
        <w:gridCol w:w="875"/>
        <w:gridCol w:w="657"/>
        <w:gridCol w:w="414"/>
        <w:gridCol w:w="733"/>
        <w:gridCol w:w="657"/>
        <w:gridCol w:w="458"/>
        <w:gridCol w:w="736"/>
        <w:gridCol w:w="658"/>
        <w:gridCol w:w="652"/>
        <w:gridCol w:w="734"/>
        <w:gridCol w:w="658"/>
        <w:gridCol w:w="505"/>
        <w:gridCol w:w="737"/>
        <w:gridCol w:w="658"/>
        <w:gridCol w:w="458"/>
        <w:gridCol w:w="737"/>
        <w:gridCol w:w="658"/>
        <w:gridCol w:w="414"/>
        <w:gridCol w:w="734"/>
        <w:gridCol w:w="658"/>
        <w:gridCol w:w="652"/>
        <w:gridCol w:w="731"/>
      </w:tblGrid>
      <w:tr w:rsidR="00482348" w:rsidRPr="00733993" w:rsidTr="006D5871">
        <w:trPr>
          <w:cnfStyle w:val="100000000000"/>
        </w:trPr>
        <w:tc>
          <w:tcPr>
            <w:cnfStyle w:val="001000000000"/>
            <w:tcW w:w="309" w:type="pct"/>
          </w:tcPr>
          <w:p w:rsidR="00482348" w:rsidRPr="00733993" w:rsidRDefault="00482348" w:rsidP="004316DC">
            <w:pPr>
              <w:jc w:val="both"/>
              <w:rPr>
                <w:rFonts w:asciiTheme="minorHAnsi" w:eastAsiaTheme="minorEastAsia" w:hAnsiTheme="minorHAnsi" w:cs="Arial"/>
                <w:sz w:val="16"/>
                <w:szCs w:val="16"/>
              </w:rPr>
            </w:pPr>
          </w:p>
        </w:tc>
        <w:tc>
          <w:tcPr>
            <w:tcW w:w="637" w:type="pct"/>
            <w:gridSpan w:val="3"/>
          </w:tcPr>
          <w:p w:rsidR="00482348" w:rsidRPr="00733993" w:rsidRDefault="00482348" w:rsidP="004316DC">
            <w:pPr>
              <w:jc w:val="both"/>
              <w:cnfStyle w:val="1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WA</w:t>
            </w:r>
          </w:p>
        </w:tc>
        <w:tc>
          <w:tcPr>
            <w:tcW w:w="653" w:type="pct"/>
            <w:gridSpan w:val="3"/>
          </w:tcPr>
          <w:p w:rsidR="00482348" w:rsidRPr="00733993" w:rsidRDefault="00482348" w:rsidP="004316DC">
            <w:pPr>
              <w:jc w:val="both"/>
              <w:cnfStyle w:val="1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NSW</w:t>
            </w:r>
          </w:p>
        </w:tc>
        <w:tc>
          <w:tcPr>
            <w:tcW w:w="721" w:type="pct"/>
            <w:gridSpan w:val="3"/>
          </w:tcPr>
          <w:p w:rsidR="00482348" w:rsidRPr="00733993" w:rsidRDefault="00482348" w:rsidP="004316DC">
            <w:pPr>
              <w:jc w:val="both"/>
              <w:cnfStyle w:val="1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NT</w:t>
            </w:r>
          </w:p>
        </w:tc>
        <w:tc>
          <w:tcPr>
            <w:tcW w:w="670" w:type="pct"/>
            <w:gridSpan w:val="3"/>
          </w:tcPr>
          <w:p w:rsidR="00482348" w:rsidRPr="00733993" w:rsidRDefault="00482348" w:rsidP="004316DC">
            <w:pPr>
              <w:jc w:val="both"/>
              <w:cnfStyle w:val="1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QLD</w:t>
            </w:r>
          </w:p>
        </w:tc>
        <w:tc>
          <w:tcPr>
            <w:tcW w:w="653" w:type="pct"/>
            <w:gridSpan w:val="3"/>
          </w:tcPr>
          <w:p w:rsidR="00482348" w:rsidRPr="00733993" w:rsidRDefault="00482348" w:rsidP="004316DC">
            <w:pPr>
              <w:jc w:val="both"/>
              <w:cnfStyle w:val="1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SA</w:t>
            </w:r>
          </w:p>
        </w:tc>
        <w:tc>
          <w:tcPr>
            <w:tcW w:w="637" w:type="pct"/>
            <w:gridSpan w:val="3"/>
          </w:tcPr>
          <w:p w:rsidR="00482348" w:rsidRPr="00733993" w:rsidRDefault="00482348" w:rsidP="004316DC">
            <w:pPr>
              <w:jc w:val="both"/>
              <w:cnfStyle w:val="1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TAS</w:t>
            </w:r>
          </w:p>
        </w:tc>
        <w:tc>
          <w:tcPr>
            <w:tcW w:w="721" w:type="pct"/>
            <w:gridSpan w:val="3"/>
          </w:tcPr>
          <w:p w:rsidR="00482348" w:rsidRPr="00733993" w:rsidRDefault="00482348" w:rsidP="004316DC">
            <w:pPr>
              <w:jc w:val="both"/>
              <w:cnfStyle w:val="1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VIC</w:t>
            </w:r>
          </w:p>
        </w:tc>
      </w:tr>
      <w:tr w:rsidR="00885C01" w:rsidRPr="00733993" w:rsidTr="006D5871">
        <w:trPr>
          <w:cnfStyle w:val="000000100000"/>
          <w:trHeight w:val="631"/>
        </w:trPr>
        <w:tc>
          <w:tcPr>
            <w:cnfStyle w:val="001000000000"/>
            <w:tcW w:w="309" w:type="pct"/>
          </w:tcPr>
          <w:p w:rsidR="00482348" w:rsidRPr="00733993" w:rsidRDefault="00482348" w:rsidP="004316DC">
            <w:pPr>
              <w:jc w:val="both"/>
              <w:rPr>
                <w:rFonts w:asciiTheme="minorHAnsi" w:eastAsiaTheme="minorEastAsia" w:hAnsiTheme="minorHAnsi" w:cs="Arial"/>
                <w:sz w:val="16"/>
                <w:szCs w:val="16"/>
              </w:rPr>
            </w:pPr>
          </w:p>
        </w:tc>
        <w:tc>
          <w:tcPr>
            <w:tcW w:w="232"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Fine ($) (max)</w:t>
            </w:r>
          </w:p>
        </w:tc>
        <w:tc>
          <w:tcPr>
            <w:tcW w:w="146"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Dis</w:t>
            </w:r>
          </w:p>
        </w:tc>
        <w:tc>
          <w:tcPr>
            <w:tcW w:w="259"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Imp (mths) (max)</w:t>
            </w:r>
          </w:p>
        </w:tc>
        <w:tc>
          <w:tcPr>
            <w:tcW w:w="232"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Fine ($) (max)</w:t>
            </w:r>
          </w:p>
        </w:tc>
        <w:tc>
          <w:tcPr>
            <w:tcW w:w="161"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Dis</w:t>
            </w:r>
          </w:p>
        </w:tc>
        <w:tc>
          <w:tcPr>
            <w:tcW w:w="259"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Imp (mths) (max)</w:t>
            </w:r>
          </w:p>
        </w:tc>
        <w:tc>
          <w:tcPr>
            <w:tcW w:w="232"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Fine ($) (max)</w:t>
            </w:r>
          </w:p>
        </w:tc>
        <w:tc>
          <w:tcPr>
            <w:tcW w:w="230"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Dis</w:t>
            </w:r>
          </w:p>
        </w:tc>
        <w:tc>
          <w:tcPr>
            <w:tcW w:w="259"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Imp (mths) (max)</w:t>
            </w:r>
          </w:p>
        </w:tc>
        <w:tc>
          <w:tcPr>
            <w:tcW w:w="232"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Fine ($) (max)</w:t>
            </w:r>
          </w:p>
        </w:tc>
        <w:tc>
          <w:tcPr>
            <w:tcW w:w="178"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Dis</w:t>
            </w:r>
          </w:p>
        </w:tc>
        <w:tc>
          <w:tcPr>
            <w:tcW w:w="259"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Imp (mths) (max)</w:t>
            </w:r>
          </w:p>
        </w:tc>
        <w:tc>
          <w:tcPr>
            <w:tcW w:w="232"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Fine ($) (max)</w:t>
            </w:r>
          </w:p>
        </w:tc>
        <w:tc>
          <w:tcPr>
            <w:tcW w:w="161"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Dis</w:t>
            </w:r>
          </w:p>
        </w:tc>
        <w:tc>
          <w:tcPr>
            <w:tcW w:w="259"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Imp (mths) (max)</w:t>
            </w:r>
          </w:p>
        </w:tc>
        <w:tc>
          <w:tcPr>
            <w:tcW w:w="232" w:type="pct"/>
            <w:shd w:val="clear" w:color="auto" w:fill="DAEEF3" w:themeFill="accent5" w:themeFillTint="33"/>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Fine ($) (max)</w:t>
            </w:r>
          </w:p>
        </w:tc>
        <w:tc>
          <w:tcPr>
            <w:tcW w:w="146" w:type="pct"/>
            <w:shd w:val="clear" w:color="auto" w:fill="DAEEF3" w:themeFill="accent5" w:themeFillTint="33"/>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Dis</w:t>
            </w:r>
          </w:p>
        </w:tc>
        <w:tc>
          <w:tcPr>
            <w:tcW w:w="259" w:type="pct"/>
            <w:shd w:val="clear" w:color="auto" w:fill="DAEEF3" w:themeFill="accent5" w:themeFillTint="33"/>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Imp (mths) (max)</w:t>
            </w:r>
          </w:p>
        </w:tc>
        <w:tc>
          <w:tcPr>
            <w:tcW w:w="232"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Fine ($) (max)</w:t>
            </w:r>
          </w:p>
        </w:tc>
        <w:tc>
          <w:tcPr>
            <w:tcW w:w="230"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Dis</w:t>
            </w:r>
          </w:p>
        </w:tc>
        <w:tc>
          <w:tcPr>
            <w:tcW w:w="259"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Imp (mths) (max)</w:t>
            </w:r>
          </w:p>
        </w:tc>
      </w:tr>
      <w:tr w:rsidR="00885C01" w:rsidRPr="00733993" w:rsidTr="006D5871">
        <w:tc>
          <w:tcPr>
            <w:cnfStyle w:val="001000000000"/>
            <w:tcW w:w="309" w:type="pct"/>
          </w:tcPr>
          <w:p w:rsidR="00482348" w:rsidRPr="00733993" w:rsidRDefault="00482348" w:rsidP="004316DC">
            <w:pPr>
              <w:jc w:val="both"/>
              <w:rPr>
                <w:rFonts w:asciiTheme="minorHAnsi" w:eastAsiaTheme="minorEastAsia" w:hAnsiTheme="minorHAnsi" w:cs="Arial"/>
                <w:sz w:val="16"/>
                <w:szCs w:val="16"/>
              </w:rPr>
            </w:pPr>
            <w:r w:rsidRPr="00733993">
              <w:rPr>
                <w:rFonts w:asciiTheme="minorHAnsi" w:eastAsiaTheme="minorEastAsia" w:hAnsiTheme="minorHAnsi" w:cs="Arial"/>
                <w:sz w:val="16"/>
                <w:szCs w:val="16"/>
              </w:rPr>
              <w:t xml:space="preserve">Previous </w:t>
            </w:r>
            <w:r w:rsidR="00E06D38">
              <w:rPr>
                <w:rFonts w:asciiTheme="minorHAnsi" w:eastAsiaTheme="minorEastAsia" w:hAnsiTheme="minorHAnsi" w:cs="Arial"/>
                <w:sz w:val="16"/>
                <w:szCs w:val="16"/>
              </w:rPr>
              <w:t>Licence</w:t>
            </w:r>
          </w:p>
        </w:tc>
        <w:tc>
          <w:tcPr>
            <w:tcW w:w="232" w:type="pct"/>
          </w:tcPr>
          <w:p w:rsidR="00482348" w:rsidRPr="00733993" w:rsidRDefault="00482348" w:rsidP="004316DC">
            <w:pPr>
              <w:jc w:val="both"/>
              <w:cnfStyle w:val="0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300</w:t>
            </w:r>
          </w:p>
        </w:tc>
        <w:tc>
          <w:tcPr>
            <w:tcW w:w="146" w:type="pct"/>
          </w:tcPr>
          <w:p w:rsidR="00482348" w:rsidRPr="00733993" w:rsidRDefault="00482348" w:rsidP="004316DC">
            <w:pPr>
              <w:jc w:val="both"/>
              <w:cnfStyle w:val="000000000000"/>
              <w:rPr>
                <w:rFonts w:asciiTheme="minorHAnsi" w:eastAsiaTheme="minorEastAsia" w:hAnsiTheme="minorHAnsi" w:cs="Arial"/>
                <w:sz w:val="16"/>
                <w:szCs w:val="16"/>
              </w:rPr>
            </w:pPr>
          </w:p>
        </w:tc>
        <w:tc>
          <w:tcPr>
            <w:tcW w:w="259" w:type="pct"/>
          </w:tcPr>
          <w:p w:rsidR="00482348" w:rsidRPr="00733993" w:rsidRDefault="00482348" w:rsidP="004316DC">
            <w:pPr>
              <w:jc w:val="both"/>
              <w:cnfStyle w:val="000000000000"/>
              <w:rPr>
                <w:rFonts w:asciiTheme="minorHAnsi" w:eastAsiaTheme="minorEastAsia" w:hAnsiTheme="minorHAnsi" w:cs="Arial"/>
                <w:sz w:val="16"/>
                <w:szCs w:val="16"/>
              </w:rPr>
            </w:pPr>
          </w:p>
        </w:tc>
        <w:tc>
          <w:tcPr>
            <w:tcW w:w="232" w:type="pct"/>
          </w:tcPr>
          <w:p w:rsidR="00482348" w:rsidRPr="00733993" w:rsidRDefault="00482348" w:rsidP="004316DC">
            <w:pPr>
              <w:jc w:val="both"/>
              <w:cnfStyle w:val="0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2200</w:t>
            </w:r>
          </w:p>
        </w:tc>
        <w:tc>
          <w:tcPr>
            <w:tcW w:w="161" w:type="pct"/>
          </w:tcPr>
          <w:p w:rsidR="00482348" w:rsidRPr="00733993" w:rsidRDefault="00482348" w:rsidP="004316DC">
            <w:pPr>
              <w:jc w:val="both"/>
              <w:cnfStyle w:val="000000000000"/>
              <w:rPr>
                <w:rFonts w:asciiTheme="minorHAnsi" w:eastAsiaTheme="minorEastAsia" w:hAnsiTheme="minorHAnsi" w:cs="Arial"/>
                <w:sz w:val="16"/>
                <w:szCs w:val="16"/>
              </w:rPr>
            </w:pPr>
          </w:p>
        </w:tc>
        <w:tc>
          <w:tcPr>
            <w:tcW w:w="259" w:type="pct"/>
          </w:tcPr>
          <w:p w:rsidR="00482348" w:rsidRPr="00733993" w:rsidRDefault="00482348" w:rsidP="004316DC">
            <w:pPr>
              <w:jc w:val="both"/>
              <w:cnfStyle w:val="000000000000"/>
              <w:rPr>
                <w:rFonts w:asciiTheme="minorHAnsi" w:eastAsiaTheme="minorEastAsia" w:hAnsiTheme="minorHAnsi" w:cs="Arial"/>
                <w:sz w:val="16"/>
                <w:szCs w:val="16"/>
              </w:rPr>
            </w:pPr>
          </w:p>
        </w:tc>
        <w:tc>
          <w:tcPr>
            <w:tcW w:w="232" w:type="pct"/>
          </w:tcPr>
          <w:p w:rsidR="00482348" w:rsidRPr="00733993" w:rsidRDefault="00482348" w:rsidP="004316DC">
            <w:pPr>
              <w:jc w:val="both"/>
              <w:cnfStyle w:val="0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2700</w:t>
            </w:r>
          </w:p>
        </w:tc>
        <w:tc>
          <w:tcPr>
            <w:tcW w:w="230" w:type="pct"/>
          </w:tcPr>
          <w:p w:rsidR="00482348" w:rsidRPr="00733993" w:rsidRDefault="00482348" w:rsidP="004316DC">
            <w:pPr>
              <w:jc w:val="both"/>
              <w:cnfStyle w:val="0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Court Order</w:t>
            </w:r>
          </w:p>
        </w:tc>
        <w:tc>
          <w:tcPr>
            <w:tcW w:w="259" w:type="pct"/>
          </w:tcPr>
          <w:p w:rsidR="00482348" w:rsidRPr="00733993" w:rsidRDefault="00482348" w:rsidP="004316DC">
            <w:pPr>
              <w:jc w:val="both"/>
              <w:cnfStyle w:val="0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12 or fine</w:t>
            </w:r>
          </w:p>
        </w:tc>
        <w:tc>
          <w:tcPr>
            <w:tcW w:w="232" w:type="pct"/>
          </w:tcPr>
          <w:p w:rsidR="00482348" w:rsidRPr="00733993" w:rsidRDefault="00482348" w:rsidP="004316DC">
            <w:pPr>
              <w:jc w:val="both"/>
              <w:cnfStyle w:val="0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4000</w:t>
            </w:r>
          </w:p>
        </w:tc>
        <w:tc>
          <w:tcPr>
            <w:tcW w:w="178" w:type="pct"/>
          </w:tcPr>
          <w:p w:rsidR="00482348" w:rsidRPr="00733993" w:rsidRDefault="00482348" w:rsidP="004316DC">
            <w:pPr>
              <w:jc w:val="both"/>
              <w:cnfStyle w:val="0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&gt;1-6</w:t>
            </w:r>
          </w:p>
        </w:tc>
        <w:tc>
          <w:tcPr>
            <w:tcW w:w="259" w:type="pct"/>
          </w:tcPr>
          <w:p w:rsidR="00482348" w:rsidRPr="00733993" w:rsidRDefault="00482348" w:rsidP="004316DC">
            <w:pPr>
              <w:jc w:val="both"/>
              <w:cnfStyle w:val="000000000000"/>
              <w:rPr>
                <w:rFonts w:asciiTheme="minorHAnsi" w:eastAsiaTheme="minorEastAsia" w:hAnsiTheme="minorHAnsi" w:cstheme="minorBidi"/>
                <w:sz w:val="16"/>
                <w:szCs w:val="16"/>
              </w:rPr>
            </w:pPr>
            <w:r w:rsidRPr="00733993">
              <w:rPr>
                <w:rFonts w:asciiTheme="minorHAnsi" w:eastAsiaTheme="minorEastAsia" w:hAnsiTheme="minorHAnsi" w:cs="Arial"/>
                <w:sz w:val="16"/>
                <w:szCs w:val="16"/>
              </w:rPr>
              <w:t>12 or fine</w:t>
            </w:r>
          </w:p>
        </w:tc>
        <w:tc>
          <w:tcPr>
            <w:tcW w:w="232" w:type="pct"/>
          </w:tcPr>
          <w:p w:rsidR="00482348" w:rsidRPr="00733993" w:rsidRDefault="00482348" w:rsidP="004316DC">
            <w:pPr>
              <w:jc w:val="both"/>
              <w:cnfStyle w:val="0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1250</w:t>
            </w:r>
          </w:p>
        </w:tc>
        <w:tc>
          <w:tcPr>
            <w:tcW w:w="161" w:type="pct"/>
          </w:tcPr>
          <w:p w:rsidR="00482348" w:rsidRPr="00733993" w:rsidRDefault="00482348" w:rsidP="004316DC">
            <w:pPr>
              <w:jc w:val="both"/>
              <w:cnfStyle w:val="000000000000"/>
              <w:rPr>
                <w:rFonts w:asciiTheme="minorHAnsi" w:eastAsiaTheme="minorEastAsia" w:hAnsiTheme="minorHAnsi" w:cs="Arial"/>
                <w:sz w:val="16"/>
                <w:szCs w:val="16"/>
              </w:rPr>
            </w:pPr>
          </w:p>
        </w:tc>
        <w:tc>
          <w:tcPr>
            <w:tcW w:w="259" w:type="pct"/>
          </w:tcPr>
          <w:p w:rsidR="00482348" w:rsidRPr="00733993" w:rsidRDefault="00482348" w:rsidP="004316DC">
            <w:pPr>
              <w:jc w:val="both"/>
              <w:cnfStyle w:val="000000000000"/>
              <w:rPr>
                <w:rFonts w:asciiTheme="minorHAnsi" w:eastAsiaTheme="minorEastAsia" w:hAnsiTheme="minorHAnsi" w:cs="Arial"/>
                <w:sz w:val="16"/>
                <w:szCs w:val="16"/>
              </w:rPr>
            </w:pPr>
          </w:p>
        </w:tc>
        <w:tc>
          <w:tcPr>
            <w:tcW w:w="232" w:type="pct"/>
            <w:shd w:val="clear" w:color="auto" w:fill="DAEEF3" w:themeFill="accent5" w:themeFillTint="33"/>
          </w:tcPr>
          <w:p w:rsidR="00482348" w:rsidRPr="00733993" w:rsidRDefault="00482348" w:rsidP="004316DC">
            <w:pPr>
              <w:jc w:val="both"/>
              <w:cnfStyle w:val="0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2600</w:t>
            </w:r>
          </w:p>
        </w:tc>
        <w:tc>
          <w:tcPr>
            <w:tcW w:w="146" w:type="pct"/>
            <w:shd w:val="clear" w:color="auto" w:fill="DAEEF3" w:themeFill="accent5" w:themeFillTint="33"/>
          </w:tcPr>
          <w:p w:rsidR="00482348" w:rsidRPr="00733993" w:rsidRDefault="00482348" w:rsidP="004316DC">
            <w:pPr>
              <w:jc w:val="both"/>
              <w:cnfStyle w:val="000000000000"/>
              <w:rPr>
                <w:rFonts w:asciiTheme="minorHAnsi" w:eastAsiaTheme="minorEastAsia" w:hAnsiTheme="minorHAnsi" w:cs="Arial"/>
                <w:sz w:val="16"/>
                <w:szCs w:val="16"/>
              </w:rPr>
            </w:pPr>
          </w:p>
        </w:tc>
        <w:tc>
          <w:tcPr>
            <w:tcW w:w="259" w:type="pct"/>
            <w:shd w:val="clear" w:color="auto" w:fill="DAEEF3" w:themeFill="accent5" w:themeFillTint="33"/>
          </w:tcPr>
          <w:p w:rsidR="00482348" w:rsidRPr="00733993" w:rsidRDefault="00482348" w:rsidP="004316DC">
            <w:pPr>
              <w:jc w:val="both"/>
              <w:cnfStyle w:val="000000000000"/>
              <w:rPr>
                <w:rFonts w:asciiTheme="minorHAnsi" w:eastAsiaTheme="minorEastAsia" w:hAnsiTheme="minorHAnsi" w:cs="Arial"/>
                <w:sz w:val="16"/>
                <w:szCs w:val="16"/>
              </w:rPr>
            </w:pPr>
          </w:p>
        </w:tc>
        <w:tc>
          <w:tcPr>
            <w:tcW w:w="232" w:type="pct"/>
          </w:tcPr>
          <w:p w:rsidR="00482348" w:rsidRPr="00733993" w:rsidRDefault="00482348" w:rsidP="004316DC">
            <w:pPr>
              <w:jc w:val="both"/>
              <w:cnfStyle w:val="0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1221</w:t>
            </w:r>
          </w:p>
        </w:tc>
        <w:tc>
          <w:tcPr>
            <w:tcW w:w="230" w:type="pct"/>
          </w:tcPr>
          <w:p w:rsidR="00482348" w:rsidRPr="00733993" w:rsidRDefault="00482348" w:rsidP="004316DC">
            <w:pPr>
              <w:jc w:val="both"/>
              <w:cnfStyle w:val="0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Court Order</w:t>
            </w:r>
          </w:p>
        </w:tc>
        <w:tc>
          <w:tcPr>
            <w:tcW w:w="259" w:type="pct"/>
          </w:tcPr>
          <w:p w:rsidR="00482348" w:rsidRPr="00733993" w:rsidRDefault="00482348" w:rsidP="004316DC">
            <w:pPr>
              <w:jc w:val="both"/>
              <w:cnfStyle w:val="000000000000"/>
              <w:rPr>
                <w:rFonts w:asciiTheme="minorHAnsi" w:eastAsiaTheme="minorEastAsia" w:hAnsiTheme="minorHAnsi" w:cs="Arial"/>
                <w:sz w:val="16"/>
                <w:szCs w:val="16"/>
              </w:rPr>
            </w:pPr>
            <w:r w:rsidRPr="00733993">
              <w:rPr>
                <w:rFonts w:asciiTheme="minorHAnsi" w:eastAsiaTheme="minorEastAsia" w:hAnsiTheme="minorHAnsi" w:cs="Arial"/>
                <w:sz w:val="16"/>
                <w:szCs w:val="16"/>
              </w:rPr>
              <w:t>1 of fine</w:t>
            </w:r>
          </w:p>
        </w:tc>
      </w:tr>
      <w:tr w:rsidR="00885C01" w:rsidRPr="00733993" w:rsidTr="006D5871">
        <w:trPr>
          <w:cnfStyle w:val="000000100000"/>
        </w:trPr>
        <w:tc>
          <w:tcPr>
            <w:cnfStyle w:val="001000000000"/>
            <w:tcW w:w="309" w:type="pct"/>
          </w:tcPr>
          <w:p w:rsidR="00482348" w:rsidRPr="00733993" w:rsidRDefault="00482348" w:rsidP="004316DC">
            <w:pPr>
              <w:jc w:val="both"/>
              <w:rPr>
                <w:rFonts w:asciiTheme="minorHAnsi" w:eastAsiaTheme="minorEastAsia" w:hAnsiTheme="minorHAnsi" w:cs="Arial"/>
                <w:sz w:val="16"/>
                <w:szCs w:val="16"/>
              </w:rPr>
            </w:pPr>
            <w:r w:rsidRPr="00733993">
              <w:rPr>
                <w:rFonts w:asciiTheme="minorHAnsi" w:eastAsiaTheme="minorEastAsia" w:hAnsiTheme="minorHAnsi" w:cs="Arial"/>
                <w:sz w:val="16"/>
                <w:szCs w:val="16"/>
              </w:rPr>
              <w:t>No previous Licence</w:t>
            </w:r>
          </w:p>
        </w:tc>
        <w:tc>
          <w:tcPr>
            <w:tcW w:w="232"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300</w:t>
            </w:r>
          </w:p>
        </w:tc>
        <w:tc>
          <w:tcPr>
            <w:tcW w:w="146" w:type="pct"/>
          </w:tcPr>
          <w:p w:rsidR="00482348" w:rsidRPr="00733993" w:rsidRDefault="00482348" w:rsidP="004316DC">
            <w:pPr>
              <w:jc w:val="both"/>
              <w:cnfStyle w:val="000000100000"/>
              <w:rPr>
                <w:rFonts w:asciiTheme="minorHAnsi" w:eastAsiaTheme="minorEastAsia" w:hAnsiTheme="minorHAnsi" w:cs="Arial"/>
                <w:sz w:val="16"/>
                <w:szCs w:val="16"/>
              </w:rPr>
            </w:pPr>
          </w:p>
        </w:tc>
        <w:tc>
          <w:tcPr>
            <w:tcW w:w="259" w:type="pct"/>
          </w:tcPr>
          <w:p w:rsidR="00482348" w:rsidRPr="00733993" w:rsidRDefault="00482348" w:rsidP="004316DC">
            <w:pPr>
              <w:jc w:val="both"/>
              <w:cnfStyle w:val="000000100000"/>
              <w:rPr>
                <w:rFonts w:asciiTheme="minorHAnsi" w:eastAsiaTheme="minorEastAsia" w:hAnsiTheme="minorHAnsi" w:cs="Arial"/>
                <w:sz w:val="16"/>
                <w:szCs w:val="16"/>
              </w:rPr>
            </w:pPr>
          </w:p>
        </w:tc>
        <w:tc>
          <w:tcPr>
            <w:tcW w:w="232"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2200</w:t>
            </w:r>
          </w:p>
        </w:tc>
        <w:tc>
          <w:tcPr>
            <w:tcW w:w="161"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&gt;36</w:t>
            </w:r>
          </w:p>
        </w:tc>
        <w:tc>
          <w:tcPr>
            <w:tcW w:w="259" w:type="pct"/>
          </w:tcPr>
          <w:p w:rsidR="00482348" w:rsidRPr="00733993" w:rsidRDefault="00482348" w:rsidP="004316DC">
            <w:pPr>
              <w:jc w:val="both"/>
              <w:cnfStyle w:val="000000100000"/>
              <w:rPr>
                <w:rFonts w:asciiTheme="minorHAnsi" w:eastAsiaTheme="minorEastAsia" w:hAnsiTheme="minorHAnsi" w:cs="Arial"/>
                <w:sz w:val="16"/>
                <w:szCs w:val="16"/>
              </w:rPr>
            </w:pPr>
          </w:p>
        </w:tc>
        <w:tc>
          <w:tcPr>
            <w:tcW w:w="232"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2700</w:t>
            </w:r>
          </w:p>
        </w:tc>
        <w:tc>
          <w:tcPr>
            <w:tcW w:w="230"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Court Order</w:t>
            </w:r>
          </w:p>
        </w:tc>
        <w:tc>
          <w:tcPr>
            <w:tcW w:w="259"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12 or fine</w:t>
            </w:r>
          </w:p>
        </w:tc>
        <w:tc>
          <w:tcPr>
            <w:tcW w:w="232"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4000</w:t>
            </w:r>
          </w:p>
        </w:tc>
        <w:tc>
          <w:tcPr>
            <w:tcW w:w="178"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.1-6</w:t>
            </w:r>
          </w:p>
        </w:tc>
        <w:tc>
          <w:tcPr>
            <w:tcW w:w="259" w:type="pct"/>
          </w:tcPr>
          <w:p w:rsidR="00482348" w:rsidRPr="00733993" w:rsidRDefault="00482348" w:rsidP="004316DC">
            <w:pPr>
              <w:jc w:val="both"/>
              <w:cnfStyle w:val="000000100000"/>
              <w:rPr>
                <w:rFonts w:asciiTheme="minorHAnsi" w:eastAsiaTheme="minorEastAsia" w:hAnsiTheme="minorHAnsi" w:cstheme="minorBidi"/>
                <w:sz w:val="16"/>
                <w:szCs w:val="16"/>
              </w:rPr>
            </w:pPr>
            <w:r w:rsidRPr="00733993">
              <w:rPr>
                <w:rFonts w:asciiTheme="minorHAnsi" w:eastAsiaTheme="minorEastAsia" w:hAnsiTheme="minorHAnsi" w:cs="Arial"/>
                <w:sz w:val="16"/>
                <w:szCs w:val="16"/>
              </w:rPr>
              <w:t>12 or fine</w:t>
            </w:r>
          </w:p>
        </w:tc>
        <w:tc>
          <w:tcPr>
            <w:tcW w:w="232"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2500</w:t>
            </w:r>
          </w:p>
        </w:tc>
        <w:tc>
          <w:tcPr>
            <w:tcW w:w="161"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&gt;36</w:t>
            </w:r>
          </w:p>
        </w:tc>
        <w:tc>
          <w:tcPr>
            <w:tcW w:w="259"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12 or fine</w:t>
            </w:r>
          </w:p>
        </w:tc>
        <w:tc>
          <w:tcPr>
            <w:tcW w:w="232" w:type="pct"/>
            <w:shd w:val="clear" w:color="auto" w:fill="DAEEF3" w:themeFill="accent5" w:themeFillTint="33"/>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2600</w:t>
            </w:r>
          </w:p>
        </w:tc>
        <w:tc>
          <w:tcPr>
            <w:tcW w:w="146" w:type="pct"/>
            <w:shd w:val="clear" w:color="auto" w:fill="DAEEF3" w:themeFill="accent5" w:themeFillTint="33"/>
          </w:tcPr>
          <w:p w:rsidR="00482348" w:rsidRPr="00733993" w:rsidRDefault="00482348" w:rsidP="004316DC">
            <w:pPr>
              <w:jc w:val="both"/>
              <w:cnfStyle w:val="000000100000"/>
              <w:rPr>
                <w:rFonts w:asciiTheme="minorHAnsi" w:eastAsiaTheme="minorEastAsia" w:hAnsiTheme="minorHAnsi" w:cs="Arial"/>
                <w:sz w:val="16"/>
                <w:szCs w:val="16"/>
              </w:rPr>
            </w:pPr>
          </w:p>
        </w:tc>
        <w:tc>
          <w:tcPr>
            <w:tcW w:w="259" w:type="pct"/>
            <w:shd w:val="clear" w:color="auto" w:fill="DAEEF3" w:themeFill="accent5" w:themeFillTint="33"/>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3 0r fine</w:t>
            </w:r>
          </w:p>
        </w:tc>
        <w:tc>
          <w:tcPr>
            <w:tcW w:w="232"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3054</w:t>
            </w:r>
          </w:p>
        </w:tc>
        <w:tc>
          <w:tcPr>
            <w:tcW w:w="230"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Court Order</w:t>
            </w:r>
          </w:p>
        </w:tc>
        <w:tc>
          <w:tcPr>
            <w:tcW w:w="259" w:type="pct"/>
          </w:tcPr>
          <w:p w:rsidR="00482348" w:rsidRPr="00733993" w:rsidRDefault="00482348" w:rsidP="004316DC">
            <w:pPr>
              <w:jc w:val="both"/>
              <w:cnfStyle w:val="000000100000"/>
              <w:rPr>
                <w:rFonts w:asciiTheme="minorHAnsi" w:eastAsiaTheme="minorEastAsia" w:hAnsiTheme="minorHAnsi" w:cs="Arial"/>
                <w:sz w:val="16"/>
                <w:szCs w:val="16"/>
              </w:rPr>
            </w:pPr>
            <w:r w:rsidRPr="00733993">
              <w:rPr>
                <w:rFonts w:asciiTheme="minorHAnsi" w:eastAsiaTheme="minorEastAsia" w:hAnsiTheme="minorHAnsi" w:cs="Arial"/>
                <w:sz w:val="16"/>
                <w:szCs w:val="16"/>
              </w:rPr>
              <w:t>3 or fine</w:t>
            </w:r>
          </w:p>
        </w:tc>
      </w:tr>
    </w:tbl>
    <w:p w:rsidR="004316DC" w:rsidRDefault="004316DC" w:rsidP="004316DC">
      <w:pPr>
        <w:spacing w:after="0" w:line="240" w:lineRule="auto"/>
        <w:rPr>
          <w:rStyle w:val="ParagraphChar"/>
          <w:rFonts w:asciiTheme="minorHAnsi" w:hAnsiTheme="minorHAnsi"/>
          <w:i/>
          <w:sz w:val="22"/>
          <w:szCs w:val="22"/>
        </w:rPr>
      </w:pPr>
    </w:p>
    <w:p w:rsidR="004316DC" w:rsidRDefault="00F7744C" w:rsidP="004316DC">
      <w:pPr>
        <w:spacing w:after="0" w:line="240" w:lineRule="auto"/>
        <w:rPr>
          <w:rStyle w:val="ParagraphChar"/>
          <w:rFonts w:asciiTheme="minorHAnsi" w:hAnsiTheme="minorHAnsi"/>
          <w:i/>
          <w:sz w:val="22"/>
          <w:szCs w:val="22"/>
        </w:rPr>
      </w:pPr>
      <w:r>
        <w:rPr>
          <w:rFonts w:asciiTheme="minorHAnsi" w:hAnsiTheme="minorHAnsi"/>
          <w:i/>
          <w:noProof/>
          <w:lang w:val="en-AU" w:eastAsia="en-AU" w:bidi="ar-SA"/>
        </w:rPr>
        <w:pict>
          <v:shape id="_x0000_s1028" type="#_x0000_t202" style="position:absolute;margin-left:417.25pt;margin-top:-43.75pt;width:304.4pt;height:42.55pt;z-index:251670528" wrapcoords="-53 0 -53 21221 21600 21221 21600 0 -53 0" stroked="f">
            <v:textbox style="mso-next-textbox:#_x0000_s1028">
              <w:txbxContent>
                <w:p w:rsidR="00787C1C" w:rsidRDefault="00787C1C" w:rsidP="004316DC">
                  <w:pPr>
                    <w:spacing w:after="0" w:line="240" w:lineRule="auto"/>
                    <w:jc w:val="right"/>
                    <w:rPr>
                      <w:sz w:val="24"/>
                      <w:szCs w:val="24"/>
                    </w:rPr>
                  </w:pPr>
                  <w:r w:rsidRPr="00DE1339">
                    <w:rPr>
                      <w:sz w:val="24"/>
                      <w:szCs w:val="24"/>
                    </w:rPr>
                    <w:t xml:space="preserve">Appendix </w:t>
                  </w:r>
                  <w:r>
                    <w:rPr>
                      <w:sz w:val="24"/>
                      <w:szCs w:val="24"/>
                    </w:rPr>
                    <w:t>B</w:t>
                  </w:r>
                  <w:r w:rsidRPr="00DE1339">
                    <w:rPr>
                      <w:sz w:val="24"/>
                      <w:szCs w:val="24"/>
                    </w:rPr>
                    <w:t xml:space="preserve"> – </w:t>
                  </w:r>
                  <w:r>
                    <w:rPr>
                      <w:sz w:val="24"/>
                      <w:szCs w:val="24"/>
                    </w:rPr>
                    <w:t xml:space="preserve">ANPR performance statistics over a </w:t>
                  </w:r>
                </w:p>
                <w:p w:rsidR="00787C1C" w:rsidRDefault="00787C1C" w:rsidP="004316DC">
                  <w:pPr>
                    <w:spacing w:after="0" w:line="240" w:lineRule="auto"/>
                    <w:jc w:val="right"/>
                  </w:pPr>
                  <w:r>
                    <w:rPr>
                      <w:sz w:val="24"/>
                      <w:szCs w:val="24"/>
                    </w:rPr>
                    <w:t>12 month period</w:t>
                  </w:r>
                </w:p>
              </w:txbxContent>
            </v:textbox>
            <w10:wrap type="tight"/>
          </v:shape>
        </w:pict>
      </w:r>
      <w:r w:rsidR="004316DC">
        <w:rPr>
          <w:rStyle w:val="ParagraphChar"/>
          <w:rFonts w:asciiTheme="minorHAnsi" w:hAnsiTheme="minorHAnsi"/>
          <w:i/>
          <w:sz w:val="22"/>
          <w:szCs w:val="22"/>
        </w:rPr>
        <w:t xml:space="preserve">             </w:t>
      </w:r>
    </w:p>
    <w:p w:rsidR="004316DC" w:rsidRDefault="004316DC" w:rsidP="004316DC">
      <w:pPr>
        <w:spacing w:after="0" w:line="240" w:lineRule="auto"/>
        <w:rPr>
          <w:rStyle w:val="ParagraphChar"/>
          <w:rFonts w:asciiTheme="minorHAnsi" w:hAnsiTheme="minorHAnsi"/>
          <w:i/>
          <w:sz w:val="22"/>
          <w:szCs w:val="22"/>
        </w:rPr>
      </w:pPr>
    </w:p>
    <w:tbl>
      <w:tblPr>
        <w:tblStyle w:val="MediumShading1-Accent5"/>
        <w:tblW w:w="14576" w:type="dxa"/>
        <w:tblLook w:val="04A0"/>
      </w:tblPr>
      <w:tblGrid>
        <w:gridCol w:w="1136"/>
        <w:gridCol w:w="960"/>
        <w:gridCol w:w="960"/>
        <w:gridCol w:w="960"/>
        <w:gridCol w:w="960"/>
        <w:gridCol w:w="960"/>
        <w:gridCol w:w="960"/>
        <w:gridCol w:w="960"/>
        <w:gridCol w:w="960"/>
        <w:gridCol w:w="960"/>
        <w:gridCol w:w="960"/>
        <w:gridCol w:w="960"/>
        <w:gridCol w:w="960"/>
        <w:gridCol w:w="960"/>
        <w:gridCol w:w="960"/>
      </w:tblGrid>
      <w:tr w:rsidR="005F3F41" w:rsidRPr="00896F06" w:rsidTr="0087632D">
        <w:trPr>
          <w:cnfStyle w:val="100000000000"/>
          <w:trHeight w:val="454"/>
        </w:trPr>
        <w:tc>
          <w:tcPr>
            <w:cnfStyle w:val="001000000000"/>
            <w:tcW w:w="14576" w:type="dxa"/>
            <w:gridSpan w:val="15"/>
            <w:vAlign w:val="center"/>
            <w:hideMark/>
          </w:tcPr>
          <w:p w:rsidR="005F3F41" w:rsidRPr="00896F06" w:rsidRDefault="005F3F41" w:rsidP="0087632D">
            <w:pPr>
              <w:pStyle w:val="Heading2"/>
              <w:outlineLvl w:val="1"/>
              <w:rPr>
                <w:caps w:val="0"/>
                <w:sz w:val="28"/>
                <w:szCs w:val="28"/>
              </w:rPr>
            </w:pPr>
            <w:r w:rsidRPr="00896F06">
              <w:rPr>
                <w:caps w:val="0"/>
                <w:sz w:val="28"/>
                <w:szCs w:val="28"/>
              </w:rPr>
              <w:t>Tasmanian Automatic Number Plate Recognition</w:t>
            </w:r>
            <w:r>
              <w:rPr>
                <w:caps w:val="0"/>
                <w:sz w:val="28"/>
                <w:szCs w:val="28"/>
              </w:rPr>
              <w:t xml:space="preserve"> cameras</w:t>
            </w:r>
            <w:r w:rsidRPr="00896F06">
              <w:rPr>
                <w:caps w:val="0"/>
                <w:sz w:val="28"/>
                <w:szCs w:val="28"/>
              </w:rPr>
              <w:t xml:space="preserve"> (combined data)</w:t>
            </w:r>
          </w:p>
        </w:tc>
      </w:tr>
      <w:tr w:rsidR="005F3F41" w:rsidRPr="00896F06" w:rsidTr="006D5871">
        <w:trPr>
          <w:cnfStyle w:val="000000100000"/>
          <w:trHeight w:val="454"/>
        </w:trPr>
        <w:tc>
          <w:tcPr>
            <w:cnfStyle w:val="001000000000"/>
            <w:tcW w:w="1136" w:type="dxa"/>
            <w:hideMark/>
          </w:tcPr>
          <w:p w:rsidR="005F3F41" w:rsidRPr="00896F06" w:rsidRDefault="005F3F41" w:rsidP="006D5871">
            <w:pPr>
              <w:jc w:val="both"/>
              <w:rPr>
                <w:rFonts w:asciiTheme="minorHAnsi" w:eastAsiaTheme="minorEastAsia" w:hAnsiTheme="minorHAnsi" w:cstheme="minorBidi"/>
                <w:b w:val="0"/>
                <w:bCs w:val="0"/>
                <w:color w:val="000000"/>
              </w:rPr>
            </w:pPr>
            <w:r w:rsidRPr="00896F06">
              <w:rPr>
                <w:rFonts w:asciiTheme="minorHAnsi" w:eastAsiaTheme="minorEastAsia" w:hAnsiTheme="minorHAnsi" w:cstheme="minorBidi"/>
              </w:rPr>
              <w:br w:type="page"/>
            </w:r>
            <w:r w:rsidRPr="00896F06">
              <w:rPr>
                <w:rFonts w:asciiTheme="minorHAnsi" w:eastAsiaTheme="minorEastAsia" w:hAnsiTheme="minorHAnsi" w:cstheme="minorBidi"/>
                <w:b w:val="0"/>
                <w:bCs w:val="0"/>
                <w:color w:val="000000"/>
              </w:rPr>
              <w:t> </w:t>
            </w:r>
          </w:p>
        </w:tc>
        <w:tc>
          <w:tcPr>
            <w:tcW w:w="960" w:type="dxa"/>
            <w:hideMark/>
          </w:tcPr>
          <w:p w:rsidR="005F3F41" w:rsidRPr="00896F06" w:rsidRDefault="005F3F41" w:rsidP="006D5871">
            <w:pPr>
              <w:jc w:val="both"/>
              <w:cnfStyle w:val="000000100000"/>
              <w:rPr>
                <w:rFonts w:asciiTheme="minorHAnsi" w:eastAsiaTheme="minorEastAsia" w:hAnsiTheme="minorHAnsi" w:cstheme="minorBidi"/>
                <w:b/>
                <w:bCs/>
                <w:color w:val="000000"/>
              </w:rPr>
            </w:pPr>
            <w:r w:rsidRPr="00896F06">
              <w:rPr>
                <w:rFonts w:asciiTheme="minorHAnsi" w:eastAsiaTheme="minorEastAsia" w:hAnsiTheme="minorHAnsi" w:cstheme="minorBidi"/>
                <w:b/>
                <w:bCs/>
                <w:color w:val="000000"/>
              </w:rPr>
              <w:t> </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b/>
                <w:bCs/>
                <w:color w:val="000000"/>
              </w:rPr>
            </w:pPr>
            <w:r w:rsidRPr="00896F06">
              <w:rPr>
                <w:rFonts w:asciiTheme="minorHAnsi" w:eastAsiaTheme="minorEastAsia" w:hAnsiTheme="minorHAnsi" w:cstheme="minorBidi"/>
                <w:b/>
                <w:bCs/>
                <w:color w:val="000000"/>
              </w:rPr>
              <w:t>Jul-11</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b/>
                <w:bCs/>
                <w:color w:val="000000"/>
              </w:rPr>
            </w:pPr>
            <w:r w:rsidRPr="00896F06">
              <w:rPr>
                <w:rFonts w:asciiTheme="minorHAnsi" w:eastAsiaTheme="minorEastAsia" w:hAnsiTheme="minorHAnsi" w:cstheme="minorBidi"/>
                <w:b/>
                <w:bCs/>
                <w:color w:val="000000"/>
              </w:rPr>
              <w:t>Aug-11</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b/>
                <w:bCs/>
                <w:color w:val="000000"/>
              </w:rPr>
            </w:pPr>
            <w:r w:rsidRPr="00896F06">
              <w:rPr>
                <w:rFonts w:asciiTheme="minorHAnsi" w:eastAsiaTheme="minorEastAsia" w:hAnsiTheme="minorHAnsi" w:cstheme="minorBidi"/>
                <w:b/>
                <w:bCs/>
                <w:color w:val="000000"/>
              </w:rPr>
              <w:t>Sep-11</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b/>
                <w:bCs/>
                <w:color w:val="000000"/>
              </w:rPr>
            </w:pPr>
            <w:r w:rsidRPr="00896F06">
              <w:rPr>
                <w:rFonts w:asciiTheme="minorHAnsi" w:eastAsiaTheme="minorEastAsia" w:hAnsiTheme="minorHAnsi" w:cstheme="minorBidi"/>
                <w:b/>
                <w:bCs/>
                <w:color w:val="000000"/>
              </w:rPr>
              <w:t>Oct-11</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b/>
                <w:bCs/>
                <w:color w:val="000000"/>
              </w:rPr>
            </w:pPr>
            <w:r w:rsidRPr="00896F06">
              <w:rPr>
                <w:rFonts w:asciiTheme="minorHAnsi" w:eastAsiaTheme="minorEastAsia" w:hAnsiTheme="minorHAnsi" w:cstheme="minorBidi"/>
                <w:b/>
                <w:bCs/>
                <w:color w:val="000000"/>
              </w:rPr>
              <w:t>Nov-11</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b/>
                <w:bCs/>
                <w:color w:val="000000"/>
              </w:rPr>
            </w:pPr>
            <w:r w:rsidRPr="00896F06">
              <w:rPr>
                <w:rFonts w:asciiTheme="minorHAnsi" w:eastAsiaTheme="minorEastAsia" w:hAnsiTheme="minorHAnsi" w:cstheme="minorBidi"/>
                <w:b/>
                <w:bCs/>
                <w:color w:val="000000"/>
              </w:rPr>
              <w:t>Dec-11</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b/>
                <w:bCs/>
                <w:color w:val="000000"/>
              </w:rPr>
            </w:pPr>
            <w:r w:rsidRPr="00896F06">
              <w:rPr>
                <w:rFonts w:asciiTheme="minorHAnsi" w:eastAsiaTheme="minorEastAsia" w:hAnsiTheme="minorHAnsi" w:cstheme="minorBidi"/>
                <w:b/>
                <w:bCs/>
                <w:color w:val="000000"/>
              </w:rPr>
              <w:t>Jan-12</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b/>
                <w:bCs/>
                <w:color w:val="000000"/>
              </w:rPr>
            </w:pPr>
            <w:r w:rsidRPr="00896F06">
              <w:rPr>
                <w:rFonts w:asciiTheme="minorHAnsi" w:eastAsiaTheme="minorEastAsia" w:hAnsiTheme="minorHAnsi" w:cstheme="minorBidi"/>
                <w:b/>
                <w:bCs/>
                <w:color w:val="000000"/>
              </w:rPr>
              <w:t>Feb-12</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b/>
                <w:bCs/>
                <w:color w:val="000000"/>
              </w:rPr>
            </w:pPr>
            <w:r w:rsidRPr="00896F06">
              <w:rPr>
                <w:rFonts w:asciiTheme="minorHAnsi" w:eastAsiaTheme="minorEastAsia" w:hAnsiTheme="minorHAnsi" w:cstheme="minorBidi"/>
                <w:b/>
                <w:bCs/>
                <w:color w:val="000000"/>
              </w:rPr>
              <w:t>Mar-12</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b/>
                <w:bCs/>
                <w:color w:val="000000"/>
              </w:rPr>
            </w:pPr>
            <w:r w:rsidRPr="00896F06">
              <w:rPr>
                <w:rFonts w:asciiTheme="minorHAnsi" w:eastAsiaTheme="minorEastAsia" w:hAnsiTheme="minorHAnsi" w:cstheme="minorBidi"/>
                <w:b/>
                <w:bCs/>
                <w:color w:val="000000"/>
              </w:rPr>
              <w:t>Apr-12</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b/>
                <w:bCs/>
                <w:color w:val="000000"/>
              </w:rPr>
            </w:pPr>
            <w:r w:rsidRPr="00896F06">
              <w:rPr>
                <w:rFonts w:asciiTheme="minorHAnsi" w:eastAsiaTheme="minorEastAsia" w:hAnsiTheme="minorHAnsi" w:cstheme="minorBidi"/>
                <w:b/>
                <w:bCs/>
                <w:color w:val="000000"/>
              </w:rPr>
              <w:t>May-12</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b/>
                <w:bCs/>
                <w:color w:val="000000"/>
              </w:rPr>
            </w:pPr>
            <w:r w:rsidRPr="00896F06">
              <w:rPr>
                <w:rFonts w:asciiTheme="minorHAnsi" w:eastAsiaTheme="minorEastAsia" w:hAnsiTheme="minorHAnsi" w:cstheme="minorBidi"/>
                <w:b/>
                <w:bCs/>
                <w:color w:val="000000"/>
              </w:rPr>
              <w:t>Jun-12</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b/>
                <w:bCs/>
                <w:color w:val="000000"/>
              </w:rPr>
            </w:pPr>
            <w:r w:rsidRPr="00896F06">
              <w:rPr>
                <w:rFonts w:asciiTheme="minorHAnsi" w:eastAsiaTheme="minorEastAsia" w:hAnsiTheme="minorHAnsi" w:cstheme="minorBidi"/>
                <w:b/>
                <w:bCs/>
                <w:color w:val="000000"/>
              </w:rPr>
              <w:t>TOTAL</w:t>
            </w:r>
          </w:p>
        </w:tc>
      </w:tr>
      <w:tr w:rsidR="005F3F41" w:rsidRPr="00896F06" w:rsidTr="006D5871">
        <w:trPr>
          <w:cnfStyle w:val="000000010000"/>
          <w:trHeight w:val="454"/>
        </w:trPr>
        <w:tc>
          <w:tcPr>
            <w:cnfStyle w:val="001000000000"/>
            <w:tcW w:w="2096" w:type="dxa"/>
            <w:gridSpan w:val="2"/>
            <w:vAlign w:val="center"/>
            <w:hideMark/>
          </w:tcPr>
          <w:p w:rsidR="005F3F41" w:rsidRPr="00896F06" w:rsidRDefault="005F3F41" w:rsidP="006D5871">
            <w:pPr>
              <w:jc w:val="both"/>
              <w:rPr>
                <w:rFonts w:asciiTheme="minorHAnsi" w:eastAsiaTheme="minorEastAsia" w:hAnsiTheme="minorHAnsi" w:cstheme="minorBidi"/>
                <w:b w:val="0"/>
                <w:bCs w:val="0"/>
                <w:color w:val="000000"/>
                <w:u w:val="single"/>
              </w:rPr>
            </w:pPr>
            <w:r w:rsidRPr="00896F06">
              <w:rPr>
                <w:rFonts w:asciiTheme="minorHAnsi" w:eastAsiaTheme="minorEastAsia" w:hAnsiTheme="minorHAnsi" w:cstheme="minorBidi"/>
                <w:b w:val="0"/>
                <w:bCs w:val="0"/>
                <w:color w:val="000000"/>
                <w:u w:val="single"/>
              </w:rPr>
              <w:t>Vehicles Captured</w:t>
            </w: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color w:val="000000"/>
              </w:rPr>
            </w:pP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color w:val="000000"/>
              </w:rPr>
            </w:pP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color w:val="000000"/>
              </w:rPr>
            </w:pP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color w:val="000000"/>
              </w:rPr>
            </w:pP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color w:val="000000"/>
              </w:rPr>
            </w:pP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color w:val="000000"/>
              </w:rPr>
            </w:pP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color w:val="000000"/>
              </w:rPr>
            </w:pP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color w:val="000000"/>
              </w:rPr>
            </w:pP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color w:val="000000"/>
              </w:rPr>
            </w:pP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color w:val="000000"/>
              </w:rPr>
            </w:pP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color w:val="000000"/>
              </w:rPr>
            </w:pP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color w:val="000000"/>
              </w:rPr>
            </w:pP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color w:val="000000"/>
              </w:rPr>
            </w:pPr>
          </w:p>
        </w:tc>
      </w:tr>
      <w:tr w:rsidR="005F3F41" w:rsidRPr="00896F06" w:rsidTr="006D5871">
        <w:trPr>
          <w:cnfStyle w:val="000000100000"/>
          <w:trHeight w:val="454"/>
        </w:trPr>
        <w:tc>
          <w:tcPr>
            <w:cnfStyle w:val="001000000000"/>
            <w:tcW w:w="2096" w:type="dxa"/>
            <w:gridSpan w:val="2"/>
            <w:vAlign w:val="center"/>
            <w:hideMark/>
          </w:tcPr>
          <w:p w:rsidR="005F3F41" w:rsidRPr="00896F06" w:rsidRDefault="005F3F41" w:rsidP="006D5871">
            <w:pPr>
              <w:jc w:val="both"/>
              <w:rPr>
                <w:rFonts w:asciiTheme="minorHAnsi" w:eastAsiaTheme="minorEastAsia" w:hAnsiTheme="minorHAnsi" w:cstheme="minorBidi"/>
                <w:b w:val="0"/>
                <w:bCs w:val="0"/>
                <w:color w:val="000000"/>
              </w:rPr>
            </w:pPr>
            <w:r w:rsidRPr="00896F06">
              <w:rPr>
                <w:rFonts w:asciiTheme="minorHAnsi" w:eastAsiaTheme="minorEastAsia" w:hAnsiTheme="minorHAnsi" w:cstheme="minorBidi"/>
                <w:b w:val="0"/>
                <w:bCs w:val="0"/>
                <w:color w:val="000000"/>
              </w:rPr>
              <w:t xml:space="preserve">     -  Unmanned</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44808</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44788</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24802</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34525</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26687</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17085</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25727</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33937</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38006</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19797</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28913</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21547</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360622</w:t>
            </w:r>
          </w:p>
        </w:tc>
      </w:tr>
      <w:tr w:rsidR="005F3F41" w:rsidRPr="00896F06" w:rsidTr="006D5871">
        <w:trPr>
          <w:cnfStyle w:val="000000010000"/>
          <w:trHeight w:val="454"/>
        </w:trPr>
        <w:tc>
          <w:tcPr>
            <w:cnfStyle w:val="001000000000"/>
            <w:tcW w:w="2096" w:type="dxa"/>
            <w:gridSpan w:val="2"/>
            <w:vAlign w:val="center"/>
            <w:hideMark/>
          </w:tcPr>
          <w:p w:rsidR="005F3F41" w:rsidRPr="00896F06" w:rsidRDefault="005F3F41" w:rsidP="006D5871">
            <w:pPr>
              <w:jc w:val="both"/>
              <w:rPr>
                <w:rFonts w:asciiTheme="minorHAnsi" w:eastAsiaTheme="minorEastAsia" w:hAnsiTheme="minorHAnsi" w:cstheme="minorBidi"/>
                <w:b w:val="0"/>
                <w:bCs w:val="0"/>
                <w:color w:val="000000"/>
              </w:rPr>
            </w:pPr>
            <w:r w:rsidRPr="00896F06">
              <w:rPr>
                <w:rFonts w:asciiTheme="minorHAnsi" w:eastAsiaTheme="minorEastAsia" w:hAnsiTheme="minorHAnsi" w:cstheme="minorBidi"/>
                <w:b w:val="0"/>
                <w:bCs w:val="0"/>
                <w:color w:val="000000"/>
              </w:rPr>
              <w:t xml:space="preserve">     -  Manned</w:t>
            </w: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459</w:t>
            </w: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0</w:t>
            </w: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1499</w:t>
            </w: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1918</w:t>
            </w: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1101</w:t>
            </w: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738</w:t>
            </w: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807</w:t>
            </w: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1000</w:t>
            </w: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0</w:t>
            </w: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0</w:t>
            </w: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1037</w:t>
            </w: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0</w:t>
            </w: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8559</w:t>
            </w:r>
          </w:p>
        </w:tc>
      </w:tr>
      <w:tr w:rsidR="005F3F41" w:rsidRPr="00896F06" w:rsidTr="006D5871">
        <w:trPr>
          <w:cnfStyle w:val="000000100000"/>
          <w:trHeight w:val="454"/>
        </w:trPr>
        <w:tc>
          <w:tcPr>
            <w:cnfStyle w:val="001000000000"/>
            <w:tcW w:w="2096" w:type="dxa"/>
            <w:gridSpan w:val="2"/>
            <w:vAlign w:val="center"/>
            <w:hideMark/>
          </w:tcPr>
          <w:p w:rsidR="005F3F41" w:rsidRPr="00896F06" w:rsidRDefault="005F3F41" w:rsidP="006D5871">
            <w:pPr>
              <w:jc w:val="both"/>
              <w:rPr>
                <w:rFonts w:asciiTheme="minorHAnsi" w:eastAsiaTheme="minorEastAsia" w:hAnsiTheme="minorHAnsi" w:cstheme="minorBidi"/>
                <w:b w:val="0"/>
                <w:bCs w:val="0"/>
                <w:color w:val="000000"/>
              </w:rPr>
            </w:pPr>
            <w:r w:rsidRPr="00896F06">
              <w:rPr>
                <w:rFonts w:asciiTheme="minorHAnsi" w:eastAsiaTheme="minorEastAsia" w:hAnsiTheme="minorHAnsi" w:cstheme="minorBidi"/>
                <w:b w:val="0"/>
                <w:bCs w:val="0"/>
                <w:color w:val="000000"/>
              </w:rPr>
              <w:t>Total Vehicles Captured</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b/>
                <w:bCs/>
                <w:color w:val="000000"/>
              </w:rPr>
            </w:pPr>
            <w:r w:rsidRPr="00896F06">
              <w:rPr>
                <w:rFonts w:asciiTheme="minorHAnsi" w:eastAsiaTheme="minorEastAsia" w:hAnsiTheme="minorHAnsi" w:cstheme="minorBidi"/>
                <w:b/>
                <w:bCs/>
                <w:color w:val="000000"/>
              </w:rPr>
              <w:t>45 267</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b/>
                <w:bCs/>
                <w:color w:val="000000"/>
              </w:rPr>
            </w:pPr>
            <w:r w:rsidRPr="00896F06">
              <w:rPr>
                <w:rFonts w:asciiTheme="minorHAnsi" w:eastAsiaTheme="minorEastAsia" w:hAnsiTheme="minorHAnsi" w:cstheme="minorBidi"/>
                <w:b/>
                <w:bCs/>
                <w:color w:val="000000"/>
              </w:rPr>
              <w:t>44 788</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b/>
                <w:bCs/>
                <w:color w:val="000000"/>
              </w:rPr>
            </w:pPr>
            <w:r w:rsidRPr="00896F06">
              <w:rPr>
                <w:rFonts w:asciiTheme="minorHAnsi" w:eastAsiaTheme="minorEastAsia" w:hAnsiTheme="minorHAnsi" w:cstheme="minorBidi"/>
                <w:b/>
                <w:bCs/>
                <w:color w:val="000000"/>
              </w:rPr>
              <w:t>26 301</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b/>
                <w:bCs/>
                <w:color w:val="000000"/>
              </w:rPr>
            </w:pPr>
            <w:r w:rsidRPr="00896F06">
              <w:rPr>
                <w:rFonts w:asciiTheme="minorHAnsi" w:eastAsiaTheme="minorEastAsia" w:hAnsiTheme="minorHAnsi" w:cstheme="minorBidi"/>
                <w:b/>
                <w:bCs/>
                <w:color w:val="000000"/>
              </w:rPr>
              <w:t>36 443</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b/>
                <w:bCs/>
                <w:color w:val="000000"/>
              </w:rPr>
            </w:pPr>
            <w:r w:rsidRPr="00896F06">
              <w:rPr>
                <w:rFonts w:asciiTheme="minorHAnsi" w:eastAsiaTheme="minorEastAsia" w:hAnsiTheme="minorHAnsi" w:cstheme="minorBidi"/>
                <w:b/>
                <w:bCs/>
                <w:color w:val="000000"/>
              </w:rPr>
              <w:t>27 788</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b/>
                <w:bCs/>
                <w:color w:val="000000"/>
              </w:rPr>
            </w:pPr>
            <w:r w:rsidRPr="00896F06">
              <w:rPr>
                <w:rFonts w:asciiTheme="minorHAnsi" w:eastAsiaTheme="minorEastAsia" w:hAnsiTheme="minorHAnsi" w:cstheme="minorBidi"/>
                <w:b/>
                <w:bCs/>
                <w:color w:val="000000"/>
              </w:rPr>
              <w:t>18 543</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b/>
                <w:bCs/>
                <w:color w:val="000000"/>
              </w:rPr>
            </w:pPr>
            <w:r w:rsidRPr="00896F06">
              <w:rPr>
                <w:rFonts w:asciiTheme="minorHAnsi" w:eastAsiaTheme="minorEastAsia" w:hAnsiTheme="minorHAnsi" w:cstheme="minorBidi"/>
                <w:b/>
                <w:bCs/>
                <w:color w:val="000000"/>
              </w:rPr>
              <w:t>26 534</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b/>
                <w:bCs/>
                <w:color w:val="000000"/>
              </w:rPr>
            </w:pPr>
            <w:r w:rsidRPr="00896F06">
              <w:rPr>
                <w:rFonts w:asciiTheme="minorHAnsi" w:eastAsiaTheme="minorEastAsia" w:hAnsiTheme="minorHAnsi" w:cstheme="minorBidi"/>
                <w:b/>
                <w:bCs/>
                <w:color w:val="000000"/>
              </w:rPr>
              <w:t>34 937</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b/>
                <w:bCs/>
                <w:color w:val="000000"/>
              </w:rPr>
            </w:pPr>
            <w:r w:rsidRPr="00896F06">
              <w:rPr>
                <w:rFonts w:asciiTheme="minorHAnsi" w:eastAsiaTheme="minorEastAsia" w:hAnsiTheme="minorHAnsi" w:cstheme="minorBidi"/>
                <w:b/>
                <w:bCs/>
                <w:color w:val="000000"/>
              </w:rPr>
              <w:t>38 006</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b/>
                <w:bCs/>
                <w:color w:val="000000"/>
              </w:rPr>
            </w:pPr>
            <w:r w:rsidRPr="00896F06">
              <w:rPr>
                <w:rFonts w:asciiTheme="minorHAnsi" w:eastAsiaTheme="minorEastAsia" w:hAnsiTheme="minorHAnsi" w:cstheme="minorBidi"/>
                <w:b/>
                <w:bCs/>
                <w:color w:val="000000"/>
              </w:rPr>
              <w:t>19 797</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b/>
                <w:bCs/>
                <w:color w:val="000000"/>
              </w:rPr>
            </w:pPr>
            <w:r w:rsidRPr="00896F06">
              <w:rPr>
                <w:rFonts w:asciiTheme="minorHAnsi" w:eastAsiaTheme="minorEastAsia" w:hAnsiTheme="minorHAnsi" w:cstheme="minorBidi"/>
                <w:b/>
                <w:bCs/>
                <w:color w:val="000000"/>
              </w:rPr>
              <w:t>29 950</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b/>
                <w:bCs/>
                <w:color w:val="000000"/>
              </w:rPr>
            </w:pPr>
            <w:r w:rsidRPr="00896F06">
              <w:rPr>
                <w:rFonts w:asciiTheme="minorHAnsi" w:eastAsiaTheme="minorEastAsia" w:hAnsiTheme="minorHAnsi" w:cstheme="minorBidi"/>
                <w:b/>
                <w:bCs/>
                <w:color w:val="000000"/>
              </w:rPr>
              <w:t>21 547</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b/>
                <w:bCs/>
                <w:color w:val="000000"/>
              </w:rPr>
            </w:pPr>
            <w:r w:rsidRPr="00896F06">
              <w:rPr>
                <w:rFonts w:asciiTheme="minorHAnsi" w:eastAsiaTheme="minorEastAsia" w:hAnsiTheme="minorHAnsi" w:cstheme="minorBidi"/>
                <w:b/>
                <w:bCs/>
                <w:color w:val="000000"/>
              </w:rPr>
              <w:t>369 901</w:t>
            </w:r>
          </w:p>
        </w:tc>
      </w:tr>
      <w:tr w:rsidR="005F3F41" w:rsidRPr="00896F06" w:rsidTr="006D5871">
        <w:trPr>
          <w:cnfStyle w:val="000000010000"/>
          <w:trHeight w:val="454"/>
        </w:trPr>
        <w:tc>
          <w:tcPr>
            <w:cnfStyle w:val="001000000000"/>
            <w:tcW w:w="2096" w:type="dxa"/>
            <w:gridSpan w:val="2"/>
            <w:vAlign w:val="center"/>
            <w:hideMark/>
          </w:tcPr>
          <w:p w:rsidR="005F3F41" w:rsidRPr="00896F06" w:rsidRDefault="005F3F41" w:rsidP="006D5871">
            <w:pPr>
              <w:jc w:val="both"/>
              <w:rPr>
                <w:rFonts w:asciiTheme="minorHAnsi" w:eastAsiaTheme="minorEastAsia" w:hAnsiTheme="minorHAnsi" w:cstheme="minorBidi"/>
                <w:b w:val="0"/>
                <w:bCs w:val="0"/>
                <w:color w:val="000000"/>
              </w:rPr>
            </w:pPr>
            <w:r w:rsidRPr="00896F06">
              <w:rPr>
                <w:rFonts w:asciiTheme="minorHAnsi" w:eastAsiaTheme="minorEastAsia" w:hAnsiTheme="minorHAnsi" w:cstheme="minorBidi"/>
                <w:b w:val="0"/>
                <w:bCs w:val="0"/>
                <w:color w:val="000000"/>
              </w:rPr>
              <w:t>TINS issued (unreg/unlic)</w:t>
            </w: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4</w:t>
            </w: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0</w:t>
            </w: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20</w:t>
            </w: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13</w:t>
            </w: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8</w:t>
            </w: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1</w:t>
            </w: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7</w:t>
            </w: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9</w:t>
            </w: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0</w:t>
            </w: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0</w:t>
            </w: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5</w:t>
            </w: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0</w:t>
            </w: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67</w:t>
            </w:r>
          </w:p>
        </w:tc>
      </w:tr>
      <w:tr w:rsidR="005F3F41" w:rsidRPr="00896F06" w:rsidTr="006D5871">
        <w:trPr>
          <w:cnfStyle w:val="000000100000"/>
          <w:trHeight w:val="454"/>
        </w:trPr>
        <w:tc>
          <w:tcPr>
            <w:cnfStyle w:val="001000000000"/>
            <w:tcW w:w="2096" w:type="dxa"/>
            <w:gridSpan w:val="2"/>
            <w:vAlign w:val="center"/>
            <w:hideMark/>
          </w:tcPr>
          <w:p w:rsidR="005F3F41" w:rsidRPr="00896F06" w:rsidRDefault="005F3F41" w:rsidP="006D5871">
            <w:pPr>
              <w:jc w:val="both"/>
              <w:rPr>
                <w:rFonts w:asciiTheme="minorHAnsi" w:eastAsiaTheme="minorEastAsia" w:hAnsiTheme="minorHAnsi" w:cstheme="minorBidi"/>
                <w:b w:val="0"/>
                <w:bCs w:val="0"/>
                <w:color w:val="000000"/>
              </w:rPr>
            </w:pPr>
            <w:r w:rsidRPr="00896F06">
              <w:rPr>
                <w:rFonts w:asciiTheme="minorHAnsi" w:eastAsiaTheme="minorEastAsia" w:hAnsiTheme="minorHAnsi" w:cstheme="minorBidi"/>
                <w:b w:val="0"/>
                <w:bCs w:val="0"/>
                <w:color w:val="000000"/>
              </w:rPr>
              <w:t>Other Unreg</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295</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307</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158</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190</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185</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127</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139</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181</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220</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95</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154</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166</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2217</w:t>
            </w:r>
          </w:p>
        </w:tc>
      </w:tr>
      <w:tr w:rsidR="005F3F41" w:rsidRPr="00896F06" w:rsidTr="006D5871">
        <w:trPr>
          <w:cnfStyle w:val="000000010000"/>
          <w:trHeight w:val="454"/>
        </w:trPr>
        <w:tc>
          <w:tcPr>
            <w:cnfStyle w:val="001000000000"/>
            <w:tcW w:w="2096" w:type="dxa"/>
            <w:gridSpan w:val="2"/>
            <w:vAlign w:val="center"/>
            <w:hideMark/>
          </w:tcPr>
          <w:p w:rsidR="005F3F41" w:rsidRPr="00896F06" w:rsidRDefault="005F3F41" w:rsidP="006D5871">
            <w:pPr>
              <w:jc w:val="both"/>
              <w:rPr>
                <w:rFonts w:asciiTheme="minorHAnsi" w:eastAsiaTheme="minorEastAsia" w:hAnsiTheme="minorHAnsi" w:cstheme="minorBidi"/>
                <w:b w:val="0"/>
                <w:bCs w:val="0"/>
                <w:color w:val="000000"/>
              </w:rPr>
            </w:pPr>
            <w:r w:rsidRPr="00896F06">
              <w:rPr>
                <w:rFonts w:asciiTheme="minorHAnsi" w:eastAsiaTheme="minorEastAsia" w:hAnsiTheme="minorHAnsi" w:cstheme="minorBidi"/>
                <w:b w:val="0"/>
                <w:bCs w:val="0"/>
                <w:color w:val="000000"/>
              </w:rPr>
              <w:t>Total Unreg’d</w:t>
            </w: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b/>
                <w:bCs/>
                <w:color w:val="000000"/>
              </w:rPr>
            </w:pPr>
            <w:r w:rsidRPr="00896F06">
              <w:rPr>
                <w:rFonts w:asciiTheme="minorHAnsi" w:eastAsiaTheme="minorEastAsia" w:hAnsiTheme="minorHAnsi" w:cstheme="minorBidi"/>
                <w:b/>
                <w:bCs/>
                <w:color w:val="000000"/>
              </w:rPr>
              <w:t>299</w:t>
            </w: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b/>
                <w:bCs/>
                <w:color w:val="000000"/>
              </w:rPr>
            </w:pPr>
            <w:r w:rsidRPr="00896F06">
              <w:rPr>
                <w:rFonts w:asciiTheme="minorHAnsi" w:eastAsiaTheme="minorEastAsia" w:hAnsiTheme="minorHAnsi" w:cstheme="minorBidi"/>
                <w:b/>
                <w:bCs/>
                <w:color w:val="000000"/>
              </w:rPr>
              <w:t>307</w:t>
            </w: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b/>
                <w:bCs/>
                <w:color w:val="000000"/>
              </w:rPr>
            </w:pPr>
            <w:r w:rsidRPr="00896F06">
              <w:rPr>
                <w:rFonts w:asciiTheme="minorHAnsi" w:eastAsiaTheme="minorEastAsia" w:hAnsiTheme="minorHAnsi" w:cstheme="minorBidi"/>
                <w:b/>
                <w:bCs/>
                <w:color w:val="000000"/>
              </w:rPr>
              <w:t>178</w:t>
            </w: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b/>
                <w:bCs/>
                <w:color w:val="000000"/>
              </w:rPr>
            </w:pPr>
            <w:r w:rsidRPr="00896F06">
              <w:rPr>
                <w:rFonts w:asciiTheme="minorHAnsi" w:eastAsiaTheme="minorEastAsia" w:hAnsiTheme="minorHAnsi" w:cstheme="minorBidi"/>
                <w:b/>
                <w:bCs/>
                <w:color w:val="000000"/>
              </w:rPr>
              <w:t>203</w:t>
            </w: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b/>
                <w:bCs/>
                <w:color w:val="000000"/>
              </w:rPr>
            </w:pPr>
            <w:r w:rsidRPr="00896F06">
              <w:rPr>
                <w:rFonts w:asciiTheme="minorHAnsi" w:eastAsiaTheme="minorEastAsia" w:hAnsiTheme="minorHAnsi" w:cstheme="minorBidi"/>
                <w:b/>
                <w:bCs/>
                <w:color w:val="000000"/>
              </w:rPr>
              <w:t>193</w:t>
            </w: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b/>
                <w:bCs/>
                <w:color w:val="000000"/>
              </w:rPr>
            </w:pPr>
            <w:r w:rsidRPr="00896F06">
              <w:rPr>
                <w:rFonts w:asciiTheme="minorHAnsi" w:eastAsiaTheme="minorEastAsia" w:hAnsiTheme="minorHAnsi" w:cstheme="minorBidi"/>
                <w:b/>
                <w:bCs/>
                <w:color w:val="000000"/>
              </w:rPr>
              <w:t>128</w:t>
            </w: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b/>
                <w:bCs/>
                <w:color w:val="000000"/>
              </w:rPr>
            </w:pPr>
            <w:r w:rsidRPr="00896F06">
              <w:rPr>
                <w:rFonts w:asciiTheme="minorHAnsi" w:eastAsiaTheme="minorEastAsia" w:hAnsiTheme="minorHAnsi" w:cstheme="minorBidi"/>
                <w:b/>
                <w:bCs/>
                <w:color w:val="000000"/>
              </w:rPr>
              <w:t>146</w:t>
            </w: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b/>
                <w:bCs/>
                <w:color w:val="000000"/>
              </w:rPr>
            </w:pPr>
            <w:r w:rsidRPr="00896F06">
              <w:rPr>
                <w:rFonts w:asciiTheme="minorHAnsi" w:eastAsiaTheme="minorEastAsia" w:hAnsiTheme="minorHAnsi" w:cstheme="minorBidi"/>
                <w:b/>
                <w:bCs/>
                <w:color w:val="000000"/>
              </w:rPr>
              <w:t>190</w:t>
            </w: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b/>
                <w:bCs/>
                <w:color w:val="000000"/>
              </w:rPr>
            </w:pPr>
            <w:r w:rsidRPr="00896F06">
              <w:rPr>
                <w:rFonts w:asciiTheme="minorHAnsi" w:eastAsiaTheme="minorEastAsia" w:hAnsiTheme="minorHAnsi" w:cstheme="minorBidi"/>
                <w:b/>
                <w:bCs/>
                <w:color w:val="000000"/>
              </w:rPr>
              <w:t>220</w:t>
            </w: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b/>
                <w:bCs/>
                <w:color w:val="000000"/>
              </w:rPr>
            </w:pPr>
            <w:r w:rsidRPr="00896F06">
              <w:rPr>
                <w:rFonts w:asciiTheme="minorHAnsi" w:eastAsiaTheme="minorEastAsia" w:hAnsiTheme="minorHAnsi" w:cstheme="minorBidi"/>
                <w:b/>
                <w:bCs/>
                <w:color w:val="000000"/>
              </w:rPr>
              <w:t>95</w:t>
            </w: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b/>
                <w:bCs/>
                <w:color w:val="000000"/>
              </w:rPr>
            </w:pPr>
            <w:r w:rsidRPr="00896F06">
              <w:rPr>
                <w:rFonts w:asciiTheme="minorHAnsi" w:eastAsiaTheme="minorEastAsia" w:hAnsiTheme="minorHAnsi" w:cstheme="minorBidi"/>
                <w:b/>
                <w:bCs/>
                <w:color w:val="000000"/>
              </w:rPr>
              <w:t>159</w:t>
            </w: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b/>
                <w:bCs/>
                <w:color w:val="000000"/>
              </w:rPr>
            </w:pPr>
            <w:r w:rsidRPr="00896F06">
              <w:rPr>
                <w:rFonts w:asciiTheme="minorHAnsi" w:eastAsiaTheme="minorEastAsia" w:hAnsiTheme="minorHAnsi" w:cstheme="minorBidi"/>
                <w:b/>
                <w:bCs/>
                <w:color w:val="000000"/>
              </w:rPr>
              <w:t>166</w:t>
            </w: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b/>
                <w:bCs/>
                <w:color w:val="000000"/>
              </w:rPr>
            </w:pPr>
            <w:r w:rsidRPr="00896F06">
              <w:rPr>
                <w:rFonts w:asciiTheme="minorHAnsi" w:eastAsiaTheme="minorEastAsia" w:hAnsiTheme="minorHAnsi" w:cstheme="minorBidi"/>
                <w:b/>
                <w:bCs/>
                <w:color w:val="000000"/>
              </w:rPr>
              <w:t>2284</w:t>
            </w:r>
          </w:p>
        </w:tc>
      </w:tr>
      <w:tr w:rsidR="005F3F41" w:rsidRPr="00896F06" w:rsidTr="006D5871">
        <w:trPr>
          <w:cnfStyle w:val="000000100000"/>
          <w:trHeight w:val="454"/>
        </w:trPr>
        <w:tc>
          <w:tcPr>
            <w:cnfStyle w:val="001000000000"/>
            <w:tcW w:w="2096" w:type="dxa"/>
            <w:gridSpan w:val="2"/>
            <w:vAlign w:val="center"/>
            <w:hideMark/>
          </w:tcPr>
          <w:p w:rsidR="005F3F41" w:rsidRPr="00896F06" w:rsidRDefault="005F3F41" w:rsidP="006D5871">
            <w:pPr>
              <w:jc w:val="both"/>
              <w:rPr>
                <w:rFonts w:asciiTheme="minorHAnsi" w:eastAsiaTheme="minorEastAsia" w:hAnsiTheme="minorHAnsi" w:cstheme="minorBidi"/>
                <w:b w:val="0"/>
                <w:bCs w:val="0"/>
                <w:color w:val="000000"/>
              </w:rPr>
            </w:pPr>
            <w:r w:rsidRPr="00896F06">
              <w:rPr>
                <w:rFonts w:asciiTheme="minorHAnsi" w:eastAsiaTheme="minorEastAsia" w:hAnsiTheme="minorHAnsi" w:cstheme="minorBidi"/>
                <w:b w:val="0"/>
                <w:bCs w:val="0"/>
                <w:color w:val="000000"/>
              </w:rPr>
              <w:t>% Vehicles Unreg’d</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0.66%</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0.69%</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0.68%</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0.56%</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0.69%</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0.69%</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0.55%</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0.54%</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0.58%</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0.51%</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0.53%</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0.77%</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0.62%</w:t>
            </w:r>
          </w:p>
        </w:tc>
      </w:tr>
      <w:tr w:rsidR="005F3F41" w:rsidRPr="00896F06" w:rsidTr="006D5871">
        <w:trPr>
          <w:cnfStyle w:val="000000010000"/>
          <w:trHeight w:val="454"/>
        </w:trPr>
        <w:tc>
          <w:tcPr>
            <w:cnfStyle w:val="001000000000"/>
            <w:tcW w:w="2096" w:type="dxa"/>
            <w:gridSpan w:val="2"/>
            <w:vAlign w:val="center"/>
            <w:hideMark/>
          </w:tcPr>
          <w:p w:rsidR="005F3F41" w:rsidRPr="00896F06" w:rsidRDefault="005F3F41" w:rsidP="006D5871">
            <w:pPr>
              <w:jc w:val="both"/>
              <w:rPr>
                <w:rFonts w:asciiTheme="minorHAnsi" w:eastAsiaTheme="minorEastAsia" w:hAnsiTheme="minorHAnsi" w:cstheme="minorBidi"/>
                <w:b w:val="0"/>
                <w:bCs w:val="0"/>
                <w:color w:val="000000"/>
              </w:rPr>
            </w:pPr>
            <w:r w:rsidRPr="00896F06">
              <w:rPr>
                <w:rFonts w:asciiTheme="minorHAnsi" w:eastAsiaTheme="minorEastAsia" w:hAnsiTheme="minorHAnsi" w:cstheme="minorBidi"/>
                <w:b w:val="0"/>
                <w:bCs w:val="0"/>
                <w:color w:val="000000"/>
              </w:rPr>
              <w:t>Number Re-registered</w:t>
            </w: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261</w:t>
            </w: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252</w:t>
            </w: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150</w:t>
            </w: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171</w:t>
            </w: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152</w:t>
            </w: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105</w:t>
            </w: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122</w:t>
            </w: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153</w:t>
            </w: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196</w:t>
            </w: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85</w:t>
            </w: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137</w:t>
            </w: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131</w:t>
            </w: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1915</w:t>
            </w:r>
          </w:p>
        </w:tc>
      </w:tr>
      <w:tr w:rsidR="005F3F41" w:rsidRPr="00896F06" w:rsidTr="006D5871">
        <w:trPr>
          <w:cnfStyle w:val="000000100000"/>
          <w:trHeight w:val="454"/>
        </w:trPr>
        <w:tc>
          <w:tcPr>
            <w:cnfStyle w:val="001000000000"/>
            <w:tcW w:w="2096" w:type="dxa"/>
            <w:gridSpan w:val="2"/>
            <w:vAlign w:val="center"/>
            <w:hideMark/>
          </w:tcPr>
          <w:p w:rsidR="005F3F41" w:rsidRPr="00896F06" w:rsidRDefault="005F3F41" w:rsidP="006D5871">
            <w:pPr>
              <w:jc w:val="both"/>
              <w:rPr>
                <w:rFonts w:asciiTheme="minorHAnsi" w:eastAsiaTheme="minorEastAsia" w:hAnsiTheme="minorHAnsi" w:cstheme="minorBidi"/>
                <w:b w:val="0"/>
                <w:bCs w:val="0"/>
                <w:color w:val="000000"/>
              </w:rPr>
            </w:pPr>
            <w:r w:rsidRPr="00896F06">
              <w:rPr>
                <w:rFonts w:asciiTheme="minorHAnsi" w:eastAsiaTheme="minorEastAsia" w:hAnsiTheme="minorHAnsi" w:cstheme="minorBidi"/>
                <w:b w:val="0"/>
                <w:bCs w:val="0"/>
                <w:color w:val="000000"/>
              </w:rPr>
              <w:t>% Re-registered</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b/>
                <w:color w:val="000000"/>
              </w:rPr>
            </w:pPr>
            <w:r w:rsidRPr="00896F06">
              <w:rPr>
                <w:rFonts w:asciiTheme="minorHAnsi" w:eastAsiaTheme="minorEastAsia" w:hAnsiTheme="minorHAnsi" w:cstheme="minorBidi"/>
                <w:b/>
                <w:color w:val="000000"/>
              </w:rPr>
              <w:t>87%</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b/>
                <w:color w:val="000000"/>
              </w:rPr>
            </w:pPr>
            <w:r w:rsidRPr="00896F06">
              <w:rPr>
                <w:rFonts w:asciiTheme="minorHAnsi" w:eastAsiaTheme="minorEastAsia" w:hAnsiTheme="minorHAnsi" w:cstheme="minorBidi"/>
                <w:b/>
                <w:color w:val="000000"/>
              </w:rPr>
              <w:t>82%</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b/>
                <w:color w:val="000000"/>
              </w:rPr>
            </w:pPr>
            <w:r w:rsidRPr="00896F06">
              <w:rPr>
                <w:rFonts w:asciiTheme="minorHAnsi" w:eastAsiaTheme="minorEastAsia" w:hAnsiTheme="minorHAnsi" w:cstheme="minorBidi"/>
                <w:b/>
                <w:color w:val="000000"/>
              </w:rPr>
              <w:t>84%</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b/>
                <w:color w:val="000000"/>
              </w:rPr>
            </w:pPr>
            <w:r w:rsidRPr="00896F06">
              <w:rPr>
                <w:rFonts w:asciiTheme="minorHAnsi" w:eastAsiaTheme="minorEastAsia" w:hAnsiTheme="minorHAnsi" w:cstheme="minorBidi"/>
                <w:b/>
                <w:color w:val="000000"/>
              </w:rPr>
              <w:t>84%</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b/>
                <w:color w:val="000000"/>
              </w:rPr>
            </w:pPr>
            <w:r w:rsidRPr="00896F06">
              <w:rPr>
                <w:rFonts w:asciiTheme="minorHAnsi" w:eastAsiaTheme="minorEastAsia" w:hAnsiTheme="minorHAnsi" w:cstheme="minorBidi"/>
                <w:b/>
                <w:color w:val="000000"/>
              </w:rPr>
              <w:t>79%</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b/>
                <w:color w:val="000000"/>
              </w:rPr>
            </w:pPr>
            <w:r w:rsidRPr="00896F06">
              <w:rPr>
                <w:rFonts w:asciiTheme="minorHAnsi" w:eastAsiaTheme="minorEastAsia" w:hAnsiTheme="minorHAnsi" w:cstheme="minorBidi"/>
                <w:b/>
                <w:color w:val="000000"/>
              </w:rPr>
              <w:t>82%</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b/>
                <w:color w:val="000000"/>
              </w:rPr>
            </w:pPr>
            <w:r w:rsidRPr="00896F06">
              <w:rPr>
                <w:rFonts w:asciiTheme="minorHAnsi" w:eastAsiaTheme="minorEastAsia" w:hAnsiTheme="minorHAnsi" w:cstheme="minorBidi"/>
                <w:b/>
                <w:color w:val="000000"/>
              </w:rPr>
              <w:t>84%</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b/>
                <w:color w:val="000000"/>
              </w:rPr>
            </w:pPr>
            <w:r w:rsidRPr="00896F06">
              <w:rPr>
                <w:rFonts w:asciiTheme="minorHAnsi" w:eastAsiaTheme="minorEastAsia" w:hAnsiTheme="minorHAnsi" w:cstheme="minorBidi"/>
                <w:b/>
                <w:color w:val="000000"/>
              </w:rPr>
              <w:t>81%</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b/>
                <w:color w:val="000000"/>
              </w:rPr>
            </w:pPr>
            <w:r w:rsidRPr="00896F06">
              <w:rPr>
                <w:rFonts w:asciiTheme="minorHAnsi" w:eastAsiaTheme="minorEastAsia" w:hAnsiTheme="minorHAnsi" w:cstheme="minorBidi"/>
                <w:b/>
                <w:color w:val="000000"/>
              </w:rPr>
              <w:t>89%</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b/>
                <w:color w:val="000000"/>
              </w:rPr>
            </w:pPr>
            <w:r w:rsidRPr="00896F06">
              <w:rPr>
                <w:rFonts w:asciiTheme="minorHAnsi" w:eastAsiaTheme="minorEastAsia" w:hAnsiTheme="minorHAnsi" w:cstheme="minorBidi"/>
                <w:b/>
                <w:color w:val="000000"/>
              </w:rPr>
              <w:t>89%</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b/>
                <w:color w:val="000000"/>
              </w:rPr>
            </w:pPr>
            <w:r w:rsidRPr="00896F06">
              <w:rPr>
                <w:rFonts w:asciiTheme="minorHAnsi" w:eastAsiaTheme="minorEastAsia" w:hAnsiTheme="minorHAnsi" w:cstheme="minorBidi"/>
                <w:b/>
                <w:color w:val="000000"/>
              </w:rPr>
              <w:t>86%</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b/>
                <w:color w:val="000000"/>
              </w:rPr>
            </w:pPr>
            <w:r w:rsidRPr="00896F06">
              <w:rPr>
                <w:rFonts w:asciiTheme="minorHAnsi" w:eastAsiaTheme="minorEastAsia" w:hAnsiTheme="minorHAnsi" w:cstheme="minorBidi"/>
                <w:b/>
                <w:color w:val="000000"/>
              </w:rPr>
              <w:t>79%</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b/>
                <w:color w:val="000000"/>
              </w:rPr>
            </w:pPr>
            <w:r w:rsidRPr="00896F06">
              <w:rPr>
                <w:rFonts w:asciiTheme="minorHAnsi" w:eastAsiaTheme="minorEastAsia" w:hAnsiTheme="minorHAnsi" w:cstheme="minorBidi"/>
                <w:b/>
                <w:color w:val="000000"/>
              </w:rPr>
              <w:t>84%</w:t>
            </w:r>
          </w:p>
        </w:tc>
      </w:tr>
      <w:tr w:rsidR="005F3F41" w:rsidRPr="00896F06" w:rsidTr="006D5871">
        <w:trPr>
          <w:cnfStyle w:val="000000010000"/>
          <w:trHeight w:val="454"/>
        </w:trPr>
        <w:tc>
          <w:tcPr>
            <w:cnfStyle w:val="001000000000"/>
            <w:tcW w:w="2096" w:type="dxa"/>
            <w:gridSpan w:val="2"/>
            <w:vAlign w:val="center"/>
            <w:hideMark/>
          </w:tcPr>
          <w:p w:rsidR="005F3F41" w:rsidRPr="00896F06" w:rsidRDefault="005F3F41" w:rsidP="006D5871">
            <w:pPr>
              <w:jc w:val="both"/>
              <w:rPr>
                <w:rFonts w:asciiTheme="minorHAnsi" w:eastAsiaTheme="minorEastAsia" w:hAnsiTheme="minorHAnsi" w:cstheme="minorBidi"/>
                <w:b w:val="0"/>
                <w:bCs w:val="0"/>
                <w:color w:val="000000"/>
              </w:rPr>
            </w:pPr>
            <w:r w:rsidRPr="00896F06">
              <w:rPr>
                <w:rFonts w:asciiTheme="minorHAnsi" w:eastAsiaTheme="minorEastAsia" w:hAnsiTheme="minorHAnsi" w:cstheme="minorBidi"/>
                <w:b w:val="0"/>
                <w:bCs w:val="0"/>
                <w:color w:val="000000"/>
              </w:rPr>
              <w:t>Hours (combined)</w:t>
            </w: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199</w:t>
            </w: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121</w:t>
            </w: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161</w:t>
            </w: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69</w:t>
            </w: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66</w:t>
            </w: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43</w:t>
            </w: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67</w:t>
            </w: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72</w:t>
            </w: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101</w:t>
            </w: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66</w:t>
            </w: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82</w:t>
            </w: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52</w:t>
            </w:r>
          </w:p>
        </w:tc>
        <w:tc>
          <w:tcPr>
            <w:tcW w:w="960" w:type="dxa"/>
            <w:vAlign w:val="center"/>
            <w:hideMark/>
          </w:tcPr>
          <w:p w:rsidR="005F3F41" w:rsidRPr="00896F06" w:rsidRDefault="005F3F41" w:rsidP="006D5871">
            <w:pPr>
              <w:jc w:val="both"/>
              <w:cnfStyle w:val="000000010000"/>
              <w:rPr>
                <w:rFonts w:asciiTheme="minorHAnsi" w:eastAsiaTheme="minorEastAsia" w:hAnsiTheme="minorHAnsi" w:cstheme="minorBidi"/>
                <w:color w:val="000000"/>
              </w:rPr>
            </w:pPr>
            <w:r w:rsidRPr="00896F06">
              <w:rPr>
                <w:rFonts w:asciiTheme="minorHAnsi" w:eastAsiaTheme="minorEastAsia" w:hAnsiTheme="minorHAnsi" w:cstheme="minorBidi"/>
                <w:color w:val="000000"/>
              </w:rPr>
              <w:t>1099</w:t>
            </w:r>
          </w:p>
        </w:tc>
      </w:tr>
      <w:tr w:rsidR="005F3F41" w:rsidRPr="00896F06" w:rsidTr="006D5871">
        <w:trPr>
          <w:cnfStyle w:val="000000100000"/>
          <w:trHeight w:val="454"/>
        </w:trPr>
        <w:tc>
          <w:tcPr>
            <w:cnfStyle w:val="001000000000"/>
            <w:tcW w:w="2096" w:type="dxa"/>
            <w:gridSpan w:val="2"/>
            <w:vAlign w:val="center"/>
            <w:hideMark/>
          </w:tcPr>
          <w:p w:rsidR="005F3F41" w:rsidRPr="00896F06" w:rsidRDefault="005F3F41" w:rsidP="006D5871">
            <w:pPr>
              <w:jc w:val="both"/>
              <w:rPr>
                <w:rFonts w:asciiTheme="minorHAnsi" w:eastAsiaTheme="minorEastAsia" w:hAnsiTheme="minorHAnsi" w:cstheme="minorBidi"/>
                <w:b w:val="0"/>
                <w:bCs w:val="0"/>
                <w:color w:val="000000"/>
              </w:rPr>
            </w:pPr>
            <w:r w:rsidRPr="00896F06">
              <w:rPr>
                <w:rFonts w:asciiTheme="minorHAnsi" w:eastAsiaTheme="minorEastAsia" w:hAnsiTheme="minorHAnsi" w:cstheme="minorBidi"/>
                <w:b w:val="0"/>
                <w:bCs w:val="0"/>
                <w:color w:val="000000"/>
              </w:rPr>
              <w:t>Letters Sent</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b/>
                <w:bCs/>
                <w:color w:val="000000"/>
              </w:rPr>
            </w:pPr>
            <w:r w:rsidRPr="00896F06">
              <w:rPr>
                <w:rFonts w:asciiTheme="minorHAnsi" w:eastAsiaTheme="minorEastAsia" w:hAnsiTheme="minorHAnsi" w:cstheme="minorBidi"/>
                <w:b/>
                <w:bCs/>
                <w:color w:val="000000"/>
              </w:rPr>
              <w:t>228</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b/>
                <w:bCs/>
                <w:color w:val="000000"/>
              </w:rPr>
            </w:pPr>
            <w:r w:rsidRPr="00896F06">
              <w:rPr>
                <w:rFonts w:asciiTheme="minorHAnsi" w:eastAsiaTheme="minorEastAsia" w:hAnsiTheme="minorHAnsi" w:cstheme="minorBidi"/>
                <w:b/>
                <w:bCs/>
                <w:color w:val="000000"/>
              </w:rPr>
              <w:t>204</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b/>
                <w:bCs/>
                <w:color w:val="000000"/>
              </w:rPr>
            </w:pPr>
            <w:r w:rsidRPr="00896F06">
              <w:rPr>
                <w:rFonts w:asciiTheme="minorHAnsi" w:eastAsiaTheme="minorEastAsia" w:hAnsiTheme="minorHAnsi" w:cstheme="minorBidi"/>
                <w:b/>
                <w:bCs/>
                <w:color w:val="000000"/>
              </w:rPr>
              <w:t>107</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b/>
                <w:bCs/>
                <w:color w:val="000000"/>
              </w:rPr>
            </w:pPr>
            <w:r w:rsidRPr="00896F06">
              <w:rPr>
                <w:rFonts w:asciiTheme="minorHAnsi" w:eastAsiaTheme="minorEastAsia" w:hAnsiTheme="minorHAnsi" w:cstheme="minorBidi"/>
                <w:b/>
                <w:bCs/>
                <w:color w:val="000000"/>
              </w:rPr>
              <w:t>115</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b/>
                <w:bCs/>
                <w:color w:val="000000"/>
              </w:rPr>
            </w:pPr>
            <w:r w:rsidRPr="00896F06">
              <w:rPr>
                <w:rFonts w:asciiTheme="minorHAnsi" w:eastAsiaTheme="minorEastAsia" w:hAnsiTheme="minorHAnsi" w:cstheme="minorBidi"/>
                <w:b/>
                <w:bCs/>
                <w:color w:val="000000"/>
              </w:rPr>
              <w:t>113</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b/>
                <w:bCs/>
                <w:color w:val="000000"/>
              </w:rPr>
            </w:pPr>
            <w:r w:rsidRPr="00896F06">
              <w:rPr>
                <w:rFonts w:asciiTheme="minorHAnsi" w:eastAsiaTheme="minorEastAsia" w:hAnsiTheme="minorHAnsi" w:cstheme="minorBidi"/>
                <w:b/>
                <w:bCs/>
                <w:color w:val="000000"/>
              </w:rPr>
              <w:t>76</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b/>
                <w:bCs/>
                <w:color w:val="000000"/>
              </w:rPr>
            </w:pPr>
            <w:r w:rsidRPr="00896F06">
              <w:rPr>
                <w:rFonts w:asciiTheme="minorHAnsi" w:eastAsiaTheme="minorEastAsia" w:hAnsiTheme="minorHAnsi" w:cstheme="minorBidi"/>
                <w:b/>
                <w:bCs/>
                <w:color w:val="000000"/>
              </w:rPr>
              <w:t>90</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b/>
                <w:bCs/>
                <w:color w:val="000000"/>
              </w:rPr>
            </w:pPr>
            <w:r w:rsidRPr="00896F06">
              <w:rPr>
                <w:rFonts w:asciiTheme="minorHAnsi" w:eastAsiaTheme="minorEastAsia" w:hAnsiTheme="minorHAnsi" w:cstheme="minorBidi"/>
                <w:b/>
                <w:bCs/>
                <w:color w:val="000000"/>
              </w:rPr>
              <w:t>109</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b/>
                <w:bCs/>
                <w:color w:val="000000"/>
              </w:rPr>
            </w:pPr>
            <w:r w:rsidRPr="00896F06">
              <w:rPr>
                <w:rFonts w:asciiTheme="minorHAnsi" w:eastAsiaTheme="minorEastAsia" w:hAnsiTheme="minorHAnsi" w:cstheme="minorBidi"/>
                <w:b/>
                <w:bCs/>
                <w:color w:val="000000"/>
              </w:rPr>
              <w:t>117</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b/>
                <w:bCs/>
                <w:color w:val="000000"/>
              </w:rPr>
            </w:pPr>
            <w:r w:rsidRPr="00896F06">
              <w:rPr>
                <w:rFonts w:asciiTheme="minorHAnsi" w:eastAsiaTheme="minorEastAsia" w:hAnsiTheme="minorHAnsi" w:cstheme="minorBidi"/>
                <w:b/>
                <w:bCs/>
                <w:color w:val="000000"/>
              </w:rPr>
              <w:t>59</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b/>
                <w:bCs/>
                <w:color w:val="000000"/>
              </w:rPr>
            </w:pPr>
            <w:r w:rsidRPr="00896F06">
              <w:rPr>
                <w:rFonts w:asciiTheme="minorHAnsi" w:eastAsiaTheme="minorEastAsia" w:hAnsiTheme="minorHAnsi" w:cstheme="minorBidi"/>
                <w:b/>
                <w:bCs/>
                <w:color w:val="000000"/>
              </w:rPr>
              <w:t>75</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b/>
                <w:bCs/>
                <w:color w:val="000000"/>
              </w:rPr>
            </w:pPr>
            <w:r w:rsidRPr="00896F06">
              <w:rPr>
                <w:rFonts w:asciiTheme="minorHAnsi" w:eastAsiaTheme="minorEastAsia" w:hAnsiTheme="minorHAnsi" w:cstheme="minorBidi"/>
                <w:b/>
                <w:bCs/>
                <w:color w:val="000000"/>
              </w:rPr>
              <w:t>78</w:t>
            </w:r>
          </w:p>
        </w:tc>
        <w:tc>
          <w:tcPr>
            <w:tcW w:w="960" w:type="dxa"/>
            <w:vAlign w:val="center"/>
            <w:hideMark/>
          </w:tcPr>
          <w:p w:rsidR="005F3F41" w:rsidRPr="00896F06" w:rsidRDefault="005F3F41" w:rsidP="006D5871">
            <w:pPr>
              <w:jc w:val="both"/>
              <w:cnfStyle w:val="000000100000"/>
              <w:rPr>
                <w:rFonts w:asciiTheme="minorHAnsi" w:eastAsiaTheme="minorEastAsia" w:hAnsiTheme="minorHAnsi" w:cstheme="minorBidi"/>
                <w:b/>
                <w:bCs/>
                <w:color w:val="000000"/>
              </w:rPr>
            </w:pPr>
            <w:r w:rsidRPr="00896F06">
              <w:rPr>
                <w:rFonts w:asciiTheme="minorHAnsi" w:eastAsiaTheme="minorEastAsia" w:hAnsiTheme="minorHAnsi" w:cstheme="minorBidi"/>
                <w:b/>
                <w:bCs/>
                <w:color w:val="000000"/>
              </w:rPr>
              <w:t>1371</w:t>
            </w:r>
          </w:p>
        </w:tc>
      </w:tr>
    </w:tbl>
    <w:p w:rsidR="00A561D9" w:rsidRDefault="00A561D9" w:rsidP="00D02BD0">
      <w:pPr>
        <w:jc w:val="both"/>
      </w:pPr>
    </w:p>
    <w:p w:rsidR="00CA1C5B" w:rsidRDefault="00CA1C5B">
      <w:r>
        <w:br w:type="page"/>
      </w:r>
    </w:p>
    <w:p w:rsidR="00336040" w:rsidRDefault="00F7744C" w:rsidP="00271EAA">
      <w:pPr>
        <w:pStyle w:val="PlainText"/>
        <w:rPr>
          <w:rFonts w:asciiTheme="minorHAnsi" w:hAnsiTheme="minorHAnsi" w:cstheme="minorHAnsi"/>
          <w:b/>
          <w:caps/>
          <w:sz w:val="24"/>
          <w:szCs w:val="20"/>
        </w:rPr>
      </w:pPr>
      <w:r w:rsidRPr="00F7744C">
        <w:rPr>
          <w:rFonts w:asciiTheme="minorHAnsi" w:hAnsiTheme="minorHAnsi" w:cstheme="minorHAnsi"/>
          <w:b/>
          <w:caps/>
          <w:noProof/>
          <w:sz w:val="24"/>
          <w:szCs w:val="20"/>
          <w:lang w:val="en-US"/>
        </w:rPr>
        <w:pict>
          <v:shape id="_x0000_s1030" type="#_x0000_t202" style="position:absolute;margin-left:429.25pt;margin-top:-31.75pt;width:304.4pt;height:49.9pt;z-index:251677696" wrapcoords="-53 0 -53 21221 21600 21221 21600 0 -53 0" stroked="f">
            <v:textbox style="mso-next-textbox:#_x0000_s1030">
              <w:txbxContent>
                <w:p w:rsidR="00787C1C" w:rsidRDefault="00787C1C" w:rsidP="008329FE">
                  <w:pPr>
                    <w:spacing w:after="0" w:line="240" w:lineRule="auto"/>
                    <w:jc w:val="right"/>
                    <w:rPr>
                      <w:sz w:val="24"/>
                      <w:szCs w:val="24"/>
                    </w:rPr>
                  </w:pPr>
                  <w:r w:rsidRPr="00DE1339">
                    <w:rPr>
                      <w:sz w:val="24"/>
                      <w:szCs w:val="24"/>
                    </w:rPr>
                    <w:t xml:space="preserve">Appendix </w:t>
                  </w:r>
                  <w:r>
                    <w:rPr>
                      <w:sz w:val="24"/>
                      <w:szCs w:val="24"/>
                    </w:rPr>
                    <w:t>C</w:t>
                  </w:r>
                  <w:r w:rsidRPr="00DE1339">
                    <w:rPr>
                      <w:sz w:val="24"/>
                      <w:szCs w:val="24"/>
                    </w:rPr>
                    <w:t xml:space="preserve"> – </w:t>
                  </w:r>
                  <w:r>
                    <w:rPr>
                      <w:sz w:val="24"/>
                      <w:szCs w:val="24"/>
                    </w:rPr>
                    <w:t>The number and percentage of drivers</w:t>
                  </w:r>
                </w:p>
                <w:p w:rsidR="00787C1C" w:rsidRPr="008329FE" w:rsidRDefault="00787C1C" w:rsidP="008329FE">
                  <w:pPr>
                    <w:spacing w:after="0" w:line="240" w:lineRule="auto"/>
                    <w:jc w:val="right"/>
                    <w:rPr>
                      <w:sz w:val="24"/>
                      <w:szCs w:val="24"/>
                    </w:rPr>
                  </w:pPr>
                  <w:r>
                    <w:rPr>
                      <w:sz w:val="24"/>
                      <w:szCs w:val="24"/>
                    </w:rPr>
                    <w:t>returning to the system in 2012</w:t>
                  </w:r>
                </w:p>
              </w:txbxContent>
            </v:textbox>
            <w10:wrap type="tight"/>
          </v:shape>
        </w:pict>
      </w:r>
    </w:p>
    <w:p w:rsidR="00336040" w:rsidRDefault="00336040" w:rsidP="00271EAA">
      <w:pPr>
        <w:pStyle w:val="PlainText"/>
        <w:rPr>
          <w:rFonts w:asciiTheme="minorHAnsi" w:hAnsiTheme="minorHAnsi" w:cstheme="minorHAnsi"/>
          <w:b/>
          <w:caps/>
          <w:sz w:val="24"/>
          <w:szCs w:val="20"/>
        </w:rPr>
      </w:pPr>
    </w:p>
    <w:tbl>
      <w:tblPr>
        <w:tblStyle w:val="ColorfulGrid-Accent5"/>
        <w:tblW w:w="4825" w:type="pct"/>
        <w:tblBorders>
          <w:top w:val="single" w:sz="4" w:space="0" w:color="auto"/>
          <w:left w:val="single" w:sz="4" w:space="0" w:color="auto"/>
          <w:bottom w:val="single" w:sz="4" w:space="0" w:color="auto"/>
          <w:right w:val="single" w:sz="4" w:space="0" w:color="auto"/>
        </w:tblBorders>
        <w:tblLook w:val="04A0"/>
      </w:tblPr>
      <w:tblGrid>
        <w:gridCol w:w="9361"/>
        <w:gridCol w:w="2161"/>
        <w:gridCol w:w="2156"/>
      </w:tblGrid>
      <w:tr w:rsidR="00336040" w:rsidRPr="0087632D" w:rsidTr="0087632D">
        <w:trPr>
          <w:cnfStyle w:val="100000000000"/>
          <w:trHeight w:val="432"/>
        </w:trPr>
        <w:tc>
          <w:tcPr>
            <w:cnfStyle w:val="001000000000"/>
            <w:tcW w:w="3422" w:type="pct"/>
          </w:tcPr>
          <w:p w:rsidR="0087632D" w:rsidRPr="0087632D" w:rsidRDefault="0087632D" w:rsidP="00F6183D">
            <w:pPr>
              <w:pStyle w:val="PlainText"/>
              <w:rPr>
                <w:rFonts w:asciiTheme="minorHAnsi" w:hAnsiTheme="minorHAnsi" w:cstheme="minorHAnsi"/>
                <w:b w:val="0"/>
                <w:sz w:val="28"/>
                <w:szCs w:val="28"/>
              </w:rPr>
            </w:pPr>
            <w:r w:rsidRPr="0087632D">
              <w:rPr>
                <w:rFonts w:asciiTheme="minorHAnsi" w:hAnsiTheme="minorHAnsi" w:cstheme="minorHAnsi"/>
                <w:sz w:val="28"/>
                <w:szCs w:val="28"/>
              </w:rPr>
              <w:t>Returning drivers in 2012</w:t>
            </w:r>
            <w:r w:rsidRPr="0087632D">
              <w:rPr>
                <w:rFonts w:asciiTheme="minorHAnsi" w:hAnsiTheme="minorHAnsi" w:cstheme="minorHAnsi"/>
                <w:b w:val="0"/>
                <w:sz w:val="28"/>
                <w:szCs w:val="28"/>
              </w:rPr>
              <w:t xml:space="preserve"> - </w:t>
            </w:r>
            <w:r w:rsidR="00271EAA" w:rsidRPr="0087632D">
              <w:rPr>
                <w:rFonts w:asciiTheme="minorHAnsi" w:hAnsiTheme="minorHAnsi" w:cstheme="minorHAnsi"/>
                <w:sz w:val="28"/>
                <w:szCs w:val="28"/>
              </w:rPr>
              <w:t>Description</w:t>
            </w:r>
          </w:p>
        </w:tc>
        <w:tc>
          <w:tcPr>
            <w:tcW w:w="790" w:type="pct"/>
          </w:tcPr>
          <w:p w:rsidR="00271EAA" w:rsidRPr="0087632D" w:rsidRDefault="00271EAA" w:rsidP="00F6183D">
            <w:pPr>
              <w:pStyle w:val="PlainText"/>
              <w:cnfStyle w:val="100000000000"/>
              <w:rPr>
                <w:rFonts w:asciiTheme="minorHAnsi" w:hAnsiTheme="minorHAnsi" w:cstheme="minorHAnsi"/>
                <w:color w:val="FFFFFF" w:themeColor="background1"/>
                <w:sz w:val="28"/>
                <w:szCs w:val="28"/>
              </w:rPr>
            </w:pPr>
            <w:r w:rsidRPr="0087632D">
              <w:rPr>
                <w:rFonts w:asciiTheme="minorHAnsi" w:hAnsiTheme="minorHAnsi" w:cstheme="minorHAnsi"/>
                <w:color w:val="FFFFFF" w:themeColor="background1"/>
                <w:sz w:val="28"/>
                <w:szCs w:val="28"/>
              </w:rPr>
              <w:t>N</w:t>
            </w:r>
            <w:r w:rsidR="00336040" w:rsidRPr="0087632D">
              <w:rPr>
                <w:rFonts w:asciiTheme="minorHAnsi" w:hAnsiTheme="minorHAnsi" w:cstheme="minorHAnsi"/>
                <w:color w:val="FFFFFF" w:themeColor="background1"/>
                <w:sz w:val="28"/>
                <w:szCs w:val="28"/>
              </w:rPr>
              <w:t>umber</w:t>
            </w:r>
          </w:p>
        </w:tc>
        <w:tc>
          <w:tcPr>
            <w:tcW w:w="789" w:type="pct"/>
          </w:tcPr>
          <w:p w:rsidR="00271EAA" w:rsidRPr="0087632D" w:rsidRDefault="00336040" w:rsidP="00F6183D">
            <w:pPr>
              <w:pStyle w:val="PlainText"/>
              <w:cnfStyle w:val="100000000000"/>
              <w:rPr>
                <w:rFonts w:asciiTheme="minorHAnsi" w:hAnsiTheme="minorHAnsi" w:cstheme="minorHAnsi"/>
                <w:color w:val="FFFFFF" w:themeColor="background1"/>
                <w:sz w:val="28"/>
                <w:szCs w:val="28"/>
              </w:rPr>
            </w:pPr>
            <w:r w:rsidRPr="0087632D">
              <w:rPr>
                <w:rFonts w:asciiTheme="minorHAnsi" w:hAnsiTheme="minorHAnsi" w:cstheme="minorHAnsi"/>
                <w:color w:val="FFFFFF" w:themeColor="background1"/>
                <w:sz w:val="28"/>
                <w:szCs w:val="28"/>
              </w:rPr>
              <w:t>Percentage</w:t>
            </w:r>
          </w:p>
        </w:tc>
      </w:tr>
      <w:tr w:rsidR="00336040" w:rsidRPr="00336040" w:rsidTr="0087632D">
        <w:trPr>
          <w:cnfStyle w:val="000000100000"/>
          <w:trHeight w:val="432"/>
        </w:trPr>
        <w:tc>
          <w:tcPr>
            <w:cnfStyle w:val="001000000000"/>
            <w:tcW w:w="3422" w:type="pct"/>
          </w:tcPr>
          <w:p w:rsidR="00271EAA" w:rsidRPr="00336040" w:rsidRDefault="00271EAA" w:rsidP="00F6183D">
            <w:pPr>
              <w:pStyle w:val="PlainText"/>
              <w:rPr>
                <w:rFonts w:asciiTheme="minorHAnsi" w:hAnsiTheme="minorHAnsi" w:cstheme="minorHAnsi"/>
                <w:sz w:val="24"/>
                <w:szCs w:val="24"/>
              </w:rPr>
            </w:pPr>
            <w:r w:rsidRPr="00336040">
              <w:rPr>
                <w:rFonts w:asciiTheme="minorHAnsi" w:hAnsiTheme="minorHAnsi" w:cstheme="minorHAnsi"/>
                <w:sz w:val="24"/>
                <w:szCs w:val="24"/>
              </w:rPr>
              <w:t>No of people previously holding a licence with a period of disqualification ending in 2012</w:t>
            </w:r>
          </w:p>
        </w:tc>
        <w:tc>
          <w:tcPr>
            <w:tcW w:w="790" w:type="pct"/>
          </w:tcPr>
          <w:p w:rsidR="00271EAA" w:rsidRPr="00336040" w:rsidRDefault="00271EAA" w:rsidP="00F6183D">
            <w:pPr>
              <w:pStyle w:val="PlainText"/>
              <w:cnfStyle w:val="000000100000"/>
              <w:rPr>
                <w:rFonts w:asciiTheme="minorHAnsi" w:hAnsiTheme="minorHAnsi" w:cstheme="minorHAnsi"/>
                <w:sz w:val="24"/>
                <w:szCs w:val="24"/>
              </w:rPr>
            </w:pPr>
            <w:r w:rsidRPr="00336040">
              <w:rPr>
                <w:rFonts w:asciiTheme="minorHAnsi" w:hAnsiTheme="minorHAnsi" w:cstheme="minorHAnsi"/>
                <w:sz w:val="24"/>
                <w:szCs w:val="24"/>
              </w:rPr>
              <w:t>3866</w:t>
            </w:r>
          </w:p>
        </w:tc>
        <w:tc>
          <w:tcPr>
            <w:tcW w:w="789" w:type="pct"/>
          </w:tcPr>
          <w:p w:rsidR="00271EAA" w:rsidRPr="00336040" w:rsidRDefault="00271EAA" w:rsidP="00F6183D">
            <w:pPr>
              <w:pStyle w:val="PlainText"/>
              <w:cnfStyle w:val="000000100000"/>
              <w:rPr>
                <w:rFonts w:asciiTheme="minorHAnsi" w:hAnsiTheme="minorHAnsi" w:cstheme="minorHAnsi"/>
                <w:sz w:val="24"/>
                <w:szCs w:val="24"/>
              </w:rPr>
            </w:pPr>
          </w:p>
        </w:tc>
      </w:tr>
      <w:tr w:rsidR="00336040" w:rsidRPr="00336040" w:rsidTr="0087632D">
        <w:trPr>
          <w:trHeight w:val="432"/>
        </w:trPr>
        <w:tc>
          <w:tcPr>
            <w:cnfStyle w:val="001000000000"/>
            <w:tcW w:w="3422" w:type="pct"/>
          </w:tcPr>
          <w:p w:rsidR="00271EAA" w:rsidRPr="00336040" w:rsidRDefault="00271EAA" w:rsidP="00F6183D">
            <w:pPr>
              <w:pStyle w:val="PlainText"/>
              <w:rPr>
                <w:rFonts w:asciiTheme="minorHAnsi" w:hAnsiTheme="minorHAnsi" w:cstheme="minorHAnsi"/>
                <w:sz w:val="24"/>
                <w:szCs w:val="24"/>
              </w:rPr>
            </w:pPr>
            <w:r w:rsidRPr="00336040">
              <w:rPr>
                <w:rFonts w:asciiTheme="minorHAnsi" w:hAnsiTheme="minorHAnsi" w:cstheme="minorHAnsi"/>
                <w:sz w:val="24"/>
                <w:szCs w:val="24"/>
              </w:rPr>
              <w:t>No re-entering licensing system</w:t>
            </w:r>
          </w:p>
        </w:tc>
        <w:tc>
          <w:tcPr>
            <w:tcW w:w="790" w:type="pct"/>
          </w:tcPr>
          <w:p w:rsidR="00271EAA" w:rsidRPr="00336040" w:rsidRDefault="00271EAA" w:rsidP="00F6183D">
            <w:pPr>
              <w:pStyle w:val="PlainText"/>
              <w:cnfStyle w:val="000000000000"/>
              <w:rPr>
                <w:rFonts w:asciiTheme="minorHAnsi" w:hAnsiTheme="minorHAnsi" w:cstheme="minorHAnsi"/>
                <w:sz w:val="24"/>
                <w:szCs w:val="24"/>
              </w:rPr>
            </w:pPr>
            <w:r w:rsidRPr="00336040">
              <w:rPr>
                <w:rFonts w:asciiTheme="minorHAnsi" w:hAnsiTheme="minorHAnsi" w:cstheme="minorHAnsi"/>
                <w:sz w:val="24"/>
                <w:szCs w:val="24"/>
              </w:rPr>
              <w:t>2456</w:t>
            </w:r>
          </w:p>
        </w:tc>
        <w:tc>
          <w:tcPr>
            <w:tcW w:w="789" w:type="pct"/>
          </w:tcPr>
          <w:p w:rsidR="00271EAA" w:rsidRPr="00336040" w:rsidRDefault="00271EAA" w:rsidP="00F6183D">
            <w:pPr>
              <w:pStyle w:val="PlainText"/>
              <w:cnfStyle w:val="000000000000"/>
              <w:rPr>
                <w:rFonts w:asciiTheme="minorHAnsi" w:hAnsiTheme="minorHAnsi" w:cstheme="minorHAnsi"/>
                <w:sz w:val="24"/>
                <w:szCs w:val="24"/>
              </w:rPr>
            </w:pPr>
            <w:r w:rsidRPr="00336040">
              <w:rPr>
                <w:rFonts w:asciiTheme="minorHAnsi" w:hAnsiTheme="minorHAnsi" w:cstheme="minorHAnsi"/>
                <w:sz w:val="24"/>
                <w:szCs w:val="24"/>
              </w:rPr>
              <w:t>63.5</w:t>
            </w:r>
          </w:p>
        </w:tc>
      </w:tr>
      <w:tr w:rsidR="00336040" w:rsidRPr="00336040" w:rsidTr="0087632D">
        <w:trPr>
          <w:cnfStyle w:val="000000100000"/>
          <w:trHeight w:val="432"/>
        </w:trPr>
        <w:tc>
          <w:tcPr>
            <w:cnfStyle w:val="001000000000"/>
            <w:tcW w:w="3422" w:type="pct"/>
          </w:tcPr>
          <w:p w:rsidR="00271EAA" w:rsidRPr="00336040" w:rsidRDefault="00271EAA" w:rsidP="00F6183D">
            <w:pPr>
              <w:pStyle w:val="PlainText"/>
              <w:rPr>
                <w:rFonts w:asciiTheme="minorHAnsi" w:hAnsiTheme="minorHAnsi" w:cstheme="minorHAnsi"/>
                <w:sz w:val="24"/>
                <w:szCs w:val="24"/>
              </w:rPr>
            </w:pPr>
            <w:r w:rsidRPr="00336040">
              <w:rPr>
                <w:rFonts w:asciiTheme="minorHAnsi" w:hAnsiTheme="minorHAnsi" w:cstheme="minorHAnsi"/>
                <w:sz w:val="24"/>
                <w:szCs w:val="24"/>
              </w:rPr>
              <w:t>Remainder</w:t>
            </w:r>
          </w:p>
        </w:tc>
        <w:tc>
          <w:tcPr>
            <w:tcW w:w="790" w:type="pct"/>
          </w:tcPr>
          <w:p w:rsidR="00271EAA" w:rsidRPr="00336040" w:rsidRDefault="00271EAA" w:rsidP="00F6183D">
            <w:pPr>
              <w:pStyle w:val="PlainText"/>
              <w:cnfStyle w:val="000000100000"/>
              <w:rPr>
                <w:rFonts w:asciiTheme="minorHAnsi" w:hAnsiTheme="minorHAnsi" w:cstheme="minorHAnsi"/>
                <w:sz w:val="24"/>
                <w:szCs w:val="24"/>
              </w:rPr>
            </w:pPr>
            <w:r w:rsidRPr="00336040">
              <w:rPr>
                <w:rFonts w:asciiTheme="minorHAnsi" w:hAnsiTheme="minorHAnsi" w:cstheme="minorHAnsi"/>
                <w:sz w:val="24"/>
                <w:szCs w:val="24"/>
              </w:rPr>
              <w:t>1410</w:t>
            </w:r>
          </w:p>
        </w:tc>
        <w:tc>
          <w:tcPr>
            <w:tcW w:w="789" w:type="pct"/>
          </w:tcPr>
          <w:p w:rsidR="00271EAA" w:rsidRPr="00336040" w:rsidRDefault="00271EAA" w:rsidP="00F6183D">
            <w:pPr>
              <w:pStyle w:val="PlainText"/>
              <w:cnfStyle w:val="000000100000"/>
              <w:rPr>
                <w:rFonts w:asciiTheme="minorHAnsi" w:hAnsiTheme="minorHAnsi" w:cstheme="minorHAnsi"/>
                <w:sz w:val="24"/>
                <w:szCs w:val="24"/>
              </w:rPr>
            </w:pPr>
            <w:r w:rsidRPr="00336040">
              <w:rPr>
                <w:rFonts w:asciiTheme="minorHAnsi" w:hAnsiTheme="minorHAnsi" w:cstheme="minorHAnsi"/>
                <w:sz w:val="24"/>
                <w:szCs w:val="24"/>
              </w:rPr>
              <w:t>36.5</w:t>
            </w:r>
          </w:p>
        </w:tc>
      </w:tr>
      <w:tr w:rsidR="00336040" w:rsidRPr="00336040" w:rsidTr="0087632D">
        <w:trPr>
          <w:trHeight w:val="432"/>
        </w:trPr>
        <w:tc>
          <w:tcPr>
            <w:cnfStyle w:val="001000000000"/>
            <w:tcW w:w="3422" w:type="pct"/>
          </w:tcPr>
          <w:p w:rsidR="00271EAA" w:rsidRPr="00336040" w:rsidRDefault="00271EAA" w:rsidP="0067514C">
            <w:pPr>
              <w:pStyle w:val="PlainText"/>
              <w:numPr>
                <w:ilvl w:val="0"/>
                <w:numId w:val="10"/>
              </w:numPr>
              <w:tabs>
                <w:tab w:val="left" w:pos="990"/>
              </w:tabs>
              <w:ind w:left="990"/>
              <w:rPr>
                <w:rFonts w:asciiTheme="minorHAnsi" w:hAnsiTheme="minorHAnsi" w:cstheme="minorHAnsi"/>
                <w:sz w:val="24"/>
                <w:szCs w:val="24"/>
              </w:rPr>
            </w:pPr>
            <w:r w:rsidRPr="00336040">
              <w:rPr>
                <w:rFonts w:asciiTheme="minorHAnsi" w:hAnsiTheme="minorHAnsi" w:cstheme="minorHAnsi"/>
                <w:sz w:val="24"/>
                <w:szCs w:val="24"/>
              </w:rPr>
              <w:t>Deceased</w:t>
            </w:r>
          </w:p>
        </w:tc>
        <w:tc>
          <w:tcPr>
            <w:tcW w:w="790" w:type="pct"/>
          </w:tcPr>
          <w:p w:rsidR="00271EAA" w:rsidRPr="00336040" w:rsidRDefault="00271EAA" w:rsidP="00F6183D">
            <w:pPr>
              <w:pStyle w:val="PlainText"/>
              <w:cnfStyle w:val="000000000000"/>
              <w:rPr>
                <w:rFonts w:asciiTheme="minorHAnsi" w:hAnsiTheme="minorHAnsi" w:cstheme="minorHAnsi"/>
                <w:sz w:val="24"/>
                <w:szCs w:val="24"/>
              </w:rPr>
            </w:pPr>
            <w:r w:rsidRPr="00336040">
              <w:rPr>
                <w:rFonts w:asciiTheme="minorHAnsi" w:hAnsiTheme="minorHAnsi" w:cstheme="minorHAnsi"/>
                <w:sz w:val="24"/>
                <w:szCs w:val="24"/>
              </w:rPr>
              <w:t>19</w:t>
            </w:r>
          </w:p>
        </w:tc>
        <w:tc>
          <w:tcPr>
            <w:tcW w:w="789" w:type="pct"/>
          </w:tcPr>
          <w:p w:rsidR="00271EAA" w:rsidRPr="00336040" w:rsidRDefault="00271EAA" w:rsidP="00F6183D">
            <w:pPr>
              <w:pStyle w:val="PlainText"/>
              <w:cnfStyle w:val="000000000000"/>
              <w:rPr>
                <w:rFonts w:asciiTheme="minorHAnsi" w:hAnsiTheme="minorHAnsi" w:cstheme="minorHAnsi"/>
                <w:sz w:val="24"/>
                <w:szCs w:val="24"/>
              </w:rPr>
            </w:pPr>
            <w:r w:rsidRPr="00336040">
              <w:rPr>
                <w:rFonts w:asciiTheme="minorHAnsi" w:hAnsiTheme="minorHAnsi" w:cstheme="minorHAnsi"/>
                <w:sz w:val="24"/>
                <w:szCs w:val="24"/>
              </w:rPr>
              <w:t>0.5</w:t>
            </w:r>
          </w:p>
        </w:tc>
      </w:tr>
      <w:tr w:rsidR="00336040" w:rsidRPr="00336040" w:rsidTr="0087632D">
        <w:trPr>
          <w:cnfStyle w:val="000000100000"/>
          <w:trHeight w:val="432"/>
        </w:trPr>
        <w:tc>
          <w:tcPr>
            <w:cnfStyle w:val="001000000000"/>
            <w:tcW w:w="3422" w:type="pct"/>
          </w:tcPr>
          <w:p w:rsidR="00271EAA" w:rsidRPr="00336040" w:rsidRDefault="00271EAA" w:rsidP="0067514C">
            <w:pPr>
              <w:pStyle w:val="PlainText"/>
              <w:numPr>
                <w:ilvl w:val="0"/>
                <w:numId w:val="10"/>
              </w:numPr>
              <w:tabs>
                <w:tab w:val="left" w:pos="990"/>
              </w:tabs>
              <w:ind w:left="990"/>
              <w:rPr>
                <w:rFonts w:asciiTheme="minorHAnsi" w:hAnsiTheme="minorHAnsi" w:cstheme="minorHAnsi"/>
                <w:sz w:val="24"/>
                <w:szCs w:val="24"/>
              </w:rPr>
            </w:pPr>
            <w:r w:rsidRPr="00336040">
              <w:rPr>
                <w:rFonts w:asciiTheme="minorHAnsi" w:hAnsiTheme="minorHAnsi" w:cstheme="minorHAnsi"/>
                <w:sz w:val="24"/>
                <w:szCs w:val="24"/>
              </w:rPr>
              <w:t>Serving a subsequent period of disqualification</w:t>
            </w:r>
          </w:p>
        </w:tc>
        <w:tc>
          <w:tcPr>
            <w:tcW w:w="790" w:type="pct"/>
          </w:tcPr>
          <w:p w:rsidR="00271EAA" w:rsidRPr="00336040" w:rsidRDefault="00271EAA" w:rsidP="00F6183D">
            <w:pPr>
              <w:pStyle w:val="PlainText"/>
              <w:cnfStyle w:val="000000100000"/>
              <w:rPr>
                <w:rFonts w:asciiTheme="minorHAnsi" w:hAnsiTheme="minorHAnsi" w:cstheme="minorHAnsi"/>
                <w:sz w:val="24"/>
                <w:szCs w:val="24"/>
              </w:rPr>
            </w:pPr>
            <w:r w:rsidRPr="00336040">
              <w:rPr>
                <w:rFonts w:asciiTheme="minorHAnsi" w:hAnsiTheme="minorHAnsi" w:cstheme="minorHAnsi"/>
                <w:sz w:val="24"/>
                <w:szCs w:val="24"/>
              </w:rPr>
              <w:t>266</w:t>
            </w:r>
          </w:p>
        </w:tc>
        <w:tc>
          <w:tcPr>
            <w:tcW w:w="789" w:type="pct"/>
          </w:tcPr>
          <w:p w:rsidR="00271EAA" w:rsidRPr="00336040" w:rsidRDefault="00271EAA" w:rsidP="00F6183D">
            <w:pPr>
              <w:pStyle w:val="PlainText"/>
              <w:cnfStyle w:val="000000100000"/>
              <w:rPr>
                <w:rFonts w:asciiTheme="minorHAnsi" w:hAnsiTheme="minorHAnsi" w:cstheme="minorHAnsi"/>
                <w:sz w:val="24"/>
                <w:szCs w:val="24"/>
              </w:rPr>
            </w:pPr>
            <w:r w:rsidRPr="00336040">
              <w:rPr>
                <w:rFonts w:asciiTheme="minorHAnsi" w:hAnsiTheme="minorHAnsi" w:cstheme="minorHAnsi"/>
                <w:sz w:val="24"/>
                <w:szCs w:val="24"/>
              </w:rPr>
              <w:t>6.9</w:t>
            </w:r>
          </w:p>
        </w:tc>
      </w:tr>
      <w:tr w:rsidR="00336040" w:rsidRPr="00336040" w:rsidTr="0087632D">
        <w:trPr>
          <w:trHeight w:val="432"/>
        </w:trPr>
        <w:tc>
          <w:tcPr>
            <w:cnfStyle w:val="001000000000"/>
            <w:tcW w:w="3422" w:type="pct"/>
          </w:tcPr>
          <w:p w:rsidR="00271EAA" w:rsidRPr="00336040" w:rsidRDefault="00271EAA" w:rsidP="0067514C">
            <w:pPr>
              <w:pStyle w:val="PlainText"/>
              <w:numPr>
                <w:ilvl w:val="0"/>
                <w:numId w:val="10"/>
              </w:numPr>
              <w:tabs>
                <w:tab w:val="left" w:pos="990"/>
              </w:tabs>
              <w:ind w:left="990"/>
              <w:rPr>
                <w:rFonts w:asciiTheme="minorHAnsi" w:hAnsiTheme="minorHAnsi" w:cstheme="minorHAnsi"/>
                <w:sz w:val="24"/>
                <w:szCs w:val="24"/>
              </w:rPr>
            </w:pPr>
            <w:r w:rsidRPr="00336040">
              <w:rPr>
                <w:rFonts w:asciiTheme="minorHAnsi" w:hAnsiTheme="minorHAnsi" w:cstheme="minorHAnsi"/>
                <w:sz w:val="24"/>
                <w:szCs w:val="24"/>
              </w:rPr>
              <w:t>MPES sanction</w:t>
            </w:r>
          </w:p>
        </w:tc>
        <w:tc>
          <w:tcPr>
            <w:tcW w:w="790" w:type="pct"/>
          </w:tcPr>
          <w:p w:rsidR="00271EAA" w:rsidRPr="00336040" w:rsidRDefault="00271EAA" w:rsidP="00F6183D">
            <w:pPr>
              <w:pStyle w:val="PlainText"/>
              <w:cnfStyle w:val="000000000000"/>
              <w:rPr>
                <w:rFonts w:asciiTheme="minorHAnsi" w:hAnsiTheme="minorHAnsi" w:cstheme="minorHAnsi"/>
                <w:sz w:val="24"/>
                <w:szCs w:val="24"/>
              </w:rPr>
            </w:pPr>
            <w:r w:rsidRPr="00336040">
              <w:rPr>
                <w:rFonts w:asciiTheme="minorHAnsi" w:hAnsiTheme="minorHAnsi" w:cstheme="minorHAnsi"/>
                <w:sz w:val="24"/>
                <w:szCs w:val="24"/>
              </w:rPr>
              <w:t>64</w:t>
            </w:r>
          </w:p>
        </w:tc>
        <w:tc>
          <w:tcPr>
            <w:tcW w:w="789" w:type="pct"/>
          </w:tcPr>
          <w:p w:rsidR="00271EAA" w:rsidRPr="00336040" w:rsidRDefault="00271EAA" w:rsidP="00F6183D">
            <w:pPr>
              <w:pStyle w:val="PlainText"/>
              <w:cnfStyle w:val="000000000000"/>
              <w:rPr>
                <w:rFonts w:asciiTheme="minorHAnsi" w:hAnsiTheme="minorHAnsi" w:cstheme="minorHAnsi"/>
                <w:sz w:val="24"/>
                <w:szCs w:val="24"/>
              </w:rPr>
            </w:pPr>
            <w:r w:rsidRPr="00336040">
              <w:rPr>
                <w:rFonts w:asciiTheme="minorHAnsi" w:hAnsiTheme="minorHAnsi" w:cstheme="minorHAnsi"/>
                <w:sz w:val="24"/>
                <w:szCs w:val="24"/>
              </w:rPr>
              <w:t>1.65</w:t>
            </w:r>
          </w:p>
        </w:tc>
      </w:tr>
      <w:tr w:rsidR="00336040" w:rsidRPr="00336040" w:rsidTr="0087632D">
        <w:trPr>
          <w:cnfStyle w:val="000000100000"/>
          <w:trHeight w:val="432"/>
        </w:trPr>
        <w:tc>
          <w:tcPr>
            <w:cnfStyle w:val="001000000000"/>
            <w:tcW w:w="3422" w:type="pct"/>
          </w:tcPr>
          <w:p w:rsidR="00271EAA" w:rsidRPr="00336040" w:rsidRDefault="00271EAA" w:rsidP="0067514C">
            <w:pPr>
              <w:pStyle w:val="PlainText"/>
              <w:numPr>
                <w:ilvl w:val="0"/>
                <w:numId w:val="10"/>
              </w:numPr>
              <w:tabs>
                <w:tab w:val="left" w:pos="990"/>
              </w:tabs>
              <w:ind w:left="990"/>
              <w:rPr>
                <w:rFonts w:asciiTheme="minorHAnsi" w:hAnsiTheme="minorHAnsi" w:cstheme="minorHAnsi"/>
                <w:sz w:val="24"/>
                <w:szCs w:val="24"/>
              </w:rPr>
            </w:pPr>
            <w:r w:rsidRPr="00336040">
              <w:rPr>
                <w:rFonts w:asciiTheme="minorHAnsi" w:hAnsiTheme="minorHAnsi" w:cstheme="minorHAnsi"/>
                <w:sz w:val="24"/>
                <w:szCs w:val="24"/>
              </w:rPr>
              <w:t>Have a BAR against licence requiring further action prior to restoration of licence</w:t>
            </w:r>
          </w:p>
        </w:tc>
        <w:tc>
          <w:tcPr>
            <w:tcW w:w="790" w:type="pct"/>
          </w:tcPr>
          <w:p w:rsidR="00271EAA" w:rsidRPr="00336040" w:rsidRDefault="00271EAA" w:rsidP="00F6183D">
            <w:pPr>
              <w:pStyle w:val="PlainText"/>
              <w:cnfStyle w:val="000000100000"/>
              <w:rPr>
                <w:rFonts w:asciiTheme="minorHAnsi" w:hAnsiTheme="minorHAnsi" w:cstheme="minorHAnsi"/>
                <w:sz w:val="24"/>
                <w:szCs w:val="24"/>
              </w:rPr>
            </w:pPr>
            <w:r w:rsidRPr="00336040">
              <w:rPr>
                <w:rFonts w:asciiTheme="minorHAnsi" w:hAnsiTheme="minorHAnsi" w:cstheme="minorHAnsi"/>
                <w:sz w:val="24"/>
                <w:szCs w:val="24"/>
              </w:rPr>
              <w:t>118</w:t>
            </w:r>
          </w:p>
        </w:tc>
        <w:tc>
          <w:tcPr>
            <w:tcW w:w="789" w:type="pct"/>
          </w:tcPr>
          <w:p w:rsidR="00271EAA" w:rsidRPr="00336040" w:rsidRDefault="00271EAA" w:rsidP="00F6183D">
            <w:pPr>
              <w:pStyle w:val="PlainText"/>
              <w:cnfStyle w:val="000000100000"/>
              <w:rPr>
                <w:rFonts w:asciiTheme="minorHAnsi" w:hAnsiTheme="minorHAnsi" w:cstheme="minorHAnsi"/>
                <w:sz w:val="24"/>
                <w:szCs w:val="24"/>
              </w:rPr>
            </w:pPr>
            <w:r w:rsidRPr="00336040">
              <w:rPr>
                <w:rFonts w:asciiTheme="minorHAnsi" w:hAnsiTheme="minorHAnsi" w:cstheme="minorHAnsi"/>
                <w:sz w:val="24"/>
                <w:szCs w:val="24"/>
              </w:rPr>
              <w:t>3.0</w:t>
            </w:r>
          </w:p>
        </w:tc>
      </w:tr>
      <w:tr w:rsidR="00336040" w:rsidRPr="00336040" w:rsidTr="0087632D">
        <w:trPr>
          <w:trHeight w:val="432"/>
        </w:trPr>
        <w:tc>
          <w:tcPr>
            <w:cnfStyle w:val="001000000000"/>
            <w:tcW w:w="3422" w:type="pct"/>
          </w:tcPr>
          <w:p w:rsidR="00271EAA" w:rsidRPr="00336040" w:rsidRDefault="00271EAA" w:rsidP="0067514C">
            <w:pPr>
              <w:pStyle w:val="PlainText"/>
              <w:numPr>
                <w:ilvl w:val="0"/>
                <w:numId w:val="10"/>
              </w:numPr>
              <w:tabs>
                <w:tab w:val="left" w:pos="990"/>
              </w:tabs>
              <w:ind w:left="990"/>
              <w:rPr>
                <w:rFonts w:asciiTheme="minorHAnsi" w:hAnsiTheme="minorHAnsi" w:cstheme="minorHAnsi"/>
                <w:sz w:val="24"/>
                <w:szCs w:val="24"/>
              </w:rPr>
            </w:pPr>
            <w:r w:rsidRPr="00336040">
              <w:rPr>
                <w:rFonts w:asciiTheme="minorHAnsi" w:hAnsiTheme="minorHAnsi" w:cstheme="minorHAnsi"/>
                <w:sz w:val="24"/>
                <w:szCs w:val="24"/>
              </w:rPr>
              <w:t>Have a restriction against licence preventing reissue</w:t>
            </w:r>
          </w:p>
        </w:tc>
        <w:tc>
          <w:tcPr>
            <w:tcW w:w="790" w:type="pct"/>
          </w:tcPr>
          <w:p w:rsidR="00271EAA" w:rsidRPr="00336040" w:rsidRDefault="00271EAA" w:rsidP="00F6183D">
            <w:pPr>
              <w:pStyle w:val="PlainText"/>
              <w:cnfStyle w:val="000000000000"/>
              <w:rPr>
                <w:rFonts w:asciiTheme="minorHAnsi" w:hAnsiTheme="minorHAnsi" w:cstheme="minorHAnsi"/>
                <w:sz w:val="24"/>
                <w:szCs w:val="24"/>
              </w:rPr>
            </w:pPr>
            <w:r w:rsidRPr="00336040">
              <w:rPr>
                <w:rFonts w:asciiTheme="minorHAnsi" w:hAnsiTheme="minorHAnsi" w:cstheme="minorHAnsi"/>
                <w:sz w:val="24"/>
                <w:szCs w:val="24"/>
              </w:rPr>
              <w:t>2</w:t>
            </w:r>
          </w:p>
        </w:tc>
        <w:tc>
          <w:tcPr>
            <w:tcW w:w="789" w:type="pct"/>
          </w:tcPr>
          <w:p w:rsidR="00271EAA" w:rsidRPr="00336040" w:rsidRDefault="00271EAA" w:rsidP="00F6183D">
            <w:pPr>
              <w:pStyle w:val="PlainText"/>
              <w:cnfStyle w:val="000000000000"/>
              <w:rPr>
                <w:rFonts w:asciiTheme="minorHAnsi" w:hAnsiTheme="minorHAnsi" w:cstheme="minorHAnsi"/>
                <w:sz w:val="24"/>
                <w:szCs w:val="24"/>
              </w:rPr>
            </w:pPr>
            <w:r w:rsidRPr="00336040">
              <w:rPr>
                <w:rFonts w:asciiTheme="minorHAnsi" w:hAnsiTheme="minorHAnsi" w:cstheme="minorHAnsi"/>
                <w:sz w:val="24"/>
                <w:szCs w:val="24"/>
              </w:rPr>
              <w:t>0.05</w:t>
            </w:r>
          </w:p>
        </w:tc>
      </w:tr>
      <w:tr w:rsidR="00336040" w:rsidRPr="00336040" w:rsidTr="0087632D">
        <w:trPr>
          <w:cnfStyle w:val="000000100000"/>
          <w:trHeight w:val="432"/>
        </w:trPr>
        <w:tc>
          <w:tcPr>
            <w:cnfStyle w:val="001000000000"/>
            <w:tcW w:w="3422" w:type="pct"/>
          </w:tcPr>
          <w:p w:rsidR="00271EAA" w:rsidRPr="00336040" w:rsidRDefault="00271EAA" w:rsidP="0067514C">
            <w:pPr>
              <w:pStyle w:val="PlainText"/>
              <w:numPr>
                <w:ilvl w:val="0"/>
                <w:numId w:val="10"/>
              </w:numPr>
              <w:tabs>
                <w:tab w:val="left" w:pos="990"/>
              </w:tabs>
              <w:ind w:left="990"/>
              <w:rPr>
                <w:rFonts w:asciiTheme="minorHAnsi" w:hAnsiTheme="minorHAnsi" w:cstheme="minorHAnsi"/>
                <w:sz w:val="24"/>
                <w:szCs w:val="24"/>
              </w:rPr>
            </w:pPr>
            <w:r w:rsidRPr="00336040">
              <w:rPr>
                <w:rFonts w:asciiTheme="minorHAnsi" w:hAnsiTheme="minorHAnsi" w:cstheme="minorHAnsi"/>
                <w:sz w:val="24"/>
                <w:szCs w:val="24"/>
              </w:rPr>
              <w:t>Returned mail/no longer at address</w:t>
            </w:r>
          </w:p>
        </w:tc>
        <w:tc>
          <w:tcPr>
            <w:tcW w:w="790" w:type="pct"/>
          </w:tcPr>
          <w:p w:rsidR="00271EAA" w:rsidRPr="00336040" w:rsidRDefault="00271EAA" w:rsidP="00F6183D">
            <w:pPr>
              <w:pStyle w:val="PlainText"/>
              <w:cnfStyle w:val="000000100000"/>
              <w:rPr>
                <w:rFonts w:asciiTheme="minorHAnsi" w:hAnsiTheme="minorHAnsi" w:cstheme="minorHAnsi"/>
                <w:sz w:val="24"/>
                <w:szCs w:val="24"/>
              </w:rPr>
            </w:pPr>
            <w:r w:rsidRPr="00336040">
              <w:rPr>
                <w:rFonts w:asciiTheme="minorHAnsi" w:hAnsiTheme="minorHAnsi" w:cstheme="minorHAnsi"/>
                <w:sz w:val="24"/>
                <w:szCs w:val="24"/>
              </w:rPr>
              <w:t>121</w:t>
            </w:r>
          </w:p>
        </w:tc>
        <w:tc>
          <w:tcPr>
            <w:tcW w:w="789" w:type="pct"/>
          </w:tcPr>
          <w:p w:rsidR="00271EAA" w:rsidRPr="00336040" w:rsidRDefault="00271EAA" w:rsidP="00F6183D">
            <w:pPr>
              <w:pStyle w:val="PlainText"/>
              <w:cnfStyle w:val="000000100000"/>
              <w:rPr>
                <w:rFonts w:asciiTheme="minorHAnsi" w:hAnsiTheme="minorHAnsi" w:cstheme="minorHAnsi"/>
                <w:sz w:val="24"/>
                <w:szCs w:val="24"/>
              </w:rPr>
            </w:pPr>
            <w:r w:rsidRPr="00336040">
              <w:rPr>
                <w:rFonts w:asciiTheme="minorHAnsi" w:hAnsiTheme="minorHAnsi" w:cstheme="minorHAnsi"/>
                <w:sz w:val="24"/>
                <w:szCs w:val="24"/>
              </w:rPr>
              <w:t>3.1</w:t>
            </w:r>
          </w:p>
        </w:tc>
      </w:tr>
    </w:tbl>
    <w:p w:rsidR="00271EAA" w:rsidRPr="00336040" w:rsidRDefault="00271EAA" w:rsidP="00271EAA">
      <w:pPr>
        <w:pStyle w:val="PlainText"/>
        <w:rPr>
          <w:rFonts w:asciiTheme="minorHAnsi" w:hAnsiTheme="minorHAnsi" w:cstheme="minorHAnsi"/>
          <w:sz w:val="20"/>
          <w:szCs w:val="20"/>
        </w:rPr>
      </w:pPr>
    </w:p>
    <w:p w:rsidR="0087632D" w:rsidRDefault="00336040" w:rsidP="00336040">
      <w:pPr>
        <w:pStyle w:val="PlainText"/>
        <w:rPr>
          <w:rFonts w:asciiTheme="minorHAnsi" w:eastAsia="Times New Roman" w:hAnsiTheme="minorHAnsi" w:cstheme="minorHAnsi"/>
          <w:i/>
          <w:sz w:val="24"/>
          <w:szCs w:val="24"/>
        </w:rPr>
      </w:pPr>
      <w:r w:rsidRPr="0087632D">
        <w:rPr>
          <w:rFonts w:asciiTheme="minorHAnsi" w:eastAsia="Times New Roman" w:hAnsiTheme="minorHAnsi" w:cstheme="minorHAnsi"/>
          <w:i/>
          <w:sz w:val="24"/>
          <w:szCs w:val="24"/>
        </w:rPr>
        <w:t xml:space="preserve">Suspended licences are automatically reinstated. </w:t>
      </w:r>
    </w:p>
    <w:p w:rsidR="00336040" w:rsidRDefault="00336040" w:rsidP="00336040">
      <w:pPr>
        <w:pStyle w:val="PlainText"/>
        <w:rPr>
          <w:rFonts w:asciiTheme="minorHAnsi" w:eastAsia="Times New Roman" w:hAnsiTheme="minorHAnsi" w:cstheme="minorHAnsi"/>
          <w:i/>
          <w:sz w:val="24"/>
          <w:szCs w:val="24"/>
        </w:rPr>
      </w:pPr>
      <w:r w:rsidRPr="0087632D">
        <w:rPr>
          <w:rFonts w:asciiTheme="minorHAnsi" w:eastAsia="Times New Roman" w:hAnsiTheme="minorHAnsi" w:cstheme="minorHAnsi"/>
          <w:i/>
          <w:sz w:val="24"/>
          <w:szCs w:val="24"/>
        </w:rPr>
        <w:t>The figures below relate only to disqualifications where clients must re-apply for licence reinstatement.</w:t>
      </w:r>
    </w:p>
    <w:p w:rsidR="0087632D" w:rsidRPr="0087632D" w:rsidRDefault="0087632D" w:rsidP="00336040">
      <w:pPr>
        <w:pStyle w:val="PlainText"/>
        <w:rPr>
          <w:rFonts w:asciiTheme="minorHAnsi" w:eastAsia="Times New Roman" w:hAnsiTheme="minorHAnsi" w:cstheme="minorHAnsi"/>
          <w:i/>
          <w:sz w:val="24"/>
          <w:szCs w:val="24"/>
        </w:rPr>
      </w:pPr>
    </w:p>
    <w:p w:rsidR="00271EAA" w:rsidRPr="00336040" w:rsidRDefault="00271EAA" w:rsidP="00271EAA">
      <w:pPr>
        <w:pStyle w:val="PlainText"/>
        <w:rPr>
          <w:rFonts w:asciiTheme="minorHAnsi" w:hAnsiTheme="minorHAnsi" w:cstheme="minorHAnsi"/>
          <w:sz w:val="20"/>
          <w:szCs w:val="20"/>
        </w:rPr>
      </w:pPr>
    </w:p>
    <w:p w:rsidR="00271EAA" w:rsidRPr="00336040" w:rsidRDefault="00271EAA">
      <w:pPr>
        <w:rPr>
          <w:rFonts w:asciiTheme="minorHAnsi" w:eastAsiaTheme="minorHAnsi" w:hAnsiTheme="minorHAnsi" w:cstheme="minorHAnsi"/>
          <w:b/>
          <w:sz w:val="20"/>
          <w:szCs w:val="20"/>
          <w:lang w:val="en-AU" w:bidi="ar-SA"/>
        </w:rPr>
      </w:pPr>
      <w:r w:rsidRPr="00336040">
        <w:rPr>
          <w:rFonts w:asciiTheme="minorHAnsi" w:hAnsiTheme="minorHAnsi" w:cstheme="minorHAnsi"/>
          <w:b/>
          <w:sz w:val="20"/>
          <w:szCs w:val="20"/>
        </w:rPr>
        <w:br w:type="page"/>
      </w:r>
    </w:p>
    <w:p w:rsidR="00336040" w:rsidRDefault="00F7744C" w:rsidP="00271EAA">
      <w:pPr>
        <w:pStyle w:val="PlainText"/>
        <w:rPr>
          <w:rFonts w:asciiTheme="minorHAnsi" w:hAnsiTheme="minorHAnsi" w:cstheme="minorHAnsi"/>
          <w:b/>
          <w:caps/>
          <w:sz w:val="24"/>
          <w:szCs w:val="24"/>
        </w:rPr>
      </w:pPr>
      <w:r w:rsidRPr="00F7744C">
        <w:rPr>
          <w:rFonts w:asciiTheme="minorHAnsi" w:hAnsiTheme="minorHAnsi" w:cstheme="minorHAnsi"/>
          <w:b/>
          <w:caps/>
          <w:noProof/>
          <w:sz w:val="24"/>
          <w:szCs w:val="24"/>
          <w:lang w:val="en-US"/>
        </w:rPr>
        <w:pict>
          <v:shape id="_x0000_s1031" type="#_x0000_t202" style="position:absolute;margin-left:432.5pt;margin-top:-36pt;width:304.4pt;height:42.55pt;z-index:251678720" wrapcoords="-53 0 -53 21221 21600 21221 21600 0 -53 0" stroked="f">
            <v:textbox style="mso-next-textbox:#_x0000_s1031">
              <w:txbxContent>
                <w:p w:rsidR="00787C1C" w:rsidRDefault="00787C1C" w:rsidP="008329FE">
                  <w:pPr>
                    <w:spacing w:after="0" w:line="240" w:lineRule="auto"/>
                    <w:jc w:val="right"/>
                    <w:rPr>
                      <w:sz w:val="24"/>
                      <w:szCs w:val="24"/>
                    </w:rPr>
                  </w:pPr>
                  <w:r w:rsidRPr="00DE1339">
                    <w:rPr>
                      <w:sz w:val="24"/>
                      <w:szCs w:val="24"/>
                    </w:rPr>
                    <w:t xml:space="preserve">Appendix </w:t>
                  </w:r>
                  <w:r>
                    <w:rPr>
                      <w:sz w:val="24"/>
                      <w:szCs w:val="24"/>
                    </w:rPr>
                    <w:t xml:space="preserve">D </w:t>
                  </w:r>
                  <w:r w:rsidRPr="00DE1339">
                    <w:rPr>
                      <w:sz w:val="24"/>
                      <w:szCs w:val="24"/>
                    </w:rPr>
                    <w:t xml:space="preserve">– </w:t>
                  </w:r>
                  <w:r>
                    <w:rPr>
                      <w:sz w:val="24"/>
                      <w:szCs w:val="24"/>
                    </w:rPr>
                    <w:t>The number and percentage of drivers</w:t>
                  </w:r>
                </w:p>
                <w:p w:rsidR="00787C1C" w:rsidRPr="008329FE" w:rsidRDefault="00787C1C" w:rsidP="008329FE">
                  <w:pPr>
                    <w:spacing w:after="0" w:line="240" w:lineRule="auto"/>
                    <w:jc w:val="right"/>
                    <w:rPr>
                      <w:sz w:val="24"/>
                      <w:szCs w:val="24"/>
                    </w:rPr>
                  </w:pPr>
                  <w:r>
                    <w:rPr>
                      <w:sz w:val="24"/>
                      <w:szCs w:val="24"/>
                    </w:rPr>
                    <w:t>returning to the system over a five year period</w:t>
                  </w:r>
                </w:p>
                <w:p w:rsidR="00787C1C" w:rsidRPr="008329FE" w:rsidRDefault="00787C1C" w:rsidP="008329FE"/>
              </w:txbxContent>
            </v:textbox>
            <w10:wrap type="tight"/>
          </v:shape>
        </w:pict>
      </w:r>
    </w:p>
    <w:p w:rsidR="00336040" w:rsidRDefault="00336040" w:rsidP="00271EAA">
      <w:pPr>
        <w:pStyle w:val="PlainText"/>
        <w:rPr>
          <w:rFonts w:asciiTheme="minorHAnsi" w:hAnsiTheme="minorHAnsi" w:cstheme="minorHAnsi"/>
          <w:b/>
          <w:caps/>
          <w:sz w:val="24"/>
          <w:szCs w:val="24"/>
        </w:rPr>
      </w:pPr>
    </w:p>
    <w:tbl>
      <w:tblPr>
        <w:tblStyle w:val="ColorfulGrid-Accent5"/>
        <w:tblW w:w="4826" w:type="pct"/>
        <w:tblBorders>
          <w:top w:val="single" w:sz="4" w:space="0" w:color="auto"/>
          <w:left w:val="single" w:sz="4" w:space="0" w:color="auto"/>
          <w:bottom w:val="single" w:sz="4" w:space="0" w:color="auto"/>
          <w:right w:val="single" w:sz="4" w:space="0" w:color="auto"/>
        </w:tblBorders>
        <w:tblLook w:val="04A0"/>
      </w:tblPr>
      <w:tblGrid>
        <w:gridCol w:w="9361"/>
        <w:gridCol w:w="2164"/>
        <w:gridCol w:w="2156"/>
      </w:tblGrid>
      <w:tr w:rsidR="00841B6F" w:rsidRPr="0087632D" w:rsidTr="0087632D">
        <w:trPr>
          <w:cnfStyle w:val="100000000000"/>
          <w:trHeight w:val="432"/>
        </w:trPr>
        <w:tc>
          <w:tcPr>
            <w:cnfStyle w:val="001000000000"/>
            <w:tcW w:w="3421" w:type="pct"/>
            <w:vAlign w:val="center"/>
          </w:tcPr>
          <w:p w:rsidR="00271EAA" w:rsidRPr="0087632D" w:rsidRDefault="0087632D" w:rsidP="0087632D">
            <w:pPr>
              <w:pStyle w:val="PlainText"/>
              <w:rPr>
                <w:rFonts w:asciiTheme="minorHAnsi" w:hAnsiTheme="minorHAnsi" w:cstheme="minorHAnsi"/>
                <w:b w:val="0"/>
                <w:caps/>
                <w:sz w:val="24"/>
                <w:szCs w:val="24"/>
              </w:rPr>
            </w:pPr>
            <w:r w:rsidRPr="00336040">
              <w:rPr>
                <w:rFonts w:asciiTheme="minorHAnsi" w:hAnsiTheme="minorHAnsi" w:cstheme="minorHAnsi"/>
                <w:caps/>
                <w:sz w:val="24"/>
                <w:szCs w:val="24"/>
              </w:rPr>
              <w:t>Returning drivers from 2008 – 2013</w:t>
            </w:r>
            <w:r>
              <w:rPr>
                <w:rFonts w:asciiTheme="minorHAnsi" w:hAnsiTheme="minorHAnsi" w:cstheme="minorHAnsi"/>
                <w:b w:val="0"/>
                <w:caps/>
                <w:sz w:val="24"/>
                <w:szCs w:val="24"/>
              </w:rPr>
              <w:t xml:space="preserve"> - </w:t>
            </w:r>
            <w:r w:rsidR="00271EAA" w:rsidRPr="0087632D">
              <w:rPr>
                <w:rFonts w:asciiTheme="minorHAnsi" w:hAnsiTheme="minorHAnsi" w:cstheme="minorHAnsi"/>
                <w:sz w:val="28"/>
                <w:szCs w:val="28"/>
              </w:rPr>
              <w:t>Description</w:t>
            </w:r>
          </w:p>
        </w:tc>
        <w:tc>
          <w:tcPr>
            <w:tcW w:w="791" w:type="pct"/>
            <w:vAlign w:val="center"/>
          </w:tcPr>
          <w:p w:rsidR="00271EAA" w:rsidRPr="0087632D" w:rsidRDefault="00271EAA" w:rsidP="0087632D">
            <w:pPr>
              <w:pStyle w:val="PlainText"/>
              <w:cnfStyle w:val="100000000000"/>
              <w:rPr>
                <w:rFonts w:asciiTheme="minorHAnsi" w:hAnsiTheme="minorHAnsi" w:cstheme="minorHAnsi"/>
                <w:b w:val="0"/>
                <w:sz w:val="28"/>
                <w:szCs w:val="28"/>
              </w:rPr>
            </w:pPr>
            <w:r w:rsidRPr="0087632D">
              <w:rPr>
                <w:rFonts w:asciiTheme="minorHAnsi" w:hAnsiTheme="minorHAnsi" w:cstheme="minorHAnsi"/>
                <w:sz w:val="28"/>
                <w:szCs w:val="28"/>
              </w:rPr>
              <w:t>No</w:t>
            </w:r>
          </w:p>
        </w:tc>
        <w:tc>
          <w:tcPr>
            <w:tcW w:w="789" w:type="pct"/>
            <w:vAlign w:val="center"/>
          </w:tcPr>
          <w:p w:rsidR="00271EAA" w:rsidRPr="0087632D" w:rsidRDefault="00271EAA" w:rsidP="0087632D">
            <w:pPr>
              <w:pStyle w:val="PlainText"/>
              <w:cnfStyle w:val="100000000000"/>
              <w:rPr>
                <w:rFonts w:asciiTheme="minorHAnsi" w:hAnsiTheme="minorHAnsi" w:cstheme="minorHAnsi"/>
                <w:b w:val="0"/>
                <w:sz w:val="28"/>
                <w:szCs w:val="28"/>
              </w:rPr>
            </w:pPr>
            <w:r w:rsidRPr="0087632D">
              <w:rPr>
                <w:rFonts w:asciiTheme="minorHAnsi" w:hAnsiTheme="minorHAnsi" w:cstheme="minorHAnsi"/>
                <w:sz w:val="28"/>
                <w:szCs w:val="28"/>
              </w:rPr>
              <w:t>%</w:t>
            </w:r>
          </w:p>
        </w:tc>
      </w:tr>
      <w:tr w:rsidR="00841B6F" w:rsidRPr="00336040" w:rsidTr="0087632D">
        <w:trPr>
          <w:cnfStyle w:val="000000100000"/>
          <w:trHeight w:val="432"/>
        </w:trPr>
        <w:tc>
          <w:tcPr>
            <w:cnfStyle w:val="001000000000"/>
            <w:tcW w:w="3421" w:type="pct"/>
            <w:vAlign w:val="center"/>
          </w:tcPr>
          <w:p w:rsidR="00271EAA" w:rsidRPr="00336040" w:rsidRDefault="00271EAA" w:rsidP="0087632D">
            <w:pPr>
              <w:pStyle w:val="PlainText"/>
              <w:rPr>
                <w:rFonts w:asciiTheme="minorHAnsi" w:hAnsiTheme="minorHAnsi" w:cstheme="minorHAnsi"/>
                <w:sz w:val="24"/>
                <w:szCs w:val="24"/>
              </w:rPr>
            </w:pPr>
            <w:r w:rsidRPr="00336040">
              <w:rPr>
                <w:rFonts w:asciiTheme="minorHAnsi" w:hAnsiTheme="minorHAnsi" w:cstheme="minorHAnsi"/>
                <w:sz w:val="24"/>
                <w:szCs w:val="24"/>
              </w:rPr>
              <w:t>No of people previously holding a licence with a period of disqualification ending in 2012</w:t>
            </w:r>
          </w:p>
        </w:tc>
        <w:tc>
          <w:tcPr>
            <w:tcW w:w="791" w:type="pct"/>
            <w:vAlign w:val="center"/>
          </w:tcPr>
          <w:p w:rsidR="00271EAA" w:rsidRPr="00336040" w:rsidRDefault="00271EAA" w:rsidP="0087632D">
            <w:pPr>
              <w:pStyle w:val="PlainText"/>
              <w:cnfStyle w:val="000000100000"/>
              <w:rPr>
                <w:rFonts w:asciiTheme="minorHAnsi" w:hAnsiTheme="minorHAnsi" w:cstheme="minorHAnsi"/>
                <w:sz w:val="24"/>
                <w:szCs w:val="24"/>
              </w:rPr>
            </w:pPr>
            <w:r w:rsidRPr="00336040">
              <w:rPr>
                <w:rFonts w:asciiTheme="minorHAnsi" w:hAnsiTheme="minorHAnsi" w:cstheme="minorHAnsi"/>
                <w:sz w:val="24"/>
                <w:szCs w:val="24"/>
              </w:rPr>
              <w:t>15608</w:t>
            </w:r>
          </w:p>
        </w:tc>
        <w:tc>
          <w:tcPr>
            <w:tcW w:w="789" w:type="pct"/>
            <w:vAlign w:val="center"/>
          </w:tcPr>
          <w:p w:rsidR="00271EAA" w:rsidRPr="00336040" w:rsidRDefault="00271EAA" w:rsidP="0087632D">
            <w:pPr>
              <w:pStyle w:val="PlainText"/>
              <w:cnfStyle w:val="000000100000"/>
              <w:rPr>
                <w:rFonts w:asciiTheme="minorHAnsi" w:hAnsiTheme="minorHAnsi" w:cstheme="minorHAnsi"/>
                <w:sz w:val="24"/>
                <w:szCs w:val="24"/>
              </w:rPr>
            </w:pPr>
          </w:p>
        </w:tc>
      </w:tr>
      <w:tr w:rsidR="00841B6F" w:rsidRPr="00336040" w:rsidTr="0087632D">
        <w:trPr>
          <w:trHeight w:val="432"/>
        </w:trPr>
        <w:tc>
          <w:tcPr>
            <w:cnfStyle w:val="001000000000"/>
            <w:tcW w:w="3421" w:type="pct"/>
            <w:vAlign w:val="center"/>
          </w:tcPr>
          <w:p w:rsidR="00271EAA" w:rsidRPr="00336040" w:rsidRDefault="00271EAA" w:rsidP="0087632D">
            <w:pPr>
              <w:pStyle w:val="PlainText"/>
              <w:rPr>
                <w:rFonts w:asciiTheme="minorHAnsi" w:hAnsiTheme="minorHAnsi" w:cstheme="minorHAnsi"/>
                <w:sz w:val="24"/>
                <w:szCs w:val="24"/>
              </w:rPr>
            </w:pPr>
            <w:r w:rsidRPr="00336040">
              <w:rPr>
                <w:rFonts w:asciiTheme="minorHAnsi" w:hAnsiTheme="minorHAnsi" w:cstheme="minorHAnsi"/>
                <w:sz w:val="24"/>
                <w:szCs w:val="24"/>
              </w:rPr>
              <w:t>No re-entering licensing system</w:t>
            </w:r>
          </w:p>
        </w:tc>
        <w:tc>
          <w:tcPr>
            <w:tcW w:w="791" w:type="pct"/>
            <w:vAlign w:val="center"/>
          </w:tcPr>
          <w:p w:rsidR="00271EAA" w:rsidRPr="00336040" w:rsidRDefault="00271EAA" w:rsidP="0087632D">
            <w:pPr>
              <w:pStyle w:val="PlainText"/>
              <w:cnfStyle w:val="000000000000"/>
              <w:rPr>
                <w:rFonts w:asciiTheme="minorHAnsi" w:hAnsiTheme="minorHAnsi" w:cstheme="minorHAnsi"/>
                <w:sz w:val="24"/>
                <w:szCs w:val="24"/>
              </w:rPr>
            </w:pPr>
            <w:r w:rsidRPr="00336040">
              <w:rPr>
                <w:rFonts w:asciiTheme="minorHAnsi" w:hAnsiTheme="minorHAnsi" w:cstheme="minorHAnsi"/>
                <w:sz w:val="24"/>
                <w:szCs w:val="24"/>
              </w:rPr>
              <w:t>11691</w:t>
            </w:r>
          </w:p>
        </w:tc>
        <w:tc>
          <w:tcPr>
            <w:tcW w:w="789" w:type="pct"/>
            <w:vAlign w:val="center"/>
          </w:tcPr>
          <w:p w:rsidR="00271EAA" w:rsidRPr="00336040" w:rsidRDefault="00271EAA" w:rsidP="0087632D">
            <w:pPr>
              <w:pStyle w:val="PlainText"/>
              <w:cnfStyle w:val="000000000000"/>
              <w:rPr>
                <w:rFonts w:asciiTheme="minorHAnsi" w:hAnsiTheme="minorHAnsi" w:cstheme="minorHAnsi"/>
                <w:sz w:val="24"/>
                <w:szCs w:val="24"/>
              </w:rPr>
            </w:pPr>
            <w:r w:rsidRPr="00336040">
              <w:rPr>
                <w:rFonts w:asciiTheme="minorHAnsi" w:hAnsiTheme="minorHAnsi" w:cstheme="minorHAnsi"/>
                <w:sz w:val="24"/>
                <w:szCs w:val="24"/>
              </w:rPr>
              <w:t>75</w:t>
            </w:r>
          </w:p>
        </w:tc>
      </w:tr>
      <w:tr w:rsidR="00841B6F" w:rsidRPr="00336040" w:rsidTr="0087632D">
        <w:trPr>
          <w:cnfStyle w:val="000000100000"/>
          <w:trHeight w:val="432"/>
        </w:trPr>
        <w:tc>
          <w:tcPr>
            <w:cnfStyle w:val="001000000000"/>
            <w:tcW w:w="3421" w:type="pct"/>
            <w:vAlign w:val="center"/>
          </w:tcPr>
          <w:p w:rsidR="00271EAA" w:rsidRPr="00336040" w:rsidRDefault="00271EAA" w:rsidP="0087632D">
            <w:pPr>
              <w:pStyle w:val="PlainText"/>
              <w:rPr>
                <w:rFonts w:asciiTheme="minorHAnsi" w:hAnsiTheme="minorHAnsi" w:cstheme="minorHAnsi"/>
                <w:sz w:val="24"/>
                <w:szCs w:val="24"/>
              </w:rPr>
            </w:pPr>
            <w:r w:rsidRPr="00336040">
              <w:rPr>
                <w:rFonts w:asciiTheme="minorHAnsi" w:hAnsiTheme="minorHAnsi" w:cstheme="minorHAnsi"/>
                <w:sz w:val="24"/>
                <w:szCs w:val="24"/>
              </w:rPr>
              <w:t>Remainder</w:t>
            </w:r>
          </w:p>
        </w:tc>
        <w:tc>
          <w:tcPr>
            <w:tcW w:w="791" w:type="pct"/>
            <w:vAlign w:val="center"/>
          </w:tcPr>
          <w:p w:rsidR="00271EAA" w:rsidRPr="00336040" w:rsidRDefault="00271EAA" w:rsidP="0087632D">
            <w:pPr>
              <w:pStyle w:val="PlainText"/>
              <w:cnfStyle w:val="000000100000"/>
              <w:rPr>
                <w:rFonts w:asciiTheme="minorHAnsi" w:hAnsiTheme="minorHAnsi" w:cstheme="minorHAnsi"/>
                <w:sz w:val="24"/>
                <w:szCs w:val="24"/>
              </w:rPr>
            </w:pPr>
            <w:r w:rsidRPr="00336040">
              <w:rPr>
                <w:rFonts w:asciiTheme="minorHAnsi" w:hAnsiTheme="minorHAnsi" w:cstheme="minorHAnsi"/>
                <w:sz w:val="24"/>
                <w:szCs w:val="24"/>
              </w:rPr>
              <w:t>3917</w:t>
            </w:r>
          </w:p>
        </w:tc>
        <w:tc>
          <w:tcPr>
            <w:tcW w:w="789" w:type="pct"/>
            <w:vAlign w:val="center"/>
          </w:tcPr>
          <w:p w:rsidR="00271EAA" w:rsidRPr="00336040" w:rsidRDefault="00271EAA" w:rsidP="0087632D">
            <w:pPr>
              <w:pStyle w:val="PlainText"/>
              <w:cnfStyle w:val="000000100000"/>
              <w:rPr>
                <w:rFonts w:asciiTheme="minorHAnsi" w:hAnsiTheme="minorHAnsi" w:cstheme="minorHAnsi"/>
                <w:sz w:val="24"/>
                <w:szCs w:val="24"/>
              </w:rPr>
            </w:pPr>
            <w:r w:rsidRPr="00336040">
              <w:rPr>
                <w:rFonts w:asciiTheme="minorHAnsi" w:hAnsiTheme="minorHAnsi" w:cstheme="minorHAnsi"/>
                <w:sz w:val="24"/>
                <w:szCs w:val="24"/>
              </w:rPr>
              <w:t>25</w:t>
            </w:r>
          </w:p>
        </w:tc>
      </w:tr>
      <w:tr w:rsidR="00841B6F" w:rsidRPr="00336040" w:rsidTr="0087632D">
        <w:trPr>
          <w:trHeight w:val="432"/>
        </w:trPr>
        <w:tc>
          <w:tcPr>
            <w:cnfStyle w:val="001000000000"/>
            <w:tcW w:w="3421" w:type="pct"/>
            <w:vAlign w:val="center"/>
          </w:tcPr>
          <w:p w:rsidR="00271EAA" w:rsidRPr="00336040" w:rsidRDefault="00271EAA" w:rsidP="0067514C">
            <w:pPr>
              <w:pStyle w:val="PlainText"/>
              <w:numPr>
                <w:ilvl w:val="0"/>
                <w:numId w:val="10"/>
              </w:numPr>
              <w:ind w:left="1080"/>
              <w:rPr>
                <w:rFonts w:asciiTheme="minorHAnsi" w:hAnsiTheme="minorHAnsi" w:cstheme="minorHAnsi"/>
                <w:sz w:val="24"/>
                <w:szCs w:val="24"/>
              </w:rPr>
            </w:pPr>
            <w:r w:rsidRPr="00336040">
              <w:rPr>
                <w:rFonts w:asciiTheme="minorHAnsi" w:hAnsiTheme="minorHAnsi" w:cstheme="minorHAnsi"/>
                <w:sz w:val="24"/>
                <w:szCs w:val="24"/>
              </w:rPr>
              <w:t>Deceased</w:t>
            </w:r>
          </w:p>
        </w:tc>
        <w:tc>
          <w:tcPr>
            <w:tcW w:w="791" w:type="pct"/>
            <w:vAlign w:val="center"/>
          </w:tcPr>
          <w:p w:rsidR="00271EAA" w:rsidRPr="00336040" w:rsidRDefault="00271EAA" w:rsidP="0087632D">
            <w:pPr>
              <w:pStyle w:val="PlainText"/>
              <w:cnfStyle w:val="000000000000"/>
              <w:rPr>
                <w:rFonts w:asciiTheme="minorHAnsi" w:hAnsiTheme="minorHAnsi" w:cstheme="minorHAnsi"/>
                <w:sz w:val="24"/>
                <w:szCs w:val="24"/>
              </w:rPr>
            </w:pPr>
            <w:r w:rsidRPr="00336040">
              <w:rPr>
                <w:rFonts w:asciiTheme="minorHAnsi" w:hAnsiTheme="minorHAnsi" w:cstheme="minorHAnsi"/>
                <w:sz w:val="24"/>
                <w:szCs w:val="24"/>
              </w:rPr>
              <w:t>104</w:t>
            </w:r>
          </w:p>
        </w:tc>
        <w:tc>
          <w:tcPr>
            <w:tcW w:w="789" w:type="pct"/>
            <w:vAlign w:val="center"/>
          </w:tcPr>
          <w:p w:rsidR="00271EAA" w:rsidRPr="00336040" w:rsidRDefault="00271EAA" w:rsidP="0087632D">
            <w:pPr>
              <w:pStyle w:val="PlainText"/>
              <w:cnfStyle w:val="000000000000"/>
              <w:rPr>
                <w:rFonts w:asciiTheme="minorHAnsi" w:hAnsiTheme="minorHAnsi" w:cstheme="minorHAnsi"/>
                <w:sz w:val="24"/>
                <w:szCs w:val="24"/>
              </w:rPr>
            </w:pPr>
            <w:r w:rsidRPr="00336040">
              <w:rPr>
                <w:rFonts w:asciiTheme="minorHAnsi" w:hAnsiTheme="minorHAnsi" w:cstheme="minorHAnsi"/>
                <w:sz w:val="24"/>
                <w:szCs w:val="24"/>
              </w:rPr>
              <w:t>0.6</w:t>
            </w:r>
          </w:p>
        </w:tc>
      </w:tr>
      <w:tr w:rsidR="00841B6F" w:rsidRPr="00336040" w:rsidTr="0087632D">
        <w:trPr>
          <w:cnfStyle w:val="000000100000"/>
          <w:trHeight w:val="432"/>
        </w:trPr>
        <w:tc>
          <w:tcPr>
            <w:cnfStyle w:val="001000000000"/>
            <w:tcW w:w="3421" w:type="pct"/>
            <w:vAlign w:val="center"/>
          </w:tcPr>
          <w:p w:rsidR="00271EAA" w:rsidRPr="00336040" w:rsidRDefault="00271EAA" w:rsidP="0067514C">
            <w:pPr>
              <w:pStyle w:val="PlainText"/>
              <w:numPr>
                <w:ilvl w:val="0"/>
                <w:numId w:val="10"/>
              </w:numPr>
              <w:ind w:left="1080"/>
              <w:rPr>
                <w:rFonts w:asciiTheme="minorHAnsi" w:hAnsiTheme="minorHAnsi" w:cstheme="minorHAnsi"/>
                <w:sz w:val="24"/>
                <w:szCs w:val="24"/>
              </w:rPr>
            </w:pPr>
            <w:r w:rsidRPr="00336040">
              <w:rPr>
                <w:rFonts w:asciiTheme="minorHAnsi" w:hAnsiTheme="minorHAnsi" w:cstheme="minorHAnsi"/>
                <w:sz w:val="24"/>
                <w:szCs w:val="24"/>
              </w:rPr>
              <w:t>Serving a subsequent period of disqualification</w:t>
            </w:r>
          </w:p>
        </w:tc>
        <w:tc>
          <w:tcPr>
            <w:tcW w:w="791" w:type="pct"/>
            <w:vAlign w:val="center"/>
          </w:tcPr>
          <w:p w:rsidR="00271EAA" w:rsidRPr="00336040" w:rsidRDefault="00271EAA" w:rsidP="0087632D">
            <w:pPr>
              <w:pStyle w:val="PlainText"/>
              <w:cnfStyle w:val="000000100000"/>
              <w:rPr>
                <w:rFonts w:asciiTheme="minorHAnsi" w:hAnsiTheme="minorHAnsi" w:cstheme="minorHAnsi"/>
                <w:sz w:val="24"/>
                <w:szCs w:val="24"/>
              </w:rPr>
            </w:pPr>
            <w:r w:rsidRPr="00336040">
              <w:rPr>
                <w:rFonts w:asciiTheme="minorHAnsi" w:hAnsiTheme="minorHAnsi" w:cstheme="minorHAnsi"/>
                <w:sz w:val="24"/>
                <w:szCs w:val="24"/>
              </w:rPr>
              <w:t>627</w:t>
            </w:r>
          </w:p>
        </w:tc>
        <w:tc>
          <w:tcPr>
            <w:tcW w:w="789" w:type="pct"/>
            <w:vAlign w:val="center"/>
          </w:tcPr>
          <w:p w:rsidR="00271EAA" w:rsidRPr="00336040" w:rsidRDefault="00271EAA" w:rsidP="0087632D">
            <w:pPr>
              <w:pStyle w:val="PlainText"/>
              <w:cnfStyle w:val="000000100000"/>
              <w:rPr>
                <w:rFonts w:asciiTheme="minorHAnsi" w:hAnsiTheme="minorHAnsi" w:cstheme="minorHAnsi"/>
                <w:sz w:val="24"/>
                <w:szCs w:val="24"/>
              </w:rPr>
            </w:pPr>
            <w:r w:rsidRPr="00336040">
              <w:rPr>
                <w:rFonts w:asciiTheme="minorHAnsi" w:hAnsiTheme="minorHAnsi" w:cstheme="minorHAnsi"/>
                <w:sz w:val="24"/>
                <w:szCs w:val="24"/>
              </w:rPr>
              <w:t>4.0</w:t>
            </w:r>
          </w:p>
        </w:tc>
      </w:tr>
      <w:tr w:rsidR="00841B6F" w:rsidRPr="00336040" w:rsidTr="0087632D">
        <w:trPr>
          <w:trHeight w:val="432"/>
        </w:trPr>
        <w:tc>
          <w:tcPr>
            <w:cnfStyle w:val="001000000000"/>
            <w:tcW w:w="3421" w:type="pct"/>
            <w:vAlign w:val="center"/>
          </w:tcPr>
          <w:p w:rsidR="00271EAA" w:rsidRPr="00336040" w:rsidRDefault="00271EAA" w:rsidP="0067514C">
            <w:pPr>
              <w:pStyle w:val="PlainText"/>
              <w:numPr>
                <w:ilvl w:val="0"/>
                <w:numId w:val="10"/>
              </w:numPr>
              <w:ind w:left="1080"/>
              <w:rPr>
                <w:rFonts w:asciiTheme="minorHAnsi" w:hAnsiTheme="minorHAnsi" w:cstheme="minorHAnsi"/>
                <w:sz w:val="24"/>
                <w:szCs w:val="24"/>
              </w:rPr>
            </w:pPr>
            <w:r w:rsidRPr="00336040">
              <w:rPr>
                <w:rFonts w:asciiTheme="minorHAnsi" w:hAnsiTheme="minorHAnsi" w:cstheme="minorHAnsi"/>
                <w:sz w:val="24"/>
                <w:szCs w:val="24"/>
              </w:rPr>
              <w:t>MPES sanction</w:t>
            </w:r>
          </w:p>
        </w:tc>
        <w:tc>
          <w:tcPr>
            <w:tcW w:w="791" w:type="pct"/>
            <w:vAlign w:val="center"/>
          </w:tcPr>
          <w:p w:rsidR="00271EAA" w:rsidRPr="00336040" w:rsidRDefault="00271EAA" w:rsidP="0087632D">
            <w:pPr>
              <w:pStyle w:val="PlainText"/>
              <w:cnfStyle w:val="000000000000"/>
              <w:rPr>
                <w:rFonts w:asciiTheme="minorHAnsi" w:hAnsiTheme="minorHAnsi" w:cstheme="minorHAnsi"/>
                <w:sz w:val="24"/>
                <w:szCs w:val="24"/>
              </w:rPr>
            </w:pPr>
            <w:r w:rsidRPr="00336040">
              <w:rPr>
                <w:rFonts w:asciiTheme="minorHAnsi" w:hAnsiTheme="minorHAnsi" w:cstheme="minorHAnsi"/>
                <w:sz w:val="24"/>
                <w:szCs w:val="24"/>
              </w:rPr>
              <w:t>329</w:t>
            </w:r>
          </w:p>
        </w:tc>
        <w:tc>
          <w:tcPr>
            <w:tcW w:w="789" w:type="pct"/>
            <w:vAlign w:val="center"/>
          </w:tcPr>
          <w:p w:rsidR="00271EAA" w:rsidRPr="00336040" w:rsidRDefault="00271EAA" w:rsidP="0087632D">
            <w:pPr>
              <w:pStyle w:val="PlainText"/>
              <w:cnfStyle w:val="000000000000"/>
              <w:rPr>
                <w:rFonts w:asciiTheme="minorHAnsi" w:hAnsiTheme="minorHAnsi" w:cstheme="minorHAnsi"/>
                <w:sz w:val="24"/>
                <w:szCs w:val="24"/>
              </w:rPr>
            </w:pPr>
            <w:r w:rsidRPr="00336040">
              <w:rPr>
                <w:rFonts w:asciiTheme="minorHAnsi" w:hAnsiTheme="minorHAnsi" w:cstheme="minorHAnsi"/>
                <w:sz w:val="24"/>
                <w:szCs w:val="24"/>
              </w:rPr>
              <w:t>2.1</w:t>
            </w:r>
          </w:p>
        </w:tc>
      </w:tr>
      <w:tr w:rsidR="00841B6F" w:rsidRPr="00336040" w:rsidTr="0087632D">
        <w:trPr>
          <w:cnfStyle w:val="000000100000"/>
          <w:trHeight w:val="432"/>
        </w:trPr>
        <w:tc>
          <w:tcPr>
            <w:cnfStyle w:val="001000000000"/>
            <w:tcW w:w="3421" w:type="pct"/>
            <w:vAlign w:val="center"/>
          </w:tcPr>
          <w:p w:rsidR="00271EAA" w:rsidRPr="00336040" w:rsidRDefault="00271EAA" w:rsidP="0067514C">
            <w:pPr>
              <w:pStyle w:val="PlainText"/>
              <w:numPr>
                <w:ilvl w:val="0"/>
                <w:numId w:val="10"/>
              </w:numPr>
              <w:ind w:left="1080"/>
              <w:rPr>
                <w:rFonts w:asciiTheme="minorHAnsi" w:hAnsiTheme="minorHAnsi" w:cstheme="minorHAnsi"/>
                <w:sz w:val="24"/>
                <w:szCs w:val="24"/>
              </w:rPr>
            </w:pPr>
            <w:r w:rsidRPr="00336040">
              <w:rPr>
                <w:rFonts w:asciiTheme="minorHAnsi" w:hAnsiTheme="minorHAnsi" w:cstheme="minorHAnsi"/>
                <w:sz w:val="24"/>
                <w:szCs w:val="24"/>
              </w:rPr>
              <w:t>Have a BAR against licence requiring further action prior to restoration of licence</w:t>
            </w:r>
          </w:p>
        </w:tc>
        <w:tc>
          <w:tcPr>
            <w:tcW w:w="791" w:type="pct"/>
            <w:vAlign w:val="center"/>
          </w:tcPr>
          <w:p w:rsidR="00271EAA" w:rsidRPr="00336040" w:rsidRDefault="00271EAA" w:rsidP="0087632D">
            <w:pPr>
              <w:pStyle w:val="PlainText"/>
              <w:cnfStyle w:val="000000100000"/>
              <w:rPr>
                <w:rFonts w:asciiTheme="minorHAnsi" w:hAnsiTheme="minorHAnsi" w:cstheme="minorHAnsi"/>
                <w:sz w:val="24"/>
                <w:szCs w:val="24"/>
              </w:rPr>
            </w:pPr>
            <w:r w:rsidRPr="00336040">
              <w:rPr>
                <w:rFonts w:asciiTheme="minorHAnsi" w:hAnsiTheme="minorHAnsi" w:cstheme="minorHAnsi"/>
                <w:sz w:val="24"/>
                <w:szCs w:val="24"/>
              </w:rPr>
              <w:t>329</w:t>
            </w:r>
          </w:p>
        </w:tc>
        <w:tc>
          <w:tcPr>
            <w:tcW w:w="789" w:type="pct"/>
            <w:vAlign w:val="center"/>
          </w:tcPr>
          <w:p w:rsidR="00271EAA" w:rsidRPr="00336040" w:rsidRDefault="00271EAA" w:rsidP="0087632D">
            <w:pPr>
              <w:pStyle w:val="PlainText"/>
              <w:cnfStyle w:val="000000100000"/>
              <w:rPr>
                <w:rFonts w:asciiTheme="minorHAnsi" w:hAnsiTheme="minorHAnsi" w:cstheme="minorHAnsi"/>
                <w:sz w:val="24"/>
                <w:szCs w:val="24"/>
              </w:rPr>
            </w:pPr>
            <w:r w:rsidRPr="00336040">
              <w:rPr>
                <w:rFonts w:asciiTheme="minorHAnsi" w:hAnsiTheme="minorHAnsi" w:cstheme="minorHAnsi"/>
                <w:sz w:val="24"/>
                <w:szCs w:val="24"/>
              </w:rPr>
              <w:t>2.1</w:t>
            </w:r>
          </w:p>
        </w:tc>
      </w:tr>
      <w:tr w:rsidR="00841B6F" w:rsidRPr="00336040" w:rsidTr="0087632D">
        <w:trPr>
          <w:trHeight w:val="432"/>
        </w:trPr>
        <w:tc>
          <w:tcPr>
            <w:cnfStyle w:val="001000000000"/>
            <w:tcW w:w="3421" w:type="pct"/>
            <w:vAlign w:val="center"/>
          </w:tcPr>
          <w:p w:rsidR="00271EAA" w:rsidRPr="00336040" w:rsidRDefault="00271EAA" w:rsidP="0067514C">
            <w:pPr>
              <w:pStyle w:val="PlainText"/>
              <w:numPr>
                <w:ilvl w:val="0"/>
                <w:numId w:val="10"/>
              </w:numPr>
              <w:ind w:left="1080"/>
              <w:rPr>
                <w:rFonts w:asciiTheme="minorHAnsi" w:hAnsiTheme="minorHAnsi" w:cstheme="minorHAnsi"/>
                <w:sz w:val="24"/>
                <w:szCs w:val="24"/>
              </w:rPr>
            </w:pPr>
            <w:r w:rsidRPr="00336040">
              <w:rPr>
                <w:rFonts w:asciiTheme="minorHAnsi" w:hAnsiTheme="minorHAnsi" w:cstheme="minorHAnsi"/>
                <w:sz w:val="24"/>
                <w:szCs w:val="24"/>
              </w:rPr>
              <w:t>Have a restriction against licence preventing reissue</w:t>
            </w:r>
          </w:p>
        </w:tc>
        <w:tc>
          <w:tcPr>
            <w:tcW w:w="791" w:type="pct"/>
            <w:vAlign w:val="center"/>
          </w:tcPr>
          <w:p w:rsidR="00271EAA" w:rsidRPr="00336040" w:rsidRDefault="00271EAA" w:rsidP="0087632D">
            <w:pPr>
              <w:pStyle w:val="PlainText"/>
              <w:cnfStyle w:val="000000000000"/>
              <w:rPr>
                <w:rFonts w:asciiTheme="minorHAnsi" w:hAnsiTheme="minorHAnsi" w:cstheme="minorHAnsi"/>
                <w:sz w:val="24"/>
                <w:szCs w:val="24"/>
              </w:rPr>
            </w:pPr>
            <w:r w:rsidRPr="00336040">
              <w:rPr>
                <w:rFonts w:asciiTheme="minorHAnsi" w:hAnsiTheme="minorHAnsi" w:cstheme="minorHAnsi"/>
                <w:sz w:val="24"/>
                <w:szCs w:val="24"/>
              </w:rPr>
              <w:t>2</w:t>
            </w:r>
          </w:p>
        </w:tc>
        <w:tc>
          <w:tcPr>
            <w:tcW w:w="789" w:type="pct"/>
            <w:vAlign w:val="center"/>
          </w:tcPr>
          <w:p w:rsidR="00271EAA" w:rsidRPr="00336040" w:rsidRDefault="00271EAA" w:rsidP="0087632D">
            <w:pPr>
              <w:pStyle w:val="PlainText"/>
              <w:cnfStyle w:val="000000000000"/>
              <w:rPr>
                <w:rFonts w:asciiTheme="minorHAnsi" w:hAnsiTheme="minorHAnsi" w:cstheme="minorHAnsi"/>
                <w:sz w:val="24"/>
                <w:szCs w:val="24"/>
              </w:rPr>
            </w:pPr>
            <w:r w:rsidRPr="00336040">
              <w:rPr>
                <w:rFonts w:asciiTheme="minorHAnsi" w:hAnsiTheme="minorHAnsi" w:cstheme="minorHAnsi"/>
                <w:sz w:val="24"/>
                <w:szCs w:val="24"/>
              </w:rPr>
              <w:t>0.01</w:t>
            </w:r>
          </w:p>
        </w:tc>
      </w:tr>
      <w:tr w:rsidR="00841B6F" w:rsidRPr="00336040" w:rsidTr="0087632D">
        <w:trPr>
          <w:cnfStyle w:val="000000100000"/>
          <w:trHeight w:val="432"/>
        </w:trPr>
        <w:tc>
          <w:tcPr>
            <w:cnfStyle w:val="001000000000"/>
            <w:tcW w:w="3421" w:type="pct"/>
            <w:vAlign w:val="center"/>
          </w:tcPr>
          <w:p w:rsidR="00271EAA" w:rsidRPr="00336040" w:rsidRDefault="0087632D" w:rsidP="0067514C">
            <w:pPr>
              <w:pStyle w:val="PlainText"/>
              <w:numPr>
                <w:ilvl w:val="0"/>
                <w:numId w:val="10"/>
              </w:numPr>
              <w:ind w:left="1080"/>
              <w:rPr>
                <w:rFonts w:asciiTheme="minorHAnsi" w:hAnsiTheme="minorHAnsi" w:cstheme="minorHAnsi"/>
                <w:sz w:val="24"/>
                <w:szCs w:val="24"/>
              </w:rPr>
            </w:pPr>
            <w:r>
              <w:rPr>
                <w:rFonts w:asciiTheme="minorHAnsi" w:hAnsiTheme="minorHAnsi" w:cstheme="minorHAnsi"/>
                <w:sz w:val="24"/>
                <w:szCs w:val="24"/>
              </w:rPr>
              <w:t>Unknown</w:t>
            </w:r>
          </w:p>
        </w:tc>
        <w:tc>
          <w:tcPr>
            <w:tcW w:w="791" w:type="pct"/>
            <w:vAlign w:val="center"/>
          </w:tcPr>
          <w:p w:rsidR="00271EAA" w:rsidRPr="00336040" w:rsidRDefault="00271EAA" w:rsidP="0087632D">
            <w:pPr>
              <w:pStyle w:val="PlainText"/>
              <w:cnfStyle w:val="000000100000"/>
              <w:rPr>
                <w:rFonts w:asciiTheme="minorHAnsi" w:hAnsiTheme="minorHAnsi" w:cstheme="minorHAnsi"/>
                <w:sz w:val="24"/>
                <w:szCs w:val="24"/>
              </w:rPr>
            </w:pPr>
            <w:r w:rsidRPr="00336040">
              <w:rPr>
                <w:rFonts w:asciiTheme="minorHAnsi" w:hAnsiTheme="minorHAnsi" w:cstheme="minorHAnsi"/>
                <w:sz w:val="24"/>
                <w:szCs w:val="24"/>
              </w:rPr>
              <w:t>2526*</w:t>
            </w:r>
          </w:p>
        </w:tc>
        <w:tc>
          <w:tcPr>
            <w:tcW w:w="789" w:type="pct"/>
            <w:vAlign w:val="center"/>
          </w:tcPr>
          <w:p w:rsidR="00271EAA" w:rsidRPr="00336040" w:rsidRDefault="00271EAA" w:rsidP="0087632D">
            <w:pPr>
              <w:pStyle w:val="PlainText"/>
              <w:cnfStyle w:val="000000100000"/>
              <w:rPr>
                <w:rFonts w:asciiTheme="minorHAnsi" w:hAnsiTheme="minorHAnsi" w:cstheme="minorHAnsi"/>
                <w:sz w:val="24"/>
                <w:szCs w:val="24"/>
              </w:rPr>
            </w:pPr>
            <w:r w:rsidRPr="00336040">
              <w:rPr>
                <w:rFonts w:asciiTheme="minorHAnsi" w:hAnsiTheme="minorHAnsi" w:cstheme="minorHAnsi"/>
                <w:sz w:val="24"/>
                <w:szCs w:val="24"/>
              </w:rPr>
              <w:t>16.2</w:t>
            </w:r>
          </w:p>
        </w:tc>
      </w:tr>
      <w:tr w:rsidR="00841B6F" w:rsidRPr="00336040" w:rsidTr="0087632D">
        <w:trPr>
          <w:trHeight w:val="432"/>
        </w:trPr>
        <w:tc>
          <w:tcPr>
            <w:cnfStyle w:val="001000000000"/>
            <w:tcW w:w="3421" w:type="pct"/>
            <w:vAlign w:val="center"/>
          </w:tcPr>
          <w:p w:rsidR="00271EAA" w:rsidRPr="00336040" w:rsidRDefault="00271EAA" w:rsidP="0067514C">
            <w:pPr>
              <w:pStyle w:val="PlainText"/>
              <w:numPr>
                <w:ilvl w:val="0"/>
                <w:numId w:val="10"/>
              </w:numPr>
              <w:ind w:left="1080"/>
              <w:rPr>
                <w:rFonts w:asciiTheme="minorHAnsi" w:hAnsiTheme="minorHAnsi" w:cstheme="minorHAnsi"/>
                <w:sz w:val="24"/>
                <w:szCs w:val="24"/>
              </w:rPr>
            </w:pPr>
            <w:r w:rsidRPr="00336040">
              <w:rPr>
                <w:rFonts w:asciiTheme="minorHAnsi" w:hAnsiTheme="minorHAnsi" w:cstheme="minorHAnsi"/>
                <w:sz w:val="24"/>
                <w:szCs w:val="24"/>
              </w:rPr>
              <w:t>Returned mail/no longer at address</w:t>
            </w:r>
          </w:p>
        </w:tc>
        <w:tc>
          <w:tcPr>
            <w:tcW w:w="791" w:type="pct"/>
            <w:vAlign w:val="center"/>
          </w:tcPr>
          <w:p w:rsidR="00271EAA" w:rsidRPr="00336040" w:rsidRDefault="00271EAA" w:rsidP="0087632D">
            <w:pPr>
              <w:pStyle w:val="PlainText"/>
              <w:cnfStyle w:val="000000000000"/>
              <w:rPr>
                <w:rFonts w:asciiTheme="minorHAnsi" w:hAnsiTheme="minorHAnsi" w:cstheme="minorHAnsi"/>
                <w:sz w:val="24"/>
                <w:szCs w:val="24"/>
              </w:rPr>
            </w:pPr>
            <w:r w:rsidRPr="00336040">
              <w:rPr>
                <w:rFonts w:asciiTheme="minorHAnsi" w:hAnsiTheme="minorHAnsi" w:cstheme="minorHAnsi"/>
                <w:sz w:val="24"/>
                <w:szCs w:val="24"/>
              </w:rPr>
              <w:t>175</w:t>
            </w:r>
          </w:p>
        </w:tc>
        <w:tc>
          <w:tcPr>
            <w:tcW w:w="789" w:type="pct"/>
            <w:vAlign w:val="center"/>
          </w:tcPr>
          <w:p w:rsidR="00271EAA" w:rsidRPr="00336040" w:rsidRDefault="00271EAA" w:rsidP="0087632D">
            <w:pPr>
              <w:pStyle w:val="PlainText"/>
              <w:cnfStyle w:val="000000000000"/>
              <w:rPr>
                <w:rFonts w:asciiTheme="minorHAnsi" w:hAnsiTheme="minorHAnsi" w:cstheme="minorHAnsi"/>
                <w:sz w:val="24"/>
                <w:szCs w:val="24"/>
              </w:rPr>
            </w:pPr>
            <w:r w:rsidRPr="00336040">
              <w:rPr>
                <w:rFonts w:asciiTheme="minorHAnsi" w:hAnsiTheme="minorHAnsi" w:cstheme="minorHAnsi"/>
                <w:sz w:val="24"/>
                <w:szCs w:val="24"/>
              </w:rPr>
              <w:t>1.12</w:t>
            </w:r>
          </w:p>
        </w:tc>
      </w:tr>
    </w:tbl>
    <w:p w:rsidR="00271EAA" w:rsidRPr="0087632D" w:rsidRDefault="00271EAA" w:rsidP="00271EAA">
      <w:pPr>
        <w:pStyle w:val="PlainText"/>
        <w:jc w:val="both"/>
        <w:rPr>
          <w:rFonts w:asciiTheme="minorHAnsi" w:hAnsiTheme="minorHAnsi" w:cstheme="minorHAnsi"/>
          <w:sz w:val="24"/>
          <w:szCs w:val="24"/>
        </w:rPr>
      </w:pPr>
    </w:p>
    <w:p w:rsidR="00336040" w:rsidRPr="0087632D" w:rsidRDefault="00336040" w:rsidP="00336040">
      <w:pPr>
        <w:pStyle w:val="PlainText"/>
        <w:rPr>
          <w:rFonts w:asciiTheme="minorHAnsi" w:hAnsiTheme="minorHAnsi" w:cstheme="minorHAnsi"/>
          <w:sz w:val="24"/>
          <w:szCs w:val="24"/>
        </w:rPr>
      </w:pPr>
      <w:r w:rsidRPr="0087632D">
        <w:rPr>
          <w:rFonts w:asciiTheme="minorHAnsi" w:hAnsiTheme="minorHAnsi" w:cstheme="minorHAnsi"/>
          <w:sz w:val="24"/>
          <w:szCs w:val="24"/>
        </w:rPr>
        <w:t>NB. a number of the clients may have multiple sanctions.</w:t>
      </w:r>
    </w:p>
    <w:p w:rsidR="00CA1C5B" w:rsidRDefault="00CA1C5B" w:rsidP="0087632D">
      <w:pPr>
        <w:jc w:val="both"/>
      </w:pPr>
    </w:p>
    <w:p w:rsidR="004B42E1" w:rsidRDefault="004B42E1" w:rsidP="0087632D">
      <w:pPr>
        <w:jc w:val="both"/>
      </w:pPr>
    </w:p>
    <w:p w:rsidR="004B42E1" w:rsidRDefault="004B42E1">
      <w:r>
        <w:br w:type="page"/>
      </w:r>
    </w:p>
    <w:p w:rsidR="00876F5E" w:rsidRDefault="00876F5E" w:rsidP="0067514C">
      <w:pPr>
        <w:pStyle w:val="KeyMessageText"/>
        <w:numPr>
          <w:ilvl w:val="0"/>
          <w:numId w:val="24"/>
        </w:numPr>
        <w:spacing w:before="120" w:after="200"/>
        <w:jc w:val="both"/>
        <w:sectPr w:rsidR="00876F5E" w:rsidSect="00841B6F">
          <w:headerReference w:type="default" r:id="rId39"/>
          <w:footerReference w:type="default" r:id="rId40"/>
          <w:pgSz w:w="16838" w:h="11906" w:orient="landscape"/>
          <w:pgMar w:top="1440" w:right="1440" w:bottom="1440" w:left="1440" w:header="706" w:footer="706" w:gutter="0"/>
          <w:cols w:space="708"/>
          <w:docGrid w:linePitch="360"/>
        </w:sectPr>
      </w:pPr>
    </w:p>
    <w:p w:rsidR="008141FB" w:rsidRDefault="008141FB" w:rsidP="008D4F38">
      <w:pPr>
        <w:pStyle w:val="TOC1"/>
        <w:tabs>
          <w:tab w:val="right" w:leader="dot" w:pos="9074"/>
        </w:tabs>
        <w:spacing w:after="200"/>
        <w:rPr>
          <w:rFonts w:asciiTheme="minorHAnsi" w:hAnsiTheme="minorHAnsi" w:cstheme="minorHAnsi"/>
          <w:b/>
        </w:rPr>
      </w:pPr>
    </w:p>
    <w:sectPr w:rsidR="008141FB" w:rsidSect="00F40325">
      <w:pgSz w:w="11906" w:h="16838"/>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A92" w:rsidRDefault="00736A92" w:rsidP="00AE3440">
      <w:pPr>
        <w:spacing w:after="0" w:line="240" w:lineRule="auto"/>
      </w:pPr>
      <w:r>
        <w:separator/>
      </w:r>
    </w:p>
  </w:endnote>
  <w:endnote w:type="continuationSeparator" w:id="0">
    <w:p w:rsidR="00736A92" w:rsidRDefault="00736A92" w:rsidP="00AE34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Arial Unicode MS"/>
    <w:panose1 w:val="00000000000000000000"/>
    <w:charset w:val="88"/>
    <w:family w:val="auto"/>
    <w:notTrueType/>
    <w:pitch w:val="default"/>
    <w:sig w:usb0="00000003" w:usb1="08080000" w:usb2="00000010" w:usb3="00000000" w:csb0="001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DAJKO P+ Gulliver RM">
    <w:altName w:val="Gulliver RM"/>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and Of Sean">
    <w:altName w:val="Arial Unicode MS"/>
    <w:charset w:val="81"/>
    <w:family w:val="auto"/>
    <w:pitch w:val="variable"/>
    <w:sig w:usb0="00000000" w:usb1="590F004A" w:usb2="00000010" w:usb3="00000000" w:csb0="000E019F" w:csb1="00000000"/>
  </w:font>
  <w:font w:name="BD Cartoon Shout">
    <w:altName w:val="Times New Roman"/>
    <w:charset w:val="00"/>
    <w:family w:val="auto"/>
    <w:pitch w:val="variable"/>
    <w:sig w:usb0="00000001" w:usb1="500078FB" w:usb2="00000000" w:usb3="00000000" w:csb0="0000019F" w:csb1="00000000"/>
  </w:font>
  <w:font w:name="DESTRUCCION">
    <w:altName w:val="Times New Roman"/>
    <w:charset w:val="00"/>
    <w:family w:val="auto"/>
    <w:pitch w:val="variable"/>
    <w:sig w:usb0="00000001" w:usb1="500078FB" w:usb2="00000000" w:usb3="00000000" w:csb0="0000019F" w:csb1="00000000"/>
  </w:font>
  <w:font w:name="Mangal">
    <w:panose1 w:val="00000400000000000000"/>
    <w:charset w:val="00"/>
    <w:family w:val="auto"/>
    <w:pitch w:val="variable"/>
    <w:sig w:usb0="00008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HelveticaNeueLT Std Med">
    <w:altName w:val="HelveticaNeueLT Std Med"/>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57782"/>
      <w:docPartObj>
        <w:docPartGallery w:val="Page Numbers (Bottom of Page)"/>
        <w:docPartUnique/>
      </w:docPartObj>
    </w:sdtPr>
    <w:sdtContent>
      <w:p w:rsidR="00787C1C" w:rsidRDefault="00F7744C">
        <w:pPr>
          <w:pStyle w:val="Footer"/>
          <w:jc w:val="right"/>
        </w:pPr>
        <w:fldSimple w:instr=" PAGE   \* MERGEFORMAT ">
          <w:r w:rsidR="00885C01">
            <w:rPr>
              <w:noProof/>
            </w:rPr>
            <w:t>2</w:t>
          </w:r>
        </w:fldSimple>
      </w:p>
    </w:sdtContent>
  </w:sdt>
  <w:p w:rsidR="00787C1C" w:rsidRDefault="00787C1C" w:rsidP="003D3337">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C1C" w:rsidRDefault="00787C1C">
    <w:r>
      <w:tab/>
    </w:r>
    <w:r>
      <w:tab/>
    </w:r>
  </w:p>
  <w:p w:rsidR="00787C1C" w:rsidRDefault="00787C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A92" w:rsidRDefault="00736A92" w:rsidP="00AE3440">
      <w:pPr>
        <w:spacing w:after="0" w:line="240" w:lineRule="auto"/>
      </w:pPr>
      <w:r>
        <w:separator/>
      </w:r>
    </w:p>
  </w:footnote>
  <w:footnote w:type="continuationSeparator" w:id="0">
    <w:p w:rsidR="00736A92" w:rsidRDefault="00736A92" w:rsidP="00AE34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C1C" w:rsidRDefault="00787C1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F4FB0"/>
    <w:multiLevelType w:val="hybridMultilevel"/>
    <w:tmpl w:val="B9EE939A"/>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67F5E4B"/>
    <w:multiLevelType w:val="hybridMultilevel"/>
    <w:tmpl w:val="38A6A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89E5541"/>
    <w:multiLevelType w:val="hybridMultilevel"/>
    <w:tmpl w:val="C9287B28"/>
    <w:lvl w:ilvl="0" w:tplc="0C09000F">
      <w:start w:val="1"/>
      <w:numFmt w:val="decimal"/>
      <w:lvlText w:val="%1."/>
      <w:lvlJc w:val="left"/>
      <w:pPr>
        <w:ind w:left="776" w:hanging="360"/>
      </w:pPr>
    </w:lvl>
    <w:lvl w:ilvl="1" w:tplc="0C090019" w:tentative="1">
      <w:start w:val="1"/>
      <w:numFmt w:val="lowerLetter"/>
      <w:lvlText w:val="%2."/>
      <w:lvlJc w:val="left"/>
      <w:pPr>
        <w:ind w:left="1496" w:hanging="360"/>
      </w:pPr>
    </w:lvl>
    <w:lvl w:ilvl="2" w:tplc="0C09001B" w:tentative="1">
      <w:start w:val="1"/>
      <w:numFmt w:val="lowerRoman"/>
      <w:lvlText w:val="%3."/>
      <w:lvlJc w:val="right"/>
      <w:pPr>
        <w:ind w:left="2216" w:hanging="180"/>
      </w:pPr>
    </w:lvl>
    <w:lvl w:ilvl="3" w:tplc="0C09000F" w:tentative="1">
      <w:start w:val="1"/>
      <w:numFmt w:val="decimal"/>
      <w:lvlText w:val="%4."/>
      <w:lvlJc w:val="left"/>
      <w:pPr>
        <w:ind w:left="2936" w:hanging="360"/>
      </w:pPr>
    </w:lvl>
    <w:lvl w:ilvl="4" w:tplc="0C090019" w:tentative="1">
      <w:start w:val="1"/>
      <w:numFmt w:val="lowerLetter"/>
      <w:lvlText w:val="%5."/>
      <w:lvlJc w:val="left"/>
      <w:pPr>
        <w:ind w:left="3656" w:hanging="360"/>
      </w:pPr>
    </w:lvl>
    <w:lvl w:ilvl="5" w:tplc="0C09001B" w:tentative="1">
      <w:start w:val="1"/>
      <w:numFmt w:val="lowerRoman"/>
      <w:lvlText w:val="%6."/>
      <w:lvlJc w:val="right"/>
      <w:pPr>
        <w:ind w:left="4376" w:hanging="180"/>
      </w:pPr>
    </w:lvl>
    <w:lvl w:ilvl="6" w:tplc="0C09000F" w:tentative="1">
      <w:start w:val="1"/>
      <w:numFmt w:val="decimal"/>
      <w:lvlText w:val="%7."/>
      <w:lvlJc w:val="left"/>
      <w:pPr>
        <w:ind w:left="5096" w:hanging="360"/>
      </w:pPr>
    </w:lvl>
    <w:lvl w:ilvl="7" w:tplc="0C090019" w:tentative="1">
      <w:start w:val="1"/>
      <w:numFmt w:val="lowerLetter"/>
      <w:lvlText w:val="%8."/>
      <w:lvlJc w:val="left"/>
      <w:pPr>
        <w:ind w:left="5816" w:hanging="360"/>
      </w:pPr>
    </w:lvl>
    <w:lvl w:ilvl="8" w:tplc="0C09001B" w:tentative="1">
      <w:start w:val="1"/>
      <w:numFmt w:val="lowerRoman"/>
      <w:lvlText w:val="%9."/>
      <w:lvlJc w:val="right"/>
      <w:pPr>
        <w:ind w:left="6536" w:hanging="180"/>
      </w:pPr>
    </w:lvl>
  </w:abstractNum>
  <w:abstractNum w:abstractNumId="3">
    <w:nsid w:val="0B6A1E4A"/>
    <w:multiLevelType w:val="hybridMultilevel"/>
    <w:tmpl w:val="34E48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B81083A"/>
    <w:multiLevelType w:val="hybridMultilevel"/>
    <w:tmpl w:val="487E5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12D2F69"/>
    <w:multiLevelType w:val="hybridMultilevel"/>
    <w:tmpl w:val="084805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6CB1414"/>
    <w:multiLevelType w:val="hybridMultilevel"/>
    <w:tmpl w:val="D4B847DE"/>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84259E5"/>
    <w:multiLevelType w:val="hybridMultilevel"/>
    <w:tmpl w:val="F648D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8F52DBD"/>
    <w:multiLevelType w:val="hybridMultilevel"/>
    <w:tmpl w:val="8AE4AD4C"/>
    <w:lvl w:ilvl="0" w:tplc="C610D9B4">
      <w:start w:val="1"/>
      <w:numFmt w:val="bullet"/>
      <w:pStyle w:val="BackgroundTex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98A041D"/>
    <w:multiLevelType w:val="hybridMultilevel"/>
    <w:tmpl w:val="F410BC10"/>
    <w:lvl w:ilvl="0" w:tplc="0C090013">
      <w:start w:val="1"/>
      <w:numFmt w:val="upperRoman"/>
      <w:lvlText w:val="%1."/>
      <w:lvlJc w:val="righ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3830C1E"/>
    <w:multiLevelType w:val="hybridMultilevel"/>
    <w:tmpl w:val="52A4DB78"/>
    <w:lvl w:ilvl="0" w:tplc="702E2C0C">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55A325B"/>
    <w:multiLevelType w:val="hybridMultilevel"/>
    <w:tmpl w:val="FCD2CEA0"/>
    <w:lvl w:ilvl="0" w:tplc="0C09000F">
      <w:start w:val="1"/>
      <w:numFmt w:val="decimal"/>
      <w:lvlText w:val="%1."/>
      <w:lvlJc w:val="left"/>
      <w:pPr>
        <w:ind w:left="720" w:hanging="360"/>
      </w:pPr>
      <w:rPr>
        <w:rFonts w:hint="default"/>
      </w:rPr>
    </w:lvl>
    <w:lvl w:ilvl="1" w:tplc="10027DFA">
      <w:numFmt w:val="bullet"/>
      <w:lvlText w:val="•"/>
      <w:lvlJc w:val="left"/>
      <w:pPr>
        <w:ind w:left="1440" w:hanging="360"/>
      </w:pPr>
      <w:rPr>
        <w:rFonts w:ascii="SymbolMT" w:eastAsia="SymbolMT" w:hAnsi="SymbolMT" w:cs="SymbolMT" w:hint="eastAsia"/>
        <w:sz w:val="24"/>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7D8529E"/>
    <w:multiLevelType w:val="hybridMultilevel"/>
    <w:tmpl w:val="6B229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DD45422"/>
    <w:multiLevelType w:val="hybridMultilevel"/>
    <w:tmpl w:val="738C22B0"/>
    <w:lvl w:ilvl="0" w:tplc="0D365286">
      <w:start w:val="1"/>
      <w:numFmt w:val="bullet"/>
      <w:pStyle w:val="KeyMessageTex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50B20D0"/>
    <w:multiLevelType w:val="hybridMultilevel"/>
    <w:tmpl w:val="1A802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4F417F"/>
    <w:multiLevelType w:val="hybridMultilevel"/>
    <w:tmpl w:val="8BC1DF1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35E724EE"/>
    <w:multiLevelType w:val="hybridMultilevel"/>
    <w:tmpl w:val="A5A09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D0F3C01"/>
    <w:multiLevelType w:val="hybridMultilevel"/>
    <w:tmpl w:val="8E8057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F491B45"/>
    <w:multiLevelType w:val="multilevel"/>
    <w:tmpl w:val="9C7A73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E4E5F16"/>
    <w:multiLevelType w:val="hybridMultilevel"/>
    <w:tmpl w:val="36108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FA41991"/>
    <w:multiLevelType w:val="hybridMultilevel"/>
    <w:tmpl w:val="174E8E6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nsid w:val="4FE96896"/>
    <w:multiLevelType w:val="hybridMultilevel"/>
    <w:tmpl w:val="12CEE6D0"/>
    <w:lvl w:ilvl="0" w:tplc="0C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510338E8"/>
    <w:multiLevelType w:val="hybridMultilevel"/>
    <w:tmpl w:val="60204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863568"/>
    <w:multiLevelType w:val="hybridMultilevel"/>
    <w:tmpl w:val="21DE9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8C37A81"/>
    <w:multiLevelType w:val="hybridMultilevel"/>
    <w:tmpl w:val="47F873DA"/>
    <w:lvl w:ilvl="0" w:tplc="40E88C50">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B19128F"/>
    <w:multiLevelType w:val="hybridMultilevel"/>
    <w:tmpl w:val="392CB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3295F8F"/>
    <w:multiLevelType w:val="hybridMultilevel"/>
    <w:tmpl w:val="62F018FA"/>
    <w:lvl w:ilvl="0" w:tplc="AE6C0AC2">
      <w:start w:val="1"/>
      <w:numFmt w:val="bullet"/>
      <w:pStyle w:val="Dotpoin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54A23DD"/>
    <w:multiLevelType w:val="hybridMultilevel"/>
    <w:tmpl w:val="27F66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8141578"/>
    <w:multiLevelType w:val="hybridMultilevel"/>
    <w:tmpl w:val="7F0EA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267006"/>
    <w:multiLevelType w:val="hybridMultilevel"/>
    <w:tmpl w:val="DAC6683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6F683620"/>
    <w:multiLevelType w:val="hybridMultilevel"/>
    <w:tmpl w:val="3C7CD274"/>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31">
    <w:nsid w:val="716E6C58"/>
    <w:multiLevelType w:val="hybridMultilevel"/>
    <w:tmpl w:val="778C97E4"/>
    <w:lvl w:ilvl="0" w:tplc="C8948F92">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nsid w:val="71F47B3F"/>
    <w:multiLevelType w:val="hybridMultilevel"/>
    <w:tmpl w:val="C3E22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2DF374A"/>
    <w:multiLevelType w:val="hybridMultilevel"/>
    <w:tmpl w:val="88DCECDE"/>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nsid w:val="76BB4589"/>
    <w:multiLevelType w:val="hybridMultilevel"/>
    <w:tmpl w:val="C5BEA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B8919E1"/>
    <w:multiLevelType w:val="hybridMultilevel"/>
    <w:tmpl w:val="70F4C05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nsid w:val="7D515ACD"/>
    <w:multiLevelType w:val="hybridMultilevel"/>
    <w:tmpl w:val="F9500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6"/>
  </w:num>
  <w:num w:numId="2">
    <w:abstractNumId w:val="13"/>
  </w:num>
  <w:num w:numId="3">
    <w:abstractNumId w:val="8"/>
  </w:num>
  <w:num w:numId="4">
    <w:abstractNumId w:val="3"/>
  </w:num>
  <w:num w:numId="5">
    <w:abstractNumId w:val="20"/>
  </w:num>
  <w:num w:numId="6">
    <w:abstractNumId w:val="7"/>
  </w:num>
  <w:num w:numId="7">
    <w:abstractNumId w:val="25"/>
  </w:num>
  <w:num w:numId="8">
    <w:abstractNumId w:val="23"/>
  </w:num>
  <w:num w:numId="9">
    <w:abstractNumId w:val="27"/>
  </w:num>
  <w:num w:numId="10">
    <w:abstractNumId w:val="17"/>
  </w:num>
  <w:num w:numId="11">
    <w:abstractNumId w:val="15"/>
  </w:num>
  <w:num w:numId="12">
    <w:abstractNumId w:val="12"/>
  </w:num>
  <w:num w:numId="13">
    <w:abstractNumId w:val="32"/>
  </w:num>
  <w:num w:numId="14">
    <w:abstractNumId w:val="30"/>
  </w:num>
  <w:num w:numId="15">
    <w:abstractNumId w:val="19"/>
  </w:num>
  <w:num w:numId="16">
    <w:abstractNumId w:val="6"/>
  </w:num>
  <w:num w:numId="17">
    <w:abstractNumId w:val="9"/>
  </w:num>
  <w:num w:numId="18">
    <w:abstractNumId w:val="36"/>
  </w:num>
  <w:num w:numId="19">
    <w:abstractNumId w:val="4"/>
  </w:num>
  <w:num w:numId="20">
    <w:abstractNumId w:val="16"/>
  </w:num>
  <w:num w:numId="21">
    <w:abstractNumId w:val="0"/>
  </w:num>
  <w:num w:numId="22">
    <w:abstractNumId w:val="2"/>
  </w:num>
  <w:num w:numId="23">
    <w:abstractNumId w:val="24"/>
  </w:num>
  <w:num w:numId="24">
    <w:abstractNumId w:val="31"/>
  </w:num>
  <w:num w:numId="25">
    <w:abstractNumId w:val="10"/>
  </w:num>
  <w:num w:numId="26">
    <w:abstractNumId w:val="29"/>
  </w:num>
  <w:num w:numId="27">
    <w:abstractNumId w:val="5"/>
  </w:num>
  <w:num w:numId="28">
    <w:abstractNumId w:val="35"/>
  </w:num>
  <w:num w:numId="29">
    <w:abstractNumId w:val="33"/>
  </w:num>
  <w:num w:numId="30">
    <w:abstractNumId w:val="18"/>
  </w:num>
  <w:num w:numId="31">
    <w:abstractNumId w:val="11"/>
  </w:num>
  <w:num w:numId="32">
    <w:abstractNumId w:val="1"/>
  </w:num>
  <w:num w:numId="33">
    <w:abstractNumId w:val="34"/>
  </w:num>
  <w:num w:numId="34">
    <w:abstractNumId w:val="22"/>
  </w:num>
  <w:num w:numId="35">
    <w:abstractNumId w:val="28"/>
  </w:num>
  <w:num w:numId="36">
    <w:abstractNumId w:val="21"/>
  </w:num>
  <w:num w:numId="37">
    <w:abstractNumId w:val="14"/>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AE3440"/>
    <w:rsid w:val="00005568"/>
    <w:rsid w:val="000072DE"/>
    <w:rsid w:val="00011B01"/>
    <w:rsid w:val="00013CB0"/>
    <w:rsid w:val="000214AA"/>
    <w:rsid w:val="0003049B"/>
    <w:rsid w:val="00033A09"/>
    <w:rsid w:val="00045842"/>
    <w:rsid w:val="0004630A"/>
    <w:rsid w:val="00046FDE"/>
    <w:rsid w:val="000637FB"/>
    <w:rsid w:val="000656A0"/>
    <w:rsid w:val="00070AF4"/>
    <w:rsid w:val="0007271D"/>
    <w:rsid w:val="00076F75"/>
    <w:rsid w:val="00094183"/>
    <w:rsid w:val="000A4899"/>
    <w:rsid w:val="000B5AB9"/>
    <w:rsid w:val="000B6BB0"/>
    <w:rsid w:val="000C3B97"/>
    <w:rsid w:val="000C5C15"/>
    <w:rsid w:val="000D27A9"/>
    <w:rsid w:val="000E0A1E"/>
    <w:rsid w:val="000E1D94"/>
    <w:rsid w:val="000E2A34"/>
    <w:rsid w:val="001037D9"/>
    <w:rsid w:val="00115905"/>
    <w:rsid w:val="001203CC"/>
    <w:rsid w:val="001337DA"/>
    <w:rsid w:val="00133C1C"/>
    <w:rsid w:val="00134097"/>
    <w:rsid w:val="00143122"/>
    <w:rsid w:val="001442BF"/>
    <w:rsid w:val="00150A75"/>
    <w:rsid w:val="001521C8"/>
    <w:rsid w:val="00153478"/>
    <w:rsid w:val="001536F7"/>
    <w:rsid w:val="00173892"/>
    <w:rsid w:val="00175175"/>
    <w:rsid w:val="001825F2"/>
    <w:rsid w:val="001A2CA3"/>
    <w:rsid w:val="001A2FE2"/>
    <w:rsid w:val="001B13DF"/>
    <w:rsid w:val="001B2B72"/>
    <w:rsid w:val="001C68E5"/>
    <w:rsid w:val="001E0DA3"/>
    <w:rsid w:val="001F3F36"/>
    <w:rsid w:val="001F4921"/>
    <w:rsid w:val="00202564"/>
    <w:rsid w:val="0021384A"/>
    <w:rsid w:val="00213C1B"/>
    <w:rsid w:val="00220DD5"/>
    <w:rsid w:val="0023263B"/>
    <w:rsid w:val="00234A87"/>
    <w:rsid w:val="002410B5"/>
    <w:rsid w:val="00247D9A"/>
    <w:rsid w:val="00250E3B"/>
    <w:rsid w:val="00254F3A"/>
    <w:rsid w:val="00255B31"/>
    <w:rsid w:val="00261777"/>
    <w:rsid w:val="0026525F"/>
    <w:rsid w:val="00270511"/>
    <w:rsid w:val="00270B22"/>
    <w:rsid w:val="00271EAA"/>
    <w:rsid w:val="0028344E"/>
    <w:rsid w:val="00292972"/>
    <w:rsid w:val="002949D5"/>
    <w:rsid w:val="002A43AD"/>
    <w:rsid w:val="002B3AB9"/>
    <w:rsid w:val="002B5A3B"/>
    <w:rsid w:val="002C418C"/>
    <w:rsid w:val="002C612A"/>
    <w:rsid w:val="002D0E6C"/>
    <w:rsid w:val="002D16BD"/>
    <w:rsid w:val="002F09E0"/>
    <w:rsid w:val="002F32B5"/>
    <w:rsid w:val="002F6E10"/>
    <w:rsid w:val="00336040"/>
    <w:rsid w:val="00344001"/>
    <w:rsid w:val="003472A8"/>
    <w:rsid w:val="00360985"/>
    <w:rsid w:val="00384ABE"/>
    <w:rsid w:val="00390841"/>
    <w:rsid w:val="003942EA"/>
    <w:rsid w:val="003A5E0E"/>
    <w:rsid w:val="003C09F1"/>
    <w:rsid w:val="003C2506"/>
    <w:rsid w:val="003D0DFC"/>
    <w:rsid w:val="003D3337"/>
    <w:rsid w:val="003D4990"/>
    <w:rsid w:val="003E16BE"/>
    <w:rsid w:val="003F3313"/>
    <w:rsid w:val="003F4762"/>
    <w:rsid w:val="003F6264"/>
    <w:rsid w:val="00420BA5"/>
    <w:rsid w:val="004276B1"/>
    <w:rsid w:val="004316DC"/>
    <w:rsid w:val="00473437"/>
    <w:rsid w:val="004808EA"/>
    <w:rsid w:val="00481412"/>
    <w:rsid w:val="00482348"/>
    <w:rsid w:val="00487FC6"/>
    <w:rsid w:val="0049050D"/>
    <w:rsid w:val="00495443"/>
    <w:rsid w:val="00495F8B"/>
    <w:rsid w:val="004A0031"/>
    <w:rsid w:val="004A2813"/>
    <w:rsid w:val="004A459C"/>
    <w:rsid w:val="004B3B91"/>
    <w:rsid w:val="004B42E1"/>
    <w:rsid w:val="004C0933"/>
    <w:rsid w:val="004C4241"/>
    <w:rsid w:val="004D1D86"/>
    <w:rsid w:val="004F6C3B"/>
    <w:rsid w:val="00520E0E"/>
    <w:rsid w:val="00522041"/>
    <w:rsid w:val="005353BE"/>
    <w:rsid w:val="005364E0"/>
    <w:rsid w:val="00537540"/>
    <w:rsid w:val="005407EF"/>
    <w:rsid w:val="005443C9"/>
    <w:rsid w:val="005518C5"/>
    <w:rsid w:val="005720FA"/>
    <w:rsid w:val="00575328"/>
    <w:rsid w:val="00580130"/>
    <w:rsid w:val="00580CC8"/>
    <w:rsid w:val="00594F49"/>
    <w:rsid w:val="005A1AE7"/>
    <w:rsid w:val="005B07B3"/>
    <w:rsid w:val="005B28EC"/>
    <w:rsid w:val="005B424E"/>
    <w:rsid w:val="005B604E"/>
    <w:rsid w:val="005C00D4"/>
    <w:rsid w:val="005D2E7E"/>
    <w:rsid w:val="005D5727"/>
    <w:rsid w:val="005E054C"/>
    <w:rsid w:val="005F244D"/>
    <w:rsid w:val="005F256F"/>
    <w:rsid w:val="005F3F41"/>
    <w:rsid w:val="00604159"/>
    <w:rsid w:val="00607BBE"/>
    <w:rsid w:val="00611D14"/>
    <w:rsid w:val="006142F6"/>
    <w:rsid w:val="00625ED8"/>
    <w:rsid w:val="00631623"/>
    <w:rsid w:val="00632B37"/>
    <w:rsid w:val="00636CA2"/>
    <w:rsid w:val="00646E84"/>
    <w:rsid w:val="00647694"/>
    <w:rsid w:val="00655A19"/>
    <w:rsid w:val="00661003"/>
    <w:rsid w:val="006653A2"/>
    <w:rsid w:val="00670515"/>
    <w:rsid w:val="006726E0"/>
    <w:rsid w:val="00672B34"/>
    <w:rsid w:val="0067514C"/>
    <w:rsid w:val="00686372"/>
    <w:rsid w:val="006A015A"/>
    <w:rsid w:val="006A4FEE"/>
    <w:rsid w:val="006A525A"/>
    <w:rsid w:val="006A5784"/>
    <w:rsid w:val="006B2D89"/>
    <w:rsid w:val="006C0CA7"/>
    <w:rsid w:val="006C1805"/>
    <w:rsid w:val="006C3073"/>
    <w:rsid w:val="006D5871"/>
    <w:rsid w:val="006D60E2"/>
    <w:rsid w:val="006D69D5"/>
    <w:rsid w:val="006F78E9"/>
    <w:rsid w:val="007139C9"/>
    <w:rsid w:val="00721EAC"/>
    <w:rsid w:val="007342FD"/>
    <w:rsid w:val="00734841"/>
    <w:rsid w:val="00736A92"/>
    <w:rsid w:val="0073791A"/>
    <w:rsid w:val="007402ED"/>
    <w:rsid w:val="007417D2"/>
    <w:rsid w:val="00756EE0"/>
    <w:rsid w:val="00763BE6"/>
    <w:rsid w:val="00766817"/>
    <w:rsid w:val="00766E57"/>
    <w:rsid w:val="00767D4D"/>
    <w:rsid w:val="0077465C"/>
    <w:rsid w:val="00787C1C"/>
    <w:rsid w:val="007926DC"/>
    <w:rsid w:val="007951EE"/>
    <w:rsid w:val="007A7A66"/>
    <w:rsid w:val="007B0831"/>
    <w:rsid w:val="007C5712"/>
    <w:rsid w:val="007D7321"/>
    <w:rsid w:val="007E0ABF"/>
    <w:rsid w:val="007E154B"/>
    <w:rsid w:val="007E6C47"/>
    <w:rsid w:val="007F00CE"/>
    <w:rsid w:val="008076D0"/>
    <w:rsid w:val="008141FB"/>
    <w:rsid w:val="008167DC"/>
    <w:rsid w:val="00822D16"/>
    <w:rsid w:val="008315AD"/>
    <w:rsid w:val="008329FE"/>
    <w:rsid w:val="00841B6F"/>
    <w:rsid w:val="0084344F"/>
    <w:rsid w:val="008605CE"/>
    <w:rsid w:val="00867B83"/>
    <w:rsid w:val="00867CA8"/>
    <w:rsid w:val="0087632D"/>
    <w:rsid w:val="00876F5E"/>
    <w:rsid w:val="00885C01"/>
    <w:rsid w:val="008A01E8"/>
    <w:rsid w:val="008A1E95"/>
    <w:rsid w:val="008A36A5"/>
    <w:rsid w:val="008A4437"/>
    <w:rsid w:val="008A72C2"/>
    <w:rsid w:val="008B7CB7"/>
    <w:rsid w:val="008C1AE7"/>
    <w:rsid w:val="008C24D9"/>
    <w:rsid w:val="008D25AD"/>
    <w:rsid w:val="008D4F38"/>
    <w:rsid w:val="008E1260"/>
    <w:rsid w:val="008F27D4"/>
    <w:rsid w:val="009030E4"/>
    <w:rsid w:val="009049DA"/>
    <w:rsid w:val="009215B6"/>
    <w:rsid w:val="00930113"/>
    <w:rsid w:val="009361E7"/>
    <w:rsid w:val="00940715"/>
    <w:rsid w:val="00942C67"/>
    <w:rsid w:val="00950D6B"/>
    <w:rsid w:val="0095464D"/>
    <w:rsid w:val="00965F03"/>
    <w:rsid w:val="0097615E"/>
    <w:rsid w:val="00980405"/>
    <w:rsid w:val="00980EBC"/>
    <w:rsid w:val="00992376"/>
    <w:rsid w:val="00995E2B"/>
    <w:rsid w:val="009972A5"/>
    <w:rsid w:val="00997651"/>
    <w:rsid w:val="009A0E84"/>
    <w:rsid w:val="009A6F0F"/>
    <w:rsid w:val="009C1EC9"/>
    <w:rsid w:val="009D091F"/>
    <w:rsid w:val="009D59D7"/>
    <w:rsid w:val="009E3AC7"/>
    <w:rsid w:val="009F3FA0"/>
    <w:rsid w:val="00A05AAD"/>
    <w:rsid w:val="00A11948"/>
    <w:rsid w:val="00A22C08"/>
    <w:rsid w:val="00A22E17"/>
    <w:rsid w:val="00A561D9"/>
    <w:rsid w:val="00A62E86"/>
    <w:rsid w:val="00A63248"/>
    <w:rsid w:val="00A72ED3"/>
    <w:rsid w:val="00A75683"/>
    <w:rsid w:val="00A767EE"/>
    <w:rsid w:val="00A85FA6"/>
    <w:rsid w:val="00A97094"/>
    <w:rsid w:val="00AA362C"/>
    <w:rsid w:val="00AB3E9D"/>
    <w:rsid w:val="00AB7198"/>
    <w:rsid w:val="00AC11C8"/>
    <w:rsid w:val="00AD1D9B"/>
    <w:rsid w:val="00AD468A"/>
    <w:rsid w:val="00AE10B0"/>
    <w:rsid w:val="00AE3440"/>
    <w:rsid w:val="00AE3BB0"/>
    <w:rsid w:val="00AF55BC"/>
    <w:rsid w:val="00AF66CF"/>
    <w:rsid w:val="00AF67BB"/>
    <w:rsid w:val="00B00B02"/>
    <w:rsid w:val="00B03066"/>
    <w:rsid w:val="00B06743"/>
    <w:rsid w:val="00B15583"/>
    <w:rsid w:val="00B30AC7"/>
    <w:rsid w:val="00B32FED"/>
    <w:rsid w:val="00B42914"/>
    <w:rsid w:val="00B633A7"/>
    <w:rsid w:val="00B67697"/>
    <w:rsid w:val="00B701C5"/>
    <w:rsid w:val="00B827C2"/>
    <w:rsid w:val="00B8743D"/>
    <w:rsid w:val="00B949CF"/>
    <w:rsid w:val="00BA1306"/>
    <w:rsid w:val="00BA39D7"/>
    <w:rsid w:val="00BB1A8E"/>
    <w:rsid w:val="00BB6EC6"/>
    <w:rsid w:val="00BC0BEB"/>
    <w:rsid w:val="00BC6635"/>
    <w:rsid w:val="00BE432E"/>
    <w:rsid w:val="00BE459A"/>
    <w:rsid w:val="00BF4DBD"/>
    <w:rsid w:val="00C01473"/>
    <w:rsid w:val="00C123DC"/>
    <w:rsid w:val="00C13813"/>
    <w:rsid w:val="00C1739D"/>
    <w:rsid w:val="00C3200E"/>
    <w:rsid w:val="00C352E1"/>
    <w:rsid w:val="00C41FBC"/>
    <w:rsid w:val="00C46BB7"/>
    <w:rsid w:val="00C639E9"/>
    <w:rsid w:val="00C66A49"/>
    <w:rsid w:val="00C67211"/>
    <w:rsid w:val="00C94280"/>
    <w:rsid w:val="00C9538F"/>
    <w:rsid w:val="00CA18D4"/>
    <w:rsid w:val="00CA1C5B"/>
    <w:rsid w:val="00CA27EA"/>
    <w:rsid w:val="00CA6889"/>
    <w:rsid w:val="00CB3203"/>
    <w:rsid w:val="00CB6982"/>
    <w:rsid w:val="00CB7B85"/>
    <w:rsid w:val="00CC025D"/>
    <w:rsid w:val="00CE0A56"/>
    <w:rsid w:val="00CE1D73"/>
    <w:rsid w:val="00CE5BE1"/>
    <w:rsid w:val="00CF6BA9"/>
    <w:rsid w:val="00D02BD0"/>
    <w:rsid w:val="00D07B2E"/>
    <w:rsid w:val="00D17D5D"/>
    <w:rsid w:val="00D205C0"/>
    <w:rsid w:val="00D26D99"/>
    <w:rsid w:val="00D314B1"/>
    <w:rsid w:val="00D37183"/>
    <w:rsid w:val="00D4096D"/>
    <w:rsid w:val="00D43D6A"/>
    <w:rsid w:val="00D45B5D"/>
    <w:rsid w:val="00D71C57"/>
    <w:rsid w:val="00D73A64"/>
    <w:rsid w:val="00D74656"/>
    <w:rsid w:val="00D845C1"/>
    <w:rsid w:val="00D906A9"/>
    <w:rsid w:val="00D93E7B"/>
    <w:rsid w:val="00D95A7E"/>
    <w:rsid w:val="00DB128D"/>
    <w:rsid w:val="00DB1388"/>
    <w:rsid w:val="00DB7348"/>
    <w:rsid w:val="00DB7C10"/>
    <w:rsid w:val="00DC1D78"/>
    <w:rsid w:val="00DC3515"/>
    <w:rsid w:val="00DD0153"/>
    <w:rsid w:val="00DE1339"/>
    <w:rsid w:val="00DF34E6"/>
    <w:rsid w:val="00E06D38"/>
    <w:rsid w:val="00E21A4C"/>
    <w:rsid w:val="00E23D04"/>
    <w:rsid w:val="00E24537"/>
    <w:rsid w:val="00E276EB"/>
    <w:rsid w:val="00E328F1"/>
    <w:rsid w:val="00E416CA"/>
    <w:rsid w:val="00E44368"/>
    <w:rsid w:val="00E465E4"/>
    <w:rsid w:val="00E50914"/>
    <w:rsid w:val="00E659C5"/>
    <w:rsid w:val="00E67E98"/>
    <w:rsid w:val="00E70148"/>
    <w:rsid w:val="00E81FC4"/>
    <w:rsid w:val="00E96C42"/>
    <w:rsid w:val="00ED55A8"/>
    <w:rsid w:val="00F0325A"/>
    <w:rsid w:val="00F03AB9"/>
    <w:rsid w:val="00F147EA"/>
    <w:rsid w:val="00F154EF"/>
    <w:rsid w:val="00F22717"/>
    <w:rsid w:val="00F26EAD"/>
    <w:rsid w:val="00F332F1"/>
    <w:rsid w:val="00F35F76"/>
    <w:rsid w:val="00F40325"/>
    <w:rsid w:val="00F4779C"/>
    <w:rsid w:val="00F57D19"/>
    <w:rsid w:val="00F6183D"/>
    <w:rsid w:val="00F63BF9"/>
    <w:rsid w:val="00F64BE3"/>
    <w:rsid w:val="00F65E36"/>
    <w:rsid w:val="00F67B87"/>
    <w:rsid w:val="00F714BF"/>
    <w:rsid w:val="00F7744C"/>
    <w:rsid w:val="00F8114C"/>
    <w:rsid w:val="00F81BF1"/>
    <w:rsid w:val="00F81D8F"/>
    <w:rsid w:val="00F826C0"/>
    <w:rsid w:val="00F82F3D"/>
    <w:rsid w:val="00F86817"/>
    <w:rsid w:val="00F9279B"/>
    <w:rsid w:val="00FA4BB8"/>
    <w:rsid w:val="00FC3A4C"/>
    <w:rsid w:val="00FD1E50"/>
    <w:rsid w:val="00FD2A8A"/>
    <w:rsid w:val="00FD5731"/>
    <w:rsid w:val="00FF5B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440"/>
    <w:rPr>
      <w:rFonts w:ascii="Calibri" w:eastAsia="Times New Roman" w:hAnsi="Calibri" w:cs="Times New Roman"/>
      <w:lang w:val="en-US" w:bidi="en-US"/>
    </w:rPr>
  </w:style>
  <w:style w:type="paragraph" w:styleId="Heading1">
    <w:name w:val="heading 1"/>
    <w:basedOn w:val="Normal"/>
    <w:next w:val="Normal"/>
    <w:link w:val="Heading1Char"/>
    <w:uiPriority w:val="9"/>
    <w:qFormat/>
    <w:rsid w:val="00995E2B"/>
    <w:pPr>
      <w:spacing w:before="480" w:after="0"/>
      <w:contextualSpacing/>
      <w:outlineLvl w:val="0"/>
    </w:pPr>
    <w:rPr>
      <w:rFonts w:asciiTheme="minorHAnsi" w:hAnsiTheme="minorHAnsi"/>
      <w:b/>
      <w:bCs/>
      <w:caps/>
      <w:sz w:val="28"/>
      <w:szCs w:val="28"/>
    </w:rPr>
  </w:style>
  <w:style w:type="paragraph" w:styleId="Heading2">
    <w:name w:val="heading 2"/>
    <w:basedOn w:val="Normal"/>
    <w:next w:val="Normal"/>
    <w:link w:val="Heading2Char"/>
    <w:uiPriority w:val="9"/>
    <w:unhideWhenUsed/>
    <w:qFormat/>
    <w:rsid w:val="00995E2B"/>
    <w:pPr>
      <w:spacing w:before="200" w:after="0"/>
      <w:outlineLvl w:val="1"/>
    </w:pPr>
    <w:rPr>
      <w:rFonts w:asciiTheme="minorHAnsi" w:hAnsiTheme="minorHAnsi"/>
      <w:b/>
      <w:bCs/>
      <w:caps/>
      <w:sz w:val="24"/>
      <w:szCs w:val="26"/>
    </w:rPr>
  </w:style>
  <w:style w:type="paragraph" w:styleId="Heading3">
    <w:name w:val="heading 3"/>
    <w:basedOn w:val="Normal"/>
    <w:next w:val="Normal"/>
    <w:link w:val="Heading3Char"/>
    <w:uiPriority w:val="9"/>
    <w:unhideWhenUsed/>
    <w:qFormat/>
    <w:rsid w:val="00AE3440"/>
    <w:pPr>
      <w:spacing w:before="200" w:after="0" w:line="271" w:lineRule="auto"/>
      <w:outlineLvl w:val="2"/>
    </w:pPr>
    <w:rPr>
      <w:rFonts w:ascii="Cambria" w:hAnsi="Cambria"/>
      <w:b/>
      <w:bCs/>
    </w:rPr>
  </w:style>
  <w:style w:type="paragraph" w:styleId="Heading4">
    <w:name w:val="heading 4"/>
    <w:basedOn w:val="Normal"/>
    <w:next w:val="Normal"/>
    <w:link w:val="Heading4Char"/>
    <w:uiPriority w:val="9"/>
    <w:unhideWhenUsed/>
    <w:qFormat/>
    <w:rsid w:val="00AE3440"/>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AE3440"/>
    <w:pPr>
      <w:spacing w:before="200" w:after="0"/>
      <w:outlineLvl w:val="4"/>
    </w:pPr>
    <w:rPr>
      <w:rFonts w:ascii="Cambria" w:hAnsi="Cambria"/>
      <w:b/>
      <w:bCs/>
      <w:color w:val="7F7F7F"/>
    </w:rPr>
  </w:style>
  <w:style w:type="paragraph" w:styleId="Heading6">
    <w:name w:val="heading 6"/>
    <w:basedOn w:val="Normal"/>
    <w:next w:val="Normal"/>
    <w:link w:val="Heading6Char"/>
    <w:uiPriority w:val="9"/>
    <w:unhideWhenUsed/>
    <w:qFormat/>
    <w:rsid w:val="00AE3440"/>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unhideWhenUsed/>
    <w:qFormat/>
    <w:rsid w:val="00AE3440"/>
    <w:pPr>
      <w:spacing w:after="0"/>
      <w:outlineLvl w:val="6"/>
    </w:pPr>
    <w:rPr>
      <w:rFonts w:ascii="Cambria" w:hAnsi="Cambria"/>
      <w:i/>
      <w:iCs/>
    </w:rPr>
  </w:style>
  <w:style w:type="paragraph" w:styleId="Heading8">
    <w:name w:val="heading 8"/>
    <w:basedOn w:val="Normal"/>
    <w:next w:val="Normal"/>
    <w:link w:val="Heading8Char"/>
    <w:uiPriority w:val="9"/>
    <w:unhideWhenUsed/>
    <w:qFormat/>
    <w:rsid w:val="00AE3440"/>
    <w:pPr>
      <w:spacing w:after="0"/>
      <w:outlineLvl w:val="7"/>
    </w:pPr>
    <w:rPr>
      <w:rFonts w:ascii="Cambria" w:hAnsi="Cambria"/>
      <w:sz w:val="20"/>
      <w:szCs w:val="20"/>
    </w:rPr>
  </w:style>
  <w:style w:type="paragraph" w:styleId="Heading9">
    <w:name w:val="heading 9"/>
    <w:basedOn w:val="Normal"/>
    <w:next w:val="Normal"/>
    <w:link w:val="Heading9Char"/>
    <w:uiPriority w:val="9"/>
    <w:unhideWhenUsed/>
    <w:qFormat/>
    <w:rsid w:val="00AE3440"/>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34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440"/>
    <w:rPr>
      <w:rFonts w:ascii="Tahoma" w:hAnsi="Tahoma" w:cs="Tahoma"/>
      <w:sz w:val="16"/>
      <w:szCs w:val="16"/>
    </w:rPr>
  </w:style>
  <w:style w:type="character" w:customStyle="1" w:styleId="Heading1Char">
    <w:name w:val="Heading 1 Char"/>
    <w:basedOn w:val="DefaultParagraphFont"/>
    <w:link w:val="Heading1"/>
    <w:uiPriority w:val="9"/>
    <w:rsid w:val="00995E2B"/>
    <w:rPr>
      <w:rFonts w:eastAsia="Times New Roman" w:cs="Times New Roman"/>
      <w:b/>
      <w:bCs/>
      <w:caps/>
      <w:sz w:val="28"/>
      <w:szCs w:val="28"/>
      <w:lang w:val="en-US" w:bidi="en-US"/>
    </w:rPr>
  </w:style>
  <w:style w:type="character" w:customStyle="1" w:styleId="Heading2Char">
    <w:name w:val="Heading 2 Char"/>
    <w:basedOn w:val="DefaultParagraphFont"/>
    <w:link w:val="Heading2"/>
    <w:uiPriority w:val="9"/>
    <w:rsid w:val="00995E2B"/>
    <w:rPr>
      <w:rFonts w:eastAsia="Times New Roman" w:cs="Times New Roman"/>
      <w:b/>
      <w:bCs/>
      <w:caps/>
      <w:sz w:val="24"/>
      <w:szCs w:val="26"/>
      <w:lang w:val="en-US" w:bidi="en-US"/>
    </w:rPr>
  </w:style>
  <w:style w:type="character" w:customStyle="1" w:styleId="Heading3Char">
    <w:name w:val="Heading 3 Char"/>
    <w:basedOn w:val="DefaultParagraphFont"/>
    <w:link w:val="Heading3"/>
    <w:uiPriority w:val="9"/>
    <w:rsid w:val="00AE3440"/>
    <w:rPr>
      <w:rFonts w:ascii="Cambria" w:eastAsia="Times New Roman" w:hAnsi="Cambria" w:cs="Times New Roman"/>
      <w:b/>
      <w:bCs/>
      <w:lang w:val="en-US" w:bidi="en-US"/>
    </w:rPr>
  </w:style>
  <w:style w:type="character" w:customStyle="1" w:styleId="Heading4Char">
    <w:name w:val="Heading 4 Char"/>
    <w:basedOn w:val="DefaultParagraphFont"/>
    <w:link w:val="Heading4"/>
    <w:uiPriority w:val="9"/>
    <w:rsid w:val="00AE3440"/>
    <w:rPr>
      <w:rFonts w:ascii="Cambria" w:eastAsia="Times New Roman" w:hAnsi="Cambria" w:cs="Times New Roman"/>
      <w:b/>
      <w:bCs/>
      <w:i/>
      <w:iCs/>
      <w:lang w:val="en-US" w:bidi="en-US"/>
    </w:rPr>
  </w:style>
  <w:style w:type="character" w:customStyle="1" w:styleId="Heading5Char">
    <w:name w:val="Heading 5 Char"/>
    <w:basedOn w:val="DefaultParagraphFont"/>
    <w:link w:val="Heading5"/>
    <w:uiPriority w:val="9"/>
    <w:rsid w:val="00AE3440"/>
    <w:rPr>
      <w:rFonts w:ascii="Cambria" w:eastAsia="Times New Roman" w:hAnsi="Cambria" w:cs="Times New Roman"/>
      <w:b/>
      <w:bCs/>
      <w:color w:val="7F7F7F"/>
      <w:lang w:val="en-US" w:bidi="en-US"/>
    </w:rPr>
  </w:style>
  <w:style w:type="character" w:customStyle="1" w:styleId="Heading6Char">
    <w:name w:val="Heading 6 Char"/>
    <w:basedOn w:val="DefaultParagraphFont"/>
    <w:link w:val="Heading6"/>
    <w:uiPriority w:val="9"/>
    <w:rsid w:val="00AE3440"/>
    <w:rPr>
      <w:rFonts w:ascii="Cambria" w:eastAsia="Times New Roman" w:hAnsi="Cambria" w:cs="Times New Roman"/>
      <w:b/>
      <w:bCs/>
      <w:i/>
      <w:iCs/>
      <w:color w:val="7F7F7F"/>
      <w:lang w:val="en-US" w:bidi="en-US"/>
    </w:rPr>
  </w:style>
  <w:style w:type="character" w:customStyle="1" w:styleId="Heading7Char">
    <w:name w:val="Heading 7 Char"/>
    <w:basedOn w:val="DefaultParagraphFont"/>
    <w:link w:val="Heading7"/>
    <w:uiPriority w:val="9"/>
    <w:rsid w:val="00AE3440"/>
    <w:rPr>
      <w:rFonts w:ascii="Cambria" w:eastAsia="Times New Roman" w:hAnsi="Cambria" w:cs="Times New Roman"/>
      <w:i/>
      <w:iCs/>
      <w:lang w:val="en-US" w:bidi="en-US"/>
    </w:rPr>
  </w:style>
  <w:style w:type="character" w:customStyle="1" w:styleId="Heading8Char">
    <w:name w:val="Heading 8 Char"/>
    <w:basedOn w:val="DefaultParagraphFont"/>
    <w:link w:val="Heading8"/>
    <w:uiPriority w:val="9"/>
    <w:rsid w:val="00AE3440"/>
    <w:rPr>
      <w:rFonts w:ascii="Cambria" w:eastAsia="Times New Roman" w:hAnsi="Cambria" w:cs="Times New Roman"/>
      <w:sz w:val="20"/>
      <w:szCs w:val="20"/>
      <w:lang w:val="en-US" w:bidi="en-US"/>
    </w:rPr>
  </w:style>
  <w:style w:type="character" w:customStyle="1" w:styleId="Heading9Char">
    <w:name w:val="Heading 9 Char"/>
    <w:basedOn w:val="DefaultParagraphFont"/>
    <w:link w:val="Heading9"/>
    <w:uiPriority w:val="9"/>
    <w:rsid w:val="00AE3440"/>
    <w:rPr>
      <w:rFonts w:ascii="Cambria" w:eastAsia="Times New Roman" w:hAnsi="Cambria" w:cs="Times New Roman"/>
      <w:i/>
      <w:iCs/>
      <w:spacing w:val="5"/>
      <w:sz w:val="20"/>
      <w:szCs w:val="20"/>
      <w:lang w:val="en-US" w:bidi="en-US"/>
    </w:rPr>
  </w:style>
  <w:style w:type="paragraph" w:customStyle="1" w:styleId="Default">
    <w:name w:val="Default"/>
    <w:rsid w:val="00AE3440"/>
    <w:pPr>
      <w:widowControl w:val="0"/>
      <w:autoSpaceDE w:val="0"/>
      <w:autoSpaceDN w:val="0"/>
      <w:adjustRightInd w:val="0"/>
    </w:pPr>
    <w:rPr>
      <w:rFonts w:ascii="Arial" w:eastAsia="Times New Roman" w:hAnsi="Arial" w:cs="Arial"/>
      <w:color w:val="000000"/>
      <w:sz w:val="24"/>
      <w:szCs w:val="24"/>
      <w:lang w:val="en-US" w:bidi="en-US"/>
    </w:rPr>
  </w:style>
  <w:style w:type="paragraph" w:customStyle="1" w:styleId="CM1">
    <w:name w:val="CM1"/>
    <w:basedOn w:val="Default"/>
    <w:next w:val="Default"/>
    <w:uiPriority w:val="99"/>
    <w:rsid w:val="00AE3440"/>
    <w:pPr>
      <w:spacing w:line="553" w:lineRule="atLeast"/>
    </w:pPr>
    <w:rPr>
      <w:color w:val="auto"/>
    </w:rPr>
  </w:style>
  <w:style w:type="paragraph" w:customStyle="1" w:styleId="CM18">
    <w:name w:val="CM18"/>
    <w:basedOn w:val="Default"/>
    <w:next w:val="Default"/>
    <w:uiPriority w:val="99"/>
    <w:rsid w:val="00AE3440"/>
    <w:rPr>
      <w:color w:val="auto"/>
    </w:rPr>
  </w:style>
  <w:style w:type="paragraph" w:customStyle="1" w:styleId="CM2">
    <w:name w:val="CM2"/>
    <w:basedOn w:val="Default"/>
    <w:next w:val="Default"/>
    <w:uiPriority w:val="99"/>
    <w:rsid w:val="00AE3440"/>
    <w:rPr>
      <w:color w:val="auto"/>
    </w:rPr>
  </w:style>
  <w:style w:type="paragraph" w:customStyle="1" w:styleId="CM19">
    <w:name w:val="CM19"/>
    <w:basedOn w:val="Default"/>
    <w:next w:val="Default"/>
    <w:uiPriority w:val="99"/>
    <w:rsid w:val="00AE3440"/>
    <w:rPr>
      <w:color w:val="auto"/>
    </w:rPr>
  </w:style>
  <w:style w:type="paragraph" w:customStyle="1" w:styleId="CM3">
    <w:name w:val="CM3"/>
    <w:basedOn w:val="Default"/>
    <w:next w:val="Default"/>
    <w:uiPriority w:val="99"/>
    <w:rsid w:val="00AE3440"/>
    <w:pPr>
      <w:spacing w:line="276" w:lineRule="atLeast"/>
    </w:pPr>
    <w:rPr>
      <w:color w:val="auto"/>
    </w:rPr>
  </w:style>
  <w:style w:type="paragraph" w:customStyle="1" w:styleId="CM4">
    <w:name w:val="CM4"/>
    <w:basedOn w:val="Default"/>
    <w:next w:val="Default"/>
    <w:uiPriority w:val="99"/>
    <w:rsid w:val="00AE3440"/>
    <w:pPr>
      <w:spacing w:line="278" w:lineRule="atLeast"/>
    </w:pPr>
    <w:rPr>
      <w:color w:val="auto"/>
    </w:rPr>
  </w:style>
  <w:style w:type="paragraph" w:customStyle="1" w:styleId="CM20">
    <w:name w:val="CM20"/>
    <w:basedOn w:val="Default"/>
    <w:next w:val="Default"/>
    <w:uiPriority w:val="99"/>
    <w:rsid w:val="00AE3440"/>
    <w:rPr>
      <w:color w:val="auto"/>
    </w:rPr>
  </w:style>
  <w:style w:type="paragraph" w:customStyle="1" w:styleId="CM21">
    <w:name w:val="CM21"/>
    <w:basedOn w:val="Default"/>
    <w:next w:val="Default"/>
    <w:uiPriority w:val="99"/>
    <w:rsid w:val="00AE3440"/>
    <w:rPr>
      <w:color w:val="auto"/>
    </w:rPr>
  </w:style>
  <w:style w:type="paragraph" w:customStyle="1" w:styleId="CM5">
    <w:name w:val="CM5"/>
    <w:basedOn w:val="Default"/>
    <w:next w:val="Default"/>
    <w:uiPriority w:val="99"/>
    <w:rsid w:val="00AE3440"/>
    <w:pPr>
      <w:spacing w:line="278" w:lineRule="atLeast"/>
    </w:pPr>
    <w:rPr>
      <w:color w:val="auto"/>
    </w:rPr>
  </w:style>
  <w:style w:type="paragraph" w:customStyle="1" w:styleId="CM6">
    <w:name w:val="CM6"/>
    <w:basedOn w:val="Default"/>
    <w:next w:val="Default"/>
    <w:uiPriority w:val="99"/>
    <w:rsid w:val="00AE3440"/>
    <w:pPr>
      <w:spacing w:line="276" w:lineRule="atLeast"/>
    </w:pPr>
    <w:rPr>
      <w:color w:val="auto"/>
    </w:rPr>
  </w:style>
  <w:style w:type="paragraph" w:customStyle="1" w:styleId="CM7">
    <w:name w:val="CM7"/>
    <w:basedOn w:val="Default"/>
    <w:next w:val="Default"/>
    <w:uiPriority w:val="99"/>
    <w:rsid w:val="00AE3440"/>
    <w:pPr>
      <w:spacing w:line="276" w:lineRule="atLeast"/>
    </w:pPr>
    <w:rPr>
      <w:color w:val="auto"/>
    </w:rPr>
  </w:style>
  <w:style w:type="paragraph" w:customStyle="1" w:styleId="CM8">
    <w:name w:val="CM8"/>
    <w:basedOn w:val="Default"/>
    <w:next w:val="Default"/>
    <w:uiPriority w:val="99"/>
    <w:rsid w:val="00AE3440"/>
    <w:pPr>
      <w:spacing w:line="278" w:lineRule="atLeast"/>
    </w:pPr>
    <w:rPr>
      <w:color w:val="auto"/>
    </w:rPr>
  </w:style>
  <w:style w:type="paragraph" w:customStyle="1" w:styleId="CM9">
    <w:name w:val="CM9"/>
    <w:basedOn w:val="Default"/>
    <w:next w:val="Default"/>
    <w:uiPriority w:val="99"/>
    <w:rsid w:val="00AE3440"/>
    <w:rPr>
      <w:color w:val="auto"/>
    </w:rPr>
  </w:style>
  <w:style w:type="paragraph" w:customStyle="1" w:styleId="CM13">
    <w:name w:val="CM13"/>
    <w:basedOn w:val="Default"/>
    <w:next w:val="Default"/>
    <w:uiPriority w:val="99"/>
    <w:rsid w:val="00AE3440"/>
    <w:rPr>
      <w:color w:val="auto"/>
    </w:rPr>
  </w:style>
  <w:style w:type="paragraph" w:customStyle="1" w:styleId="CM14">
    <w:name w:val="CM14"/>
    <w:basedOn w:val="Default"/>
    <w:next w:val="Default"/>
    <w:uiPriority w:val="99"/>
    <w:rsid w:val="00AE3440"/>
    <w:pPr>
      <w:spacing w:line="278" w:lineRule="atLeast"/>
    </w:pPr>
    <w:rPr>
      <w:color w:val="auto"/>
    </w:rPr>
  </w:style>
  <w:style w:type="paragraph" w:customStyle="1" w:styleId="CM15">
    <w:name w:val="CM15"/>
    <w:basedOn w:val="Default"/>
    <w:next w:val="Default"/>
    <w:uiPriority w:val="99"/>
    <w:rsid w:val="00AE3440"/>
    <w:pPr>
      <w:spacing w:line="278" w:lineRule="atLeast"/>
    </w:pPr>
    <w:rPr>
      <w:color w:val="auto"/>
    </w:rPr>
  </w:style>
  <w:style w:type="paragraph" w:customStyle="1" w:styleId="CM30">
    <w:name w:val="CM30"/>
    <w:basedOn w:val="Default"/>
    <w:next w:val="Default"/>
    <w:uiPriority w:val="99"/>
    <w:rsid w:val="00AE3440"/>
    <w:rPr>
      <w:rFonts w:ascii="Arial Black" w:hAnsi="Arial Black" w:cs="Times New Roman"/>
      <w:color w:val="auto"/>
    </w:rPr>
  </w:style>
  <w:style w:type="paragraph" w:customStyle="1" w:styleId="CM24">
    <w:name w:val="CM24"/>
    <w:basedOn w:val="Default"/>
    <w:next w:val="Default"/>
    <w:uiPriority w:val="99"/>
    <w:rsid w:val="00AE3440"/>
    <w:rPr>
      <w:rFonts w:ascii="Arial Black" w:hAnsi="Arial Black" w:cs="Times New Roman"/>
      <w:color w:val="auto"/>
    </w:rPr>
  </w:style>
  <w:style w:type="paragraph" w:styleId="ListParagraph">
    <w:name w:val="List Paragraph"/>
    <w:basedOn w:val="Normal"/>
    <w:uiPriority w:val="34"/>
    <w:qFormat/>
    <w:rsid w:val="00AE3440"/>
    <w:pPr>
      <w:ind w:left="720"/>
      <w:contextualSpacing/>
    </w:pPr>
  </w:style>
  <w:style w:type="paragraph" w:styleId="Header">
    <w:name w:val="header"/>
    <w:basedOn w:val="Normal"/>
    <w:link w:val="HeaderChar"/>
    <w:semiHidden/>
    <w:rsid w:val="00AE3440"/>
    <w:pPr>
      <w:tabs>
        <w:tab w:val="center" w:pos="4320"/>
        <w:tab w:val="right" w:pos="8640"/>
      </w:tabs>
      <w:spacing w:after="0" w:line="240" w:lineRule="auto"/>
    </w:pPr>
    <w:rPr>
      <w:rFonts w:ascii="Times New Roman" w:hAnsi="Times New Roman"/>
      <w:kern w:val="24"/>
      <w:sz w:val="24"/>
      <w:szCs w:val="20"/>
    </w:rPr>
  </w:style>
  <w:style w:type="character" w:customStyle="1" w:styleId="HeaderChar">
    <w:name w:val="Header Char"/>
    <w:basedOn w:val="DefaultParagraphFont"/>
    <w:link w:val="Header"/>
    <w:semiHidden/>
    <w:rsid w:val="00AE3440"/>
    <w:rPr>
      <w:rFonts w:ascii="Times New Roman" w:eastAsia="Times New Roman" w:hAnsi="Times New Roman" w:cs="Times New Roman"/>
      <w:kern w:val="24"/>
      <w:sz w:val="24"/>
      <w:szCs w:val="20"/>
      <w:lang w:val="en-US" w:bidi="en-US"/>
    </w:rPr>
  </w:style>
  <w:style w:type="paragraph" w:styleId="BlockText">
    <w:name w:val="Block Text"/>
    <w:basedOn w:val="Normal"/>
    <w:semiHidden/>
    <w:rsid w:val="00AE3440"/>
    <w:pPr>
      <w:spacing w:after="240" w:line="240" w:lineRule="auto"/>
      <w:ind w:left="1134" w:right="1134"/>
    </w:pPr>
    <w:rPr>
      <w:rFonts w:ascii="Times New Roman" w:hAnsi="Times New Roman"/>
      <w:i/>
      <w:kern w:val="24"/>
      <w:sz w:val="24"/>
      <w:szCs w:val="20"/>
    </w:rPr>
  </w:style>
  <w:style w:type="character" w:styleId="Hyperlink">
    <w:name w:val="Hyperlink"/>
    <w:basedOn w:val="DefaultParagraphFont"/>
    <w:uiPriority w:val="99"/>
    <w:unhideWhenUsed/>
    <w:rsid w:val="00AE3440"/>
    <w:rPr>
      <w:color w:val="0000FF"/>
      <w:u w:val="single"/>
    </w:rPr>
  </w:style>
  <w:style w:type="paragraph" w:customStyle="1" w:styleId="CM17">
    <w:name w:val="CM17"/>
    <w:basedOn w:val="Default"/>
    <w:next w:val="Default"/>
    <w:uiPriority w:val="99"/>
    <w:rsid w:val="00AE3440"/>
    <w:rPr>
      <w:rFonts w:ascii="DAJKO P+ Gulliver RM" w:hAnsi="DAJKO P+ Gulliver RM" w:cs="Times New Roman"/>
      <w:color w:val="auto"/>
    </w:rPr>
  </w:style>
  <w:style w:type="paragraph" w:customStyle="1" w:styleId="Ahheading2">
    <w:name w:val="Ah heading 2"/>
    <w:basedOn w:val="Normal"/>
    <w:autoRedefine/>
    <w:rsid w:val="00AE3440"/>
    <w:pPr>
      <w:spacing w:after="240" w:line="240" w:lineRule="auto"/>
    </w:pPr>
    <w:rPr>
      <w:rFonts w:ascii="Arial" w:hAnsi="Arial" w:cs="Arial"/>
      <w:b/>
      <w:sz w:val="28"/>
      <w:szCs w:val="28"/>
    </w:rPr>
  </w:style>
  <w:style w:type="paragraph" w:customStyle="1" w:styleId="Pa45">
    <w:name w:val="Pa45"/>
    <w:basedOn w:val="Default"/>
    <w:next w:val="Default"/>
    <w:uiPriority w:val="99"/>
    <w:rsid w:val="00AE3440"/>
    <w:pPr>
      <w:widowControl/>
      <w:spacing w:line="261" w:lineRule="atLeast"/>
    </w:pPr>
    <w:rPr>
      <w:rFonts w:ascii="Century Gothic" w:hAnsi="Century Gothic" w:cs="Times New Roman"/>
      <w:color w:val="auto"/>
    </w:rPr>
  </w:style>
  <w:style w:type="paragraph" w:customStyle="1" w:styleId="Pa29">
    <w:name w:val="Pa29"/>
    <w:basedOn w:val="Default"/>
    <w:next w:val="Default"/>
    <w:uiPriority w:val="99"/>
    <w:rsid w:val="00AE3440"/>
    <w:pPr>
      <w:widowControl/>
      <w:spacing w:line="211" w:lineRule="atLeast"/>
    </w:pPr>
    <w:rPr>
      <w:rFonts w:ascii="Century Gothic" w:hAnsi="Century Gothic" w:cs="Times New Roman"/>
      <w:color w:val="auto"/>
    </w:rPr>
  </w:style>
  <w:style w:type="paragraph" w:customStyle="1" w:styleId="Pa40">
    <w:name w:val="Pa40"/>
    <w:basedOn w:val="Default"/>
    <w:next w:val="Default"/>
    <w:uiPriority w:val="99"/>
    <w:rsid w:val="00AE3440"/>
    <w:pPr>
      <w:widowControl/>
      <w:spacing w:line="211" w:lineRule="atLeast"/>
    </w:pPr>
    <w:rPr>
      <w:rFonts w:ascii="Century Gothic" w:hAnsi="Century Gothic" w:cs="Times New Roman"/>
      <w:color w:val="auto"/>
    </w:rPr>
  </w:style>
  <w:style w:type="character" w:customStyle="1" w:styleId="A12">
    <w:name w:val="A12"/>
    <w:uiPriority w:val="99"/>
    <w:rsid w:val="00AE3440"/>
    <w:rPr>
      <w:rFonts w:cs="Century Gothic"/>
      <w:color w:val="3F3F41"/>
      <w:sz w:val="21"/>
      <w:szCs w:val="21"/>
    </w:rPr>
  </w:style>
  <w:style w:type="paragraph" w:styleId="NormalWeb">
    <w:name w:val="Normal (Web)"/>
    <w:basedOn w:val="Normal"/>
    <w:uiPriority w:val="99"/>
    <w:unhideWhenUsed/>
    <w:rsid w:val="00AE3440"/>
    <w:pPr>
      <w:spacing w:before="100" w:beforeAutospacing="1" w:after="100" w:afterAutospacing="1" w:line="240" w:lineRule="auto"/>
    </w:pPr>
    <w:rPr>
      <w:rFonts w:ascii="Times New Roman" w:hAnsi="Times New Roman"/>
      <w:sz w:val="24"/>
      <w:szCs w:val="24"/>
    </w:rPr>
  </w:style>
  <w:style w:type="paragraph" w:customStyle="1" w:styleId="Paragraph">
    <w:name w:val="Paragraph"/>
    <w:basedOn w:val="BodyText"/>
    <w:link w:val="ParagraphChar"/>
    <w:rsid w:val="00AE3440"/>
    <w:pPr>
      <w:tabs>
        <w:tab w:val="left" w:pos="0"/>
        <w:tab w:val="left" w:pos="567"/>
      </w:tabs>
      <w:spacing w:after="240" w:line="240" w:lineRule="auto"/>
      <w:contextualSpacing/>
      <w:jc w:val="both"/>
    </w:pPr>
    <w:rPr>
      <w:rFonts w:ascii="Times New Roman" w:hAnsi="Times New Roman"/>
      <w:snapToGrid w:val="0"/>
      <w:sz w:val="24"/>
      <w:szCs w:val="20"/>
      <w:lang w:bidi="ar-SA"/>
    </w:rPr>
  </w:style>
  <w:style w:type="character" w:customStyle="1" w:styleId="ParagraphChar">
    <w:name w:val="Paragraph Char"/>
    <w:link w:val="Paragraph"/>
    <w:rsid w:val="00AE3440"/>
    <w:rPr>
      <w:rFonts w:ascii="Times New Roman" w:eastAsia="Times New Roman" w:hAnsi="Times New Roman" w:cs="Times New Roman"/>
      <w:snapToGrid w:val="0"/>
      <w:sz w:val="24"/>
      <w:szCs w:val="20"/>
      <w:lang w:val="en-US"/>
    </w:rPr>
  </w:style>
  <w:style w:type="paragraph" w:styleId="BodyText">
    <w:name w:val="Body Text"/>
    <w:basedOn w:val="Normal"/>
    <w:link w:val="BodyTextChar"/>
    <w:uiPriority w:val="99"/>
    <w:semiHidden/>
    <w:unhideWhenUsed/>
    <w:rsid w:val="00AE3440"/>
    <w:pPr>
      <w:spacing w:after="120"/>
    </w:pPr>
  </w:style>
  <w:style w:type="character" w:customStyle="1" w:styleId="BodyTextChar">
    <w:name w:val="Body Text Char"/>
    <w:basedOn w:val="DefaultParagraphFont"/>
    <w:link w:val="BodyText"/>
    <w:uiPriority w:val="99"/>
    <w:semiHidden/>
    <w:rsid w:val="00AE3440"/>
    <w:rPr>
      <w:rFonts w:ascii="Calibri" w:eastAsia="Times New Roman" w:hAnsi="Calibri" w:cs="Times New Roman"/>
      <w:lang w:val="en-US" w:bidi="en-US"/>
    </w:rPr>
  </w:style>
  <w:style w:type="table" w:styleId="TableGrid">
    <w:name w:val="Table Grid"/>
    <w:basedOn w:val="TableNormal"/>
    <w:uiPriority w:val="59"/>
    <w:rsid w:val="00AE3440"/>
    <w:pPr>
      <w:spacing w:after="0" w:line="240" w:lineRule="auto"/>
      <w:jc w:val="both"/>
    </w:pPr>
    <w:rPr>
      <w:rFonts w:ascii="Calibri" w:eastAsia="Calibri" w:hAnsi="Calibri" w:cs="Times New Roman"/>
      <w:sz w:val="20"/>
      <w:szCs w:val="20"/>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M47">
    <w:name w:val="CM47"/>
    <w:basedOn w:val="Normal"/>
    <w:next w:val="Normal"/>
    <w:uiPriority w:val="99"/>
    <w:rsid w:val="00AE3440"/>
    <w:pPr>
      <w:widowControl w:val="0"/>
      <w:autoSpaceDE w:val="0"/>
      <w:autoSpaceDN w:val="0"/>
      <w:adjustRightInd w:val="0"/>
      <w:spacing w:after="0" w:line="240" w:lineRule="auto"/>
    </w:pPr>
    <w:rPr>
      <w:rFonts w:ascii="Times New Roman" w:hAnsi="Times New Roman"/>
      <w:sz w:val="24"/>
      <w:szCs w:val="24"/>
    </w:rPr>
  </w:style>
  <w:style w:type="paragraph" w:styleId="FootnoteText">
    <w:name w:val="footnote text"/>
    <w:basedOn w:val="Normal"/>
    <w:link w:val="FootnoteTextChar"/>
    <w:semiHidden/>
    <w:unhideWhenUsed/>
    <w:rsid w:val="00AE3440"/>
    <w:rPr>
      <w:sz w:val="20"/>
      <w:szCs w:val="20"/>
    </w:rPr>
  </w:style>
  <w:style w:type="character" w:customStyle="1" w:styleId="FootnoteTextChar">
    <w:name w:val="Footnote Text Char"/>
    <w:basedOn w:val="DefaultParagraphFont"/>
    <w:link w:val="FootnoteText"/>
    <w:uiPriority w:val="99"/>
    <w:semiHidden/>
    <w:rsid w:val="00AE3440"/>
    <w:rPr>
      <w:rFonts w:ascii="Calibri" w:eastAsia="Times New Roman" w:hAnsi="Calibri" w:cs="Times New Roman"/>
      <w:sz w:val="20"/>
      <w:szCs w:val="20"/>
      <w:lang w:val="en-US" w:bidi="en-US"/>
    </w:rPr>
  </w:style>
  <w:style w:type="character" w:styleId="FootnoteReference">
    <w:name w:val="footnote reference"/>
    <w:basedOn w:val="DefaultParagraphFont"/>
    <w:semiHidden/>
    <w:unhideWhenUsed/>
    <w:rsid w:val="00AE3440"/>
    <w:rPr>
      <w:vertAlign w:val="superscript"/>
    </w:rPr>
  </w:style>
  <w:style w:type="paragraph" w:styleId="Footer">
    <w:name w:val="footer"/>
    <w:basedOn w:val="Normal"/>
    <w:link w:val="FooterChar"/>
    <w:uiPriority w:val="99"/>
    <w:unhideWhenUsed/>
    <w:rsid w:val="00AE3440"/>
    <w:pPr>
      <w:tabs>
        <w:tab w:val="center" w:pos="4513"/>
        <w:tab w:val="right" w:pos="9026"/>
      </w:tabs>
    </w:pPr>
  </w:style>
  <w:style w:type="character" w:customStyle="1" w:styleId="FooterChar">
    <w:name w:val="Footer Char"/>
    <w:basedOn w:val="DefaultParagraphFont"/>
    <w:link w:val="Footer"/>
    <w:uiPriority w:val="99"/>
    <w:rsid w:val="00AE3440"/>
    <w:rPr>
      <w:rFonts w:ascii="Calibri" w:eastAsia="Times New Roman" w:hAnsi="Calibri" w:cs="Times New Roman"/>
      <w:lang w:val="en-US" w:bidi="en-US"/>
    </w:rPr>
  </w:style>
  <w:style w:type="paragraph" w:customStyle="1" w:styleId="Dotpoints">
    <w:name w:val="Dot points"/>
    <w:basedOn w:val="Normal"/>
    <w:rsid w:val="00AE3440"/>
    <w:pPr>
      <w:numPr>
        <w:numId w:val="1"/>
      </w:numPr>
      <w:spacing w:after="120" w:line="240" w:lineRule="auto"/>
      <w:ind w:left="714" w:hanging="357"/>
    </w:pPr>
    <w:rPr>
      <w:rFonts w:ascii="Times New Roman" w:hAnsi="Times New Roman"/>
      <w:sz w:val="24"/>
      <w:szCs w:val="24"/>
    </w:rPr>
  </w:style>
  <w:style w:type="paragraph" w:customStyle="1" w:styleId="KeyMessageText">
    <w:name w:val="KeyMessageText"/>
    <w:basedOn w:val="Normal"/>
    <w:link w:val="KeyMessageTextChar"/>
    <w:qFormat/>
    <w:rsid w:val="00AE3440"/>
    <w:pPr>
      <w:numPr>
        <w:numId w:val="2"/>
      </w:numPr>
      <w:spacing w:after="240" w:line="240" w:lineRule="auto"/>
      <w:ind w:left="357" w:hanging="357"/>
    </w:pPr>
    <w:rPr>
      <w:rFonts w:ascii="Gill Sans MT" w:hAnsi="Gill Sans MT"/>
      <w:sz w:val="32"/>
      <w:szCs w:val="32"/>
    </w:rPr>
  </w:style>
  <w:style w:type="character" w:customStyle="1" w:styleId="KeyMessageTextChar">
    <w:name w:val="KeyMessageText Char"/>
    <w:basedOn w:val="DefaultParagraphFont"/>
    <w:link w:val="KeyMessageText"/>
    <w:rsid w:val="00AE3440"/>
    <w:rPr>
      <w:rFonts w:ascii="Gill Sans MT" w:eastAsia="Times New Roman" w:hAnsi="Gill Sans MT" w:cs="Times New Roman"/>
      <w:sz w:val="32"/>
      <w:szCs w:val="32"/>
      <w:lang w:val="en-US" w:bidi="en-US"/>
    </w:rPr>
  </w:style>
  <w:style w:type="paragraph" w:customStyle="1" w:styleId="BackgroundText">
    <w:name w:val="BackgroundText"/>
    <w:basedOn w:val="Normal"/>
    <w:link w:val="BackgroundTextChar"/>
    <w:rsid w:val="00AE3440"/>
    <w:pPr>
      <w:numPr>
        <w:numId w:val="3"/>
      </w:numPr>
      <w:spacing w:after="240" w:line="240" w:lineRule="auto"/>
      <w:ind w:left="357" w:hanging="357"/>
    </w:pPr>
    <w:rPr>
      <w:rFonts w:ascii="Gill Sans MT" w:hAnsi="Gill Sans MT"/>
      <w:sz w:val="24"/>
      <w:szCs w:val="24"/>
    </w:rPr>
  </w:style>
  <w:style w:type="character" w:customStyle="1" w:styleId="BackgroundTextChar">
    <w:name w:val="BackgroundText Char"/>
    <w:basedOn w:val="DefaultParagraphFont"/>
    <w:link w:val="BackgroundText"/>
    <w:rsid w:val="00AE3440"/>
    <w:rPr>
      <w:rFonts w:ascii="Gill Sans MT" w:eastAsia="Times New Roman" w:hAnsi="Gill Sans MT" w:cs="Times New Roman"/>
      <w:sz w:val="24"/>
      <w:szCs w:val="24"/>
      <w:lang w:val="en-US" w:bidi="en-US"/>
    </w:rPr>
  </w:style>
  <w:style w:type="table" w:customStyle="1" w:styleId="LightShading-Accent11">
    <w:name w:val="Light Shading - Accent 11"/>
    <w:basedOn w:val="TableNormal"/>
    <w:uiPriority w:val="60"/>
    <w:rsid w:val="00AE3440"/>
    <w:pPr>
      <w:spacing w:after="0" w:line="240" w:lineRule="auto"/>
    </w:pPr>
    <w:rPr>
      <w:rFonts w:ascii="Calibri" w:eastAsia="Times New Roman" w:hAnsi="Calibri" w:cs="Times New Roman"/>
      <w:color w:val="365F91"/>
      <w:sz w:val="20"/>
      <w:szCs w:val="20"/>
      <w:lang w:eastAsia="en-A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TOC1">
    <w:name w:val="toc 1"/>
    <w:basedOn w:val="Normal"/>
    <w:next w:val="Normal"/>
    <w:autoRedefine/>
    <w:uiPriority w:val="39"/>
    <w:unhideWhenUsed/>
    <w:qFormat/>
    <w:rsid w:val="00AE3440"/>
    <w:pPr>
      <w:spacing w:after="100"/>
    </w:pPr>
    <w:rPr>
      <w:lang w:bidi="ar-SA"/>
    </w:rPr>
  </w:style>
  <w:style w:type="paragraph" w:styleId="TOC2">
    <w:name w:val="toc 2"/>
    <w:basedOn w:val="Normal"/>
    <w:next w:val="Normal"/>
    <w:autoRedefine/>
    <w:uiPriority w:val="39"/>
    <w:unhideWhenUsed/>
    <w:qFormat/>
    <w:rsid w:val="00AE3440"/>
    <w:pPr>
      <w:spacing w:after="100"/>
      <w:ind w:left="220"/>
    </w:pPr>
    <w:rPr>
      <w:lang w:bidi="ar-SA"/>
    </w:rPr>
  </w:style>
  <w:style w:type="paragraph" w:styleId="Caption">
    <w:name w:val="caption"/>
    <w:basedOn w:val="Normal"/>
    <w:next w:val="Normal"/>
    <w:uiPriority w:val="35"/>
    <w:unhideWhenUsed/>
    <w:qFormat/>
    <w:rsid w:val="00AE3440"/>
    <w:rPr>
      <w:b/>
      <w:bCs/>
      <w:caps/>
      <w:sz w:val="16"/>
      <w:szCs w:val="18"/>
    </w:rPr>
  </w:style>
  <w:style w:type="paragraph" w:styleId="Title">
    <w:name w:val="Title"/>
    <w:basedOn w:val="Normal"/>
    <w:next w:val="Normal"/>
    <w:link w:val="TitleChar"/>
    <w:qFormat/>
    <w:rsid w:val="00AE3440"/>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rsid w:val="00AE3440"/>
    <w:rPr>
      <w:rFonts w:ascii="Cambria" w:eastAsia="Times New Roman" w:hAnsi="Cambria" w:cs="Times New Roman"/>
      <w:spacing w:val="5"/>
      <w:sz w:val="52"/>
      <w:szCs w:val="52"/>
      <w:lang w:val="en-US" w:bidi="en-US"/>
    </w:rPr>
  </w:style>
  <w:style w:type="paragraph" w:styleId="Subtitle">
    <w:name w:val="Subtitle"/>
    <w:basedOn w:val="Normal"/>
    <w:next w:val="Normal"/>
    <w:link w:val="SubtitleChar"/>
    <w:uiPriority w:val="11"/>
    <w:qFormat/>
    <w:rsid w:val="00AE3440"/>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AE3440"/>
    <w:rPr>
      <w:rFonts w:ascii="Cambria" w:eastAsia="Times New Roman" w:hAnsi="Cambria" w:cs="Times New Roman"/>
      <w:i/>
      <w:iCs/>
      <w:spacing w:val="13"/>
      <w:sz w:val="24"/>
      <w:szCs w:val="24"/>
      <w:lang w:val="en-US" w:bidi="en-US"/>
    </w:rPr>
  </w:style>
  <w:style w:type="character" w:styleId="Strong">
    <w:name w:val="Strong"/>
    <w:uiPriority w:val="22"/>
    <w:qFormat/>
    <w:rsid w:val="00AE3440"/>
    <w:rPr>
      <w:b/>
      <w:bCs/>
    </w:rPr>
  </w:style>
  <w:style w:type="character" w:styleId="Emphasis">
    <w:name w:val="Emphasis"/>
    <w:qFormat/>
    <w:rsid w:val="00AE3440"/>
    <w:rPr>
      <w:b/>
      <w:bCs/>
      <w:i/>
      <w:iCs/>
      <w:spacing w:val="10"/>
      <w:bdr w:val="none" w:sz="0" w:space="0" w:color="auto"/>
      <w:shd w:val="clear" w:color="auto" w:fill="auto"/>
    </w:rPr>
  </w:style>
  <w:style w:type="paragraph" w:styleId="NoSpacing">
    <w:name w:val="No Spacing"/>
    <w:basedOn w:val="Normal"/>
    <w:link w:val="NoSpacingChar"/>
    <w:uiPriority w:val="1"/>
    <w:qFormat/>
    <w:rsid w:val="00AE3440"/>
    <w:pPr>
      <w:spacing w:after="0" w:line="240" w:lineRule="auto"/>
    </w:pPr>
  </w:style>
  <w:style w:type="character" w:customStyle="1" w:styleId="NoSpacingChar">
    <w:name w:val="No Spacing Char"/>
    <w:basedOn w:val="DefaultParagraphFont"/>
    <w:link w:val="NoSpacing"/>
    <w:uiPriority w:val="1"/>
    <w:rsid w:val="00AE3440"/>
    <w:rPr>
      <w:rFonts w:ascii="Calibri" w:eastAsia="Times New Roman" w:hAnsi="Calibri" w:cs="Times New Roman"/>
      <w:lang w:val="en-US" w:bidi="en-US"/>
    </w:rPr>
  </w:style>
  <w:style w:type="paragraph" w:styleId="Quote">
    <w:name w:val="Quote"/>
    <w:basedOn w:val="Normal"/>
    <w:next w:val="Normal"/>
    <w:link w:val="QuoteChar"/>
    <w:uiPriority w:val="29"/>
    <w:qFormat/>
    <w:rsid w:val="00AE3440"/>
    <w:pPr>
      <w:spacing w:before="200" w:after="0"/>
      <w:ind w:left="360" w:right="360"/>
    </w:pPr>
    <w:rPr>
      <w:i/>
      <w:iCs/>
    </w:rPr>
  </w:style>
  <w:style w:type="character" w:customStyle="1" w:styleId="QuoteChar">
    <w:name w:val="Quote Char"/>
    <w:basedOn w:val="DefaultParagraphFont"/>
    <w:link w:val="Quote"/>
    <w:uiPriority w:val="29"/>
    <w:rsid w:val="00AE3440"/>
    <w:rPr>
      <w:rFonts w:ascii="Calibri" w:eastAsia="Times New Roman" w:hAnsi="Calibri" w:cs="Times New Roman"/>
      <w:i/>
      <w:iCs/>
      <w:lang w:val="en-US" w:bidi="en-US"/>
    </w:rPr>
  </w:style>
  <w:style w:type="paragraph" w:styleId="IntenseQuote">
    <w:name w:val="Intense Quote"/>
    <w:basedOn w:val="Normal"/>
    <w:next w:val="Normal"/>
    <w:link w:val="IntenseQuoteChar"/>
    <w:uiPriority w:val="30"/>
    <w:qFormat/>
    <w:rsid w:val="00AE344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E3440"/>
    <w:rPr>
      <w:rFonts w:ascii="Calibri" w:eastAsia="Times New Roman" w:hAnsi="Calibri" w:cs="Times New Roman"/>
      <w:b/>
      <w:bCs/>
      <w:i/>
      <w:iCs/>
      <w:lang w:val="en-US" w:bidi="en-US"/>
    </w:rPr>
  </w:style>
  <w:style w:type="character" w:styleId="SubtleEmphasis">
    <w:name w:val="Subtle Emphasis"/>
    <w:uiPriority w:val="19"/>
    <w:qFormat/>
    <w:rsid w:val="00AE3440"/>
    <w:rPr>
      <w:i/>
      <w:iCs/>
    </w:rPr>
  </w:style>
  <w:style w:type="character" w:styleId="IntenseEmphasis">
    <w:name w:val="Intense Emphasis"/>
    <w:uiPriority w:val="21"/>
    <w:qFormat/>
    <w:rsid w:val="00AE3440"/>
    <w:rPr>
      <w:b/>
      <w:bCs/>
    </w:rPr>
  </w:style>
  <w:style w:type="character" w:styleId="SubtleReference">
    <w:name w:val="Subtle Reference"/>
    <w:uiPriority w:val="31"/>
    <w:qFormat/>
    <w:rsid w:val="00AE3440"/>
    <w:rPr>
      <w:smallCaps/>
    </w:rPr>
  </w:style>
  <w:style w:type="character" w:styleId="IntenseReference">
    <w:name w:val="Intense Reference"/>
    <w:uiPriority w:val="32"/>
    <w:qFormat/>
    <w:rsid w:val="00AE3440"/>
    <w:rPr>
      <w:smallCaps/>
      <w:spacing w:val="5"/>
      <w:u w:val="single"/>
    </w:rPr>
  </w:style>
  <w:style w:type="character" w:styleId="BookTitle">
    <w:name w:val="Book Title"/>
    <w:uiPriority w:val="33"/>
    <w:qFormat/>
    <w:rsid w:val="00AE3440"/>
    <w:rPr>
      <w:i/>
      <w:iCs/>
      <w:smallCaps/>
      <w:spacing w:val="5"/>
    </w:rPr>
  </w:style>
  <w:style w:type="paragraph" w:styleId="TOCHeading">
    <w:name w:val="TOC Heading"/>
    <w:basedOn w:val="Heading1"/>
    <w:next w:val="Normal"/>
    <w:uiPriority w:val="39"/>
    <w:semiHidden/>
    <w:unhideWhenUsed/>
    <w:qFormat/>
    <w:rsid w:val="00AE3440"/>
    <w:pPr>
      <w:outlineLvl w:val="9"/>
    </w:pPr>
  </w:style>
  <w:style w:type="paragraph" w:customStyle="1" w:styleId="alysse55">
    <w:name w:val="alysse 55"/>
    <w:basedOn w:val="Normal"/>
    <w:link w:val="alysse55Char"/>
    <w:autoRedefine/>
    <w:qFormat/>
    <w:rsid w:val="00AE3440"/>
    <w:pPr>
      <w:widowControl w:val="0"/>
      <w:overflowPunct w:val="0"/>
      <w:autoSpaceDE w:val="0"/>
      <w:autoSpaceDN w:val="0"/>
      <w:adjustRightInd w:val="0"/>
      <w:spacing w:line="360" w:lineRule="auto"/>
    </w:pPr>
    <w:rPr>
      <w:rFonts w:ascii="Hand Of Sean" w:hAnsi="Hand Of Sean" w:cs="BD Cartoon Shout"/>
      <w:b/>
      <w:bCs/>
      <w:caps/>
      <w:color w:val="990033"/>
      <w:kern w:val="28"/>
      <w:sz w:val="36"/>
      <w:szCs w:val="36"/>
    </w:rPr>
  </w:style>
  <w:style w:type="character" w:customStyle="1" w:styleId="alysse55Char">
    <w:name w:val="alysse 55 Char"/>
    <w:basedOn w:val="DefaultParagraphFont"/>
    <w:link w:val="alysse55"/>
    <w:rsid w:val="00AE3440"/>
    <w:rPr>
      <w:rFonts w:ascii="Hand Of Sean" w:eastAsia="Times New Roman" w:hAnsi="Hand Of Sean" w:cs="BD Cartoon Shout"/>
      <w:b/>
      <w:bCs/>
      <w:caps/>
      <w:color w:val="990033"/>
      <w:kern w:val="28"/>
      <w:sz w:val="36"/>
      <w:szCs w:val="36"/>
      <w:lang w:val="en-US" w:bidi="en-US"/>
    </w:rPr>
  </w:style>
  <w:style w:type="paragraph" w:customStyle="1" w:styleId="alysse">
    <w:name w:val="alysse"/>
    <w:basedOn w:val="alysse55"/>
    <w:link w:val="alysseChar"/>
    <w:autoRedefine/>
    <w:qFormat/>
    <w:rsid w:val="00AE3440"/>
  </w:style>
  <w:style w:type="character" w:customStyle="1" w:styleId="alysseChar">
    <w:name w:val="alysse Char"/>
    <w:basedOn w:val="DefaultParagraphFont"/>
    <w:link w:val="alysse"/>
    <w:rsid w:val="00AE3440"/>
    <w:rPr>
      <w:rFonts w:ascii="Hand Of Sean" w:eastAsia="Times New Roman" w:hAnsi="Hand Of Sean" w:cs="BD Cartoon Shout"/>
      <w:b/>
      <w:bCs/>
      <w:caps/>
      <w:color w:val="990033"/>
      <w:kern w:val="28"/>
      <w:sz w:val="36"/>
      <w:szCs w:val="36"/>
      <w:lang w:val="en-US" w:bidi="en-US"/>
    </w:rPr>
  </w:style>
  <w:style w:type="character" w:customStyle="1" w:styleId="Handofsean">
    <w:name w:val="Hand of sean"/>
    <w:basedOn w:val="DefaultParagraphFont"/>
    <w:uiPriority w:val="1"/>
    <w:qFormat/>
    <w:rsid w:val="00AE3440"/>
    <w:rPr>
      <w:sz w:val="22"/>
    </w:rPr>
  </w:style>
  <w:style w:type="paragraph" w:customStyle="1" w:styleId="A">
    <w:name w:val="A"/>
    <w:basedOn w:val="Normal"/>
    <w:link w:val="AChar"/>
    <w:qFormat/>
    <w:rsid w:val="00AE3440"/>
    <w:pPr>
      <w:keepNext/>
      <w:keepLines/>
      <w:spacing w:before="280" w:line="360" w:lineRule="auto"/>
      <w:ind w:left="1134" w:hanging="1134"/>
      <w:outlineLvl w:val="1"/>
    </w:pPr>
    <w:rPr>
      <w:rFonts w:ascii="DESTRUCCION" w:hAnsi="DESTRUCCION"/>
      <w:bCs/>
      <w:color w:val="740000"/>
      <w:kern w:val="28"/>
      <w:sz w:val="24"/>
      <w:szCs w:val="24"/>
      <w:lang w:val="en-AU" w:eastAsia="en-AU" w:bidi="ar-SA"/>
    </w:rPr>
  </w:style>
  <w:style w:type="character" w:customStyle="1" w:styleId="AChar">
    <w:name w:val="A Char"/>
    <w:basedOn w:val="DefaultParagraphFont"/>
    <w:link w:val="A"/>
    <w:rsid w:val="00AE3440"/>
    <w:rPr>
      <w:rFonts w:ascii="DESTRUCCION" w:eastAsia="Times New Roman" w:hAnsi="DESTRUCCION" w:cs="Times New Roman"/>
      <w:bCs/>
      <w:color w:val="740000"/>
      <w:kern w:val="28"/>
      <w:sz w:val="24"/>
      <w:szCs w:val="24"/>
      <w:lang w:eastAsia="en-AU"/>
    </w:rPr>
  </w:style>
  <w:style w:type="paragraph" w:customStyle="1" w:styleId="B">
    <w:name w:val="B"/>
    <w:basedOn w:val="Normal"/>
    <w:link w:val="BChar"/>
    <w:qFormat/>
    <w:rsid w:val="00AE3440"/>
    <w:pPr>
      <w:keepNext/>
      <w:keepLines/>
      <w:spacing w:line="360" w:lineRule="auto"/>
      <w:ind w:hanging="1134"/>
      <w:outlineLvl w:val="0"/>
    </w:pPr>
    <w:rPr>
      <w:rFonts w:ascii="DESTRUCCION" w:hAnsi="DESTRUCCION"/>
      <w:b/>
      <w:bCs/>
      <w:color w:val="740000"/>
      <w:kern w:val="28"/>
      <w:sz w:val="28"/>
      <w:szCs w:val="32"/>
      <w:lang w:val="en-AU" w:eastAsia="en-AU" w:bidi="ar-SA"/>
    </w:rPr>
  </w:style>
  <w:style w:type="character" w:customStyle="1" w:styleId="BChar">
    <w:name w:val="B Char"/>
    <w:basedOn w:val="DefaultParagraphFont"/>
    <w:link w:val="B"/>
    <w:rsid w:val="00AE3440"/>
    <w:rPr>
      <w:rFonts w:ascii="DESTRUCCION" w:eastAsia="Times New Roman" w:hAnsi="DESTRUCCION" w:cs="Times New Roman"/>
      <w:b/>
      <w:bCs/>
      <w:color w:val="740000"/>
      <w:kern w:val="28"/>
      <w:sz w:val="28"/>
      <w:szCs w:val="32"/>
      <w:lang w:eastAsia="en-AU"/>
    </w:rPr>
  </w:style>
  <w:style w:type="paragraph" w:customStyle="1" w:styleId="b0">
    <w:name w:val="b"/>
    <w:basedOn w:val="B"/>
    <w:link w:val="bChar0"/>
    <w:autoRedefine/>
    <w:qFormat/>
    <w:rsid w:val="00AE3440"/>
    <w:rPr>
      <w:rFonts w:ascii="Mangal" w:hAnsi="Mangal"/>
    </w:rPr>
  </w:style>
  <w:style w:type="character" w:customStyle="1" w:styleId="bChar0">
    <w:name w:val="b Char"/>
    <w:basedOn w:val="BChar"/>
    <w:link w:val="b0"/>
    <w:rsid w:val="00AE3440"/>
    <w:rPr>
      <w:rFonts w:ascii="Mangal" w:hAnsi="Mangal"/>
    </w:rPr>
  </w:style>
  <w:style w:type="paragraph" w:customStyle="1" w:styleId="text">
    <w:name w:val="text"/>
    <w:basedOn w:val="BodyText"/>
    <w:link w:val="textChar"/>
    <w:autoRedefine/>
    <w:qFormat/>
    <w:rsid w:val="00AE3440"/>
  </w:style>
  <w:style w:type="character" w:customStyle="1" w:styleId="textChar">
    <w:name w:val="text Char"/>
    <w:basedOn w:val="BodyTextChar"/>
    <w:link w:val="text"/>
    <w:rsid w:val="00AE3440"/>
  </w:style>
  <w:style w:type="table" w:styleId="MediumShading1-Accent5">
    <w:name w:val="Medium Shading 1 Accent 5"/>
    <w:basedOn w:val="TableNormal"/>
    <w:uiPriority w:val="63"/>
    <w:rsid w:val="00AE3440"/>
    <w:pPr>
      <w:spacing w:after="0" w:line="240" w:lineRule="auto"/>
    </w:pPr>
    <w:rPr>
      <w:rFonts w:ascii="Calibri" w:eastAsia="Times New Roman" w:hAnsi="Calibri" w:cs="Times New Roman"/>
      <w:sz w:val="20"/>
      <w:szCs w:val="20"/>
      <w:lang w:eastAsia="en-AU"/>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cPr>
      <w:shd w:val="clear" w:color="auto" w:fill="FFFFFF" w:themeFill="background1"/>
    </w:tc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ghtGrid-Accent5">
    <w:name w:val="Light Grid Accent 5"/>
    <w:basedOn w:val="TableNormal"/>
    <w:uiPriority w:val="62"/>
    <w:rsid w:val="00AE3440"/>
    <w:pPr>
      <w:spacing w:after="0" w:line="240" w:lineRule="auto"/>
    </w:pPr>
    <w:rPr>
      <w:rFonts w:ascii="Calibri" w:eastAsia="Times New Roman" w:hAnsi="Calibri" w:cs="Times New Roman"/>
      <w:sz w:val="20"/>
      <w:szCs w:val="20"/>
      <w:lang w:eastAsia="en-AU"/>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List-Accent5">
    <w:name w:val="Light List Accent 5"/>
    <w:basedOn w:val="TableNormal"/>
    <w:uiPriority w:val="61"/>
    <w:rsid w:val="00AE3440"/>
    <w:pPr>
      <w:spacing w:after="0" w:line="240" w:lineRule="auto"/>
    </w:pPr>
    <w:rPr>
      <w:rFonts w:ascii="Calibri" w:eastAsia="Times New Roman" w:hAnsi="Calibri" w:cs="Times New Roman"/>
      <w:sz w:val="20"/>
      <w:szCs w:val="20"/>
      <w:lang w:eastAsia="en-AU"/>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cPr>
      <w:shd w:val="clear" w:color="auto" w:fill="FFFFFF" w:themeFill="background1"/>
    </w:tc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Shading-Accent5">
    <w:name w:val="Light Shading Accent 5"/>
    <w:basedOn w:val="TableNormal"/>
    <w:uiPriority w:val="60"/>
    <w:rsid w:val="00AE3440"/>
    <w:pPr>
      <w:spacing w:after="0" w:line="240" w:lineRule="auto"/>
    </w:pPr>
    <w:rPr>
      <w:rFonts w:ascii="Calibri" w:eastAsia="Times New Roman" w:hAnsi="Calibri" w:cs="Times New Roman"/>
      <w:color w:val="31849B" w:themeColor="accent5" w:themeShade="BF"/>
      <w:sz w:val="20"/>
      <w:szCs w:val="20"/>
      <w:lang w:eastAsia="en-AU"/>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Shading2-Accent5">
    <w:name w:val="Medium Shading 2 Accent 5"/>
    <w:basedOn w:val="TableNormal"/>
    <w:uiPriority w:val="64"/>
    <w:rsid w:val="0003049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ExecSummDotPoint">
    <w:name w:val="Exec Summ Dot Point"/>
    <w:basedOn w:val="ListBullet"/>
    <w:rsid w:val="00270B22"/>
    <w:pPr>
      <w:pBdr>
        <w:top w:val="single" w:sz="4" w:space="4" w:color="auto"/>
        <w:left w:val="single" w:sz="4" w:space="4" w:color="auto"/>
        <w:bottom w:val="single" w:sz="4" w:space="4" w:color="auto"/>
        <w:right w:val="single" w:sz="4" w:space="4" w:color="auto"/>
      </w:pBdr>
      <w:tabs>
        <w:tab w:val="num" w:pos="1077"/>
      </w:tabs>
      <w:spacing w:before="120" w:after="120" w:line="240" w:lineRule="auto"/>
      <w:ind w:left="357" w:hanging="357"/>
      <w:contextualSpacing w:val="0"/>
    </w:pPr>
    <w:rPr>
      <w:rFonts w:ascii="Gill Sans MT" w:hAnsi="Gill Sans MT" w:cs="Arial"/>
      <w:lang w:val="en-AU" w:bidi="ar-SA"/>
    </w:rPr>
  </w:style>
  <w:style w:type="paragraph" w:styleId="ListBullet">
    <w:name w:val="List Bullet"/>
    <w:basedOn w:val="Normal"/>
    <w:uiPriority w:val="99"/>
    <w:semiHidden/>
    <w:unhideWhenUsed/>
    <w:rsid w:val="00270B22"/>
    <w:pPr>
      <w:ind w:left="1440" w:hanging="360"/>
      <w:contextualSpacing/>
    </w:pPr>
  </w:style>
  <w:style w:type="character" w:styleId="CommentReference">
    <w:name w:val="annotation reference"/>
    <w:basedOn w:val="DefaultParagraphFont"/>
    <w:uiPriority w:val="99"/>
    <w:semiHidden/>
    <w:unhideWhenUsed/>
    <w:rsid w:val="001337DA"/>
    <w:rPr>
      <w:sz w:val="16"/>
      <w:szCs w:val="16"/>
    </w:rPr>
  </w:style>
  <w:style w:type="paragraph" w:styleId="CommentText">
    <w:name w:val="annotation text"/>
    <w:basedOn w:val="Normal"/>
    <w:link w:val="CommentTextChar"/>
    <w:uiPriority w:val="99"/>
    <w:semiHidden/>
    <w:unhideWhenUsed/>
    <w:rsid w:val="001337DA"/>
    <w:pPr>
      <w:spacing w:line="240" w:lineRule="auto"/>
    </w:pPr>
    <w:rPr>
      <w:sz w:val="20"/>
      <w:szCs w:val="20"/>
    </w:rPr>
  </w:style>
  <w:style w:type="character" w:customStyle="1" w:styleId="CommentTextChar">
    <w:name w:val="Comment Text Char"/>
    <w:basedOn w:val="DefaultParagraphFont"/>
    <w:link w:val="CommentText"/>
    <w:uiPriority w:val="99"/>
    <w:semiHidden/>
    <w:rsid w:val="001337DA"/>
    <w:rPr>
      <w:rFonts w:ascii="Calibri" w:eastAsia="Times New Roman" w:hAnsi="Calibri"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1337DA"/>
    <w:rPr>
      <w:b/>
      <w:bCs/>
    </w:rPr>
  </w:style>
  <w:style w:type="character" w:customStyle="1" w:styleId="CommentSubjectChar">
    <w:name w:val="Comment Subject Char"/>
    <w:basedOn w:val="CommentTextChar"/>
    <w:link w:val="CommentSubject"/>
    <w:uiPriority w:val="99"/>
    <w:semiHidden/>
    <w:rsid w:val="001337DA"/>
    <w:rPr>
      <w:b/>
      <w:bCs/>
    </w:rPr>
  </w:style>
  <w:style w:type="paragraph" w:customStyle="1" w:styleId="Noparagraphstyle">
    <w:name w:val="[No paragraph style]"/>
    <w:rsid w:val="00580CC8"/>
    <w:pPr>
      <w:widowControl w:val="0"/>
      <w:autoSpaceDE w:val="0"/>
      <w:autoSpaceDN w:val="0"/>
      <w:adjustRightInd w:val="0"/>
      <w:spacing w:after="0" w:line="288" w:lineRule="auto"/>
      <w:textAlignment w:val="center"/>
    </w:pPr>
    <w:rPr>
      <w:rFonts w:ascii="Times-Roman" w:eastAsia="Times New Roman" w:hAnsi="Times-Roman" w:cs="Times New Roman"/>
      <w:color w:val="000000"/>
      <w:sz w:val="24"/>
      <w:szCs w:val="24"/>
      <w:lang w:val="en-GB"/>
    </w:rPr>
  </w:style>
  <w:style w:type="paragraph" w:styleId="PlainText">
    <w:name w:val="Plain Text"/>
    <w:basedOn w:val="Normal"/>
    <w:link w:val="PlainTextChar"/>
    <w:uiPriority w:val="99"/>
    <w:unhideWhenUsed/>
    <w:rsid w:val="00271EAA"/>
    <w:pPr>
      <w:spacing w:after="0" w:line="240" w:lineRule="auto"/>
    </w:pPr>
    <w:rPr>
      <w:rFonts w:ascii="Consolas" w:eastAsiaTheme="minorHAnsi" w:hAnsi="Consolas" w:cstheme="minorBidi"/>
      <w:sz w:val="21"/>
      <w:szCs w:val="21"/>
      <w:lang w:val="en-AU" w:bidi="ar-SA"/>
    </w:rPr>
  </w:style>
  <w:style w:type="character" w:customStyle="1" w:styleId="PlainTextChar">
    <w:name w:val="Plain Text Char"/>
    <w:basedOn w:val="DefaultParagraphFont"/>
    <w:link w:val="PlainText"/>
    <w:uiPriority w:val="99"/>
    <w:rsid w:val="00271EAA"/>
    <w:rPr>
      <w:rFonts w:ascii="Consolas" w:hAnsi="Consolas"/>
      <w:sz w:val="21"/>
      <w:szCs w:val="21"/>
    </w:rPr>
  </w:style>
  <w:style w:type="table" w:styleId="MediumList2-Accent5">
    <w:name w:val="Medium List 2 Accent 5"/>
    <w:basedOn w:val="TableNormal"/>
    <w:uiPriority w:val="66"/>
    <w:rsid w:val="0033604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5">
    <w:name w:val="Medium Grid 2 Accent 5"/>
    <w:basedOn w:val="TableNormal"/>
    <w:uiPriority w:val="68"/>
    <w:rsid w:val="0033604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olorfulGrid-Accent5">
    <w:name w:val="Colorful Grid Accent 5"/>
    <w:basedOn w:val="TableNormal"/>
    <w:uiPriority w:val="73"/>
    <w:rsid w:val="0033604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customStyle="1" w:styleId="CM46">
    <w:name w:val="CM46"/>
    <w:basedOn w:val="Normal"/>
    <w:next w:val="Normal"/>
    <w:uiPriority w:val="99"/>
    <w:rsid w:val="0067514C"/>
    <w:pPr>
      <w:widowControl w:val="0"/>
      <w:autoSpaceDE w:val="0"/>
      <w:autoSpaceDN w:val="0"/>
      <w:adjustRightInd w:val="0"/>
      <w:spacing w:after="0" w:line="240" w:lineRule="auto"/>
    </w:pPr>
    <w:rPr>
      <w:rFonts w:ascii="Times New Roman" w:eastAsiaTheme="minorEastAsia" w:hAnsi="Times New Roman"/>
      <w:sz w:val="24"/>
      <w:szCs w:val="24"/>
      <w:lang w:val="en-AU" w:eastAsia="en-AU" w:bidi="ar-SA"/>
    </w:rPr>
  </w:style>
  <w:style w:type="paragraph" w:customStyle="1" w:styleId="CM49">
    <w:name w:val="CM49"/>
    <w:basedOn w:val="Normal"/>
    <w:next w:val="Normal"/>
    <w:uiPriority w:val="99"/>
    <w:rsid w:val="0067514C"/>
    <w:pPr>
      <w:widowControl w:val="0"/>
      <w:autoSpaceDE w:val="0"/>
      <w:autoSpaceDN w:val="0"/>
      <w:adjustRightInd w:val="0"/>
      <w:spacing w:after="0" w:line="240" w:lineRule="auto"/>
    </w:pPr>
    <w:rPr>
      <w:rFonts w:ascii="Times New Roman" w:eastAsiaTheme="minorEastAsia" w:hAnsi="Times New Roman"/>
      <w:sz w:val="24"/>
      <w:szCs w:val="24"/>
      <w:lang w:val="en-AU" w:eastAsia="en-AU" w:bidi="ar-SA"/>
    </w:rPr>
  </w:style>
  <w:style w:type="paragraph" w:customStyle="1" w:styleId="Standaard">
    <w:name w:val="Standaard"/>
    <w:basedOn w:val="Default"/>
    <w:next w:val="Default"/>
    <w:uiPriority w:val="99"/>
    <w:rsid w:val="0067514C"/>
    <w:pPr>
      <w:widowControl/>
      <w:spacing w:after="0" w:line="240" w:lineRule="auto"/>
    </w:pPr>
    <w:rPr>
      <w:rFonts w:eastAsiaTheme="minorHAnsi"/>
      <w:color w:val="auto"/>
      <w:lang w:val="en-AU" w:bidi="ar-SA"/>
    </w:rPr>
  </w:style>
  <w:style w:type="paragraph" w:customStyle="1" w:styleId="Kop1">
    <w:name w:val="Kop 1"/>
    <w:basedOn w:val="Default"/>
    <w:next w:val="Default"/>
    <w:uiPriority w:val="99"/>
    <w:rsid w:val="0067514C"/>
    <w:pPr>
      <w:widowControl/>
      <w:spacing w:after="0" w:line="240" w:lineRule="auto"/>
    </w:pPr>
    <w:rPr>
      <w:rFonts w:eastAsiaTheme="minorHAnsi"/>
      <w:color w:val="auto"/>
      <w:lang w:val="en-AU" w:bidi="ar-SA"/>
    </w:rPr>
  </w:style>
  <w:style w:type="character" w:customStyle="1" w:styleId="st1">
    <w:name w:val="st1"/>
    <w:basedOn w:val="DefaultParagraphFont"/>
    <w:rsid w:val="0067514C"/>
  </w:style>
  <w:style w:type="paragraph" w:customStyle="1" w:styleId="sftext">
    <w:name w:val="sftext"/>
    <w:basedOn w:val="Normal"/>
    <w:rsid w:val="0067514C"/>
    <w:pPr>
      <w:spacing w:before="100" w:beforeAutospacing="1" w:after="100" w:afterAutospacing="1" w:line="240" w:lineRule="auto"/>
    </w:pPr>
    <w:rPr>
      <w:rFonts w:ascii="Times New Roman" w:hAnsi="Times New Roman"/>
      <w:sz w:val="24"/>
      <w:szCs w:val="24"/>
      <w:lang w:val="en-AU" w:eastAsia="en-AU" w:bidi="ar-SA"/>
    </w:rPr>
  </w:style>
  <w:style w:type="paragraph" w:styleId="z-TopofForm">
    <w:name w:val="HTML Top of Form"/>
    <w:basedOn w:val="Normal"/>
    <w:next w:val="Normal"/>
    <w:link w:val="z-TopofFormChar"/>
    <w:hidden/>
    <w:uiPriority w:val="99"/>
    <w:semiHidden/>
    <w:unhideWhenUsed/>
    <w:rsid w:val="0067514C"/>
    <w:pPr>
      <w:pBdr>
        <w:bottom w:val="single" w:sz="6" w:space="1" w:color="auto"/>
      </w:pBdr>
      <w:spacing w:after="0" w:line="240" w:lineRule="auto"/>
      <w:jc w:val="center"/>
    </w:pPr>
    <w:rPr>
      <w:rFonts w:ascii="Arial" w:hAnsi="Arial" w:cs="Arial"/>
      <w:vanish/>
      <w:sz w:val="16"/>
      <w:szCs w:val="16"/>
      <w:lang w:val="en-AU" w:eastAsia="en-AU" w:bidi="ar-SA"/>
    </w:rPr>
  </w:style>
  <w:style w:type="character" w:customStyle="1" w:styleId="z-TopofFormChar">
    <w:name w:val="z-Top of Form Char"/>
    <w:basedOn w:val="DefaultParagraphFont"/>
    <w:link w:val="z-TopofForm"/>
    <w:uiPriority w:val="99"/>
    <w:semiHidden/>
    <w:rsid w:val="0067514C"/>
    <w:rPr>
      <w:rFonts w:ascii="Arial" w:eastAsia="Times New Roman" w:hAnsi="Arial" w:cs="Arial"/>
      <w:vanish/>
      <w:sz w:val="16"/>
      <w:szCs w:val="16"/>
      <w:lang w:eastAsia="en-AU"/>
    </w:rPr>
  </w:style>
  <w:style w:type="paragraph" w:styleId="z-BottomofForm">
    <w:name w:val="HTML Bottom of Form"/>
    <w:basedOn w:val="Normal"/>
    <w:next w:val="Normal"/>
    <w:link w:val="z-BottomofFormChar"/>
    <w:hidden/>
    <w:uiPriority w:val="99"/>
    <w:semiHidden/>
    <w:unhideWhenUsed/>
    <w:rsid w:val="0067514C"/>
    <w:pPr>
      <w:pBdr>
        <w:top w:val="single" w:sz="6" w:space="1" w:color="auto"/>
      </w:pBdr>
      <w:spacing w:after="0" w:line="240" w:lineRule="auto"/>
      <w:jc w:val="center"/>
    </w:pPr>
    <w:rPr>
      <w:rFonts w:ascii="Arial" w:hAnsi="Arial" w:cs="Arial"/>
      <w:vanish/>
      <w:sz w:val="16"/>
      <w:szCs w:val="16"/>
      <w:lang w:val="en-AU" w:eastAsia="en-AU" w:bidi="ar-SA"/>
    </w:rPr>
  </w:style>
  <w:style w:type="character" w:customStyle="1" w:styleId="z-BottomofFormChar">
    <w:name w:val="z-Bottom of Form Char"/>
    <w:basedOn w:val="DefaultParagraphFont"/>
    <w:link w:val="z-BottomofForm"/>
    <w:uiPriority w:val="99"/>
    <w:semiHidden/>
    <w:rsid w:val="0067514C"/>
    <w:rPr>
      <w:rFonts w:ascii="Arial" w:eastAsia="Times New Roman" w:hAnsi="Arial" w:cs="Arial"/>
      <w:vanish/>
      <w:sz w:val="16"/>
      <w:szCs w:val="16"/>
      <w:lang w:eastAsia="en-AU"/>
    </w:rPr>
  </w:style>
  <w:style w:type="table" w:customStyle="1" w:styleId="MediumShading21">
    <w:name w:val="Medium Shading 21"/>
    <w:basedOn w:val="TableNormal"/>
    <w:uiPriority w:val="64"/>
    <w:rsid w:val="0067514C"/>
    <w:pPr>
      <w:spacing w:after="0" w:line="240" w:lineRule="auto"/>
      <w:jc w:val="both"/>
    </w:pPr>
    <w:rPr>
      <w:sz w:val="20"/>
      <w:szCs w:val="20"/>
      <w:lang w:val="en-US"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7514C"/>
    <w:pPr>
      <w:spacing w:after="0" w:line="240" w:lineRule="auto"/>
      <w:jc w:val="both"/>
    </w:pPr>
    <w:rPr>
      <w:sz w:val="20"/>
      <w:szCs w:val="20"/>
      <w:lang w:val="en-US"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Title1">
    <w:name w:val="Title1"/>
    <w:basedOn w:val="Title"/>
    <w:rsid w:val="0067514C"/>
    <w:pPr>
      <w:pBdr>
        <w:bottom w:val="none" w:sz="0" w:space="0" w:color="auto"/>
      </w:pBdr>
      <w:tabs>
        <w:tab w:val="left" w:pos="330"/>
        <w:tab w:val="center" w:pos="4156"/>
      </w:tabs>
      <w:spacing w:after="120"/>
      <w:contextualSpacing w:val="0"/>
      <w:jc w:val="center"/>
      <w:outlineLvl w:val="0"/>
    </w:pPr>
    <w:rPr>
      <w:rFonts w:ascii="Gill Sans MT" w:hAnsi="Gill Sans MT" w:cs="Arial"/>
      <w:b/>
      <w:bCs/>
      <w:smallCaps/>
      <w:shadow/>
      <w:spacing w:val="0"/>
      <w:kern w:val="28"/>
      <w:sz w:val="36"/>
      <w:szCs w:val="32"/>
      <w:lang w:val="en-AU" w:bidi="ar-SA"/>
    </w:rPr>
  </w:style>
  <w:style w:type="table" w:styleId="MediumGrid3-Accent5">
    <w:name w:val="Medium Grid 3 Accent 5"/>
    <w:basedOn w:val="TableNormal"/>
    <w:uiPriority w:val="69"/>
    <w:rsid w:val="00FF5B7D"/>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DIERBodyText">
    <w:name w:val="DIERBodyText"/>
    <w:basedOn w:val="Normal"/>
    <w:rsid w:val="00AF66CF"/>
    <w:pPr>
      <w:spacing w:after="300" w:line="240" w:lineRule="auto"/>
      <w:jc w:val="both"/>
    </w:pPr>
    <w:rPr>
      <w:rFonts w:ascii="Arial" w:hAnsi="Arial"/>
      <w:szCs w:val="20"/>
      <w:lang w:val="en-AU" w:bidi="ar-SA"/>
    </w:rPr>
  </w:style>
  <w:style w:type="paragraph" w:customStyle="1" w:styleId="Pa3">
    <w:name w:val="Pa3"/>
    <w:basedOn w:val="Normal"/>
    <w:next w:val="Normal"/>
    <w:uiPriority w:val="99"/>
    <w:rsid w:val="00AF66CF"/>
    <w:pPr>
      <w:autoSpaceDE w:val="0"/>
      <w:autoSpaceDN w:val="0"/>
      <w:adjustRightInd w:val="0"/>
      <w:spacing w:after="0" w:line="241" w:lineRule="atLeast"/>
    </w:pPr>
    <w:rPr>
      <w:rFonts w:ascii="HelveticaNeueLT Std Med" w:eastAsiaTheme="minorHAnsi" w:hAnsi="HelveticaNeueLT Std Med" w:cstheme="minorBidi"/>
      <w:sz w:val="24"/>
      <w:szCs w:val="24"/>
      <w:lang w:val="en-AU" w:bidi="ar-SA"/>
    </w:rPr>
  </w:style>
  <w:style w:type="character" w:customStyle="1" w:styleId="A5">
    <w:name w:val="A5"/>
    <w:uiPriority w:val="99"/>
    <w:rsid w:val="00AF66CF"/>
    <w:rPr>
      <w:rFonts w:cs="HelveticaNeueLT Std Med"/>
      <w:color w:val="000000"/>
      <w:sz w:val="20"/>
      <w:szCs w:val="20"/>
    </w:rPr>
  </w:style>
</w:styles>
</file>

<file path=word/webSettings.xml><?xml version="1.0" encoding="utf-8"?>
<w:webSettings xmlns:r="http://schemas.openxmlformats.org/officeDocument/2006/relationships" xmlns:w="http://schemas.openxmlformats.org/wordprocessingml/2006/main">
  <w:divs>
    <w:div w:id="300890043">
      <w:bodyDiv w:val="1"/>
      <w:marLeft w:val="0"/>
      <w:marRight w:val="0"/>
      <w:marTop w:val="0"/>
      <w:marBottom w:val="0"/>
      <w:divBdr>
        <w:top w:val="none" w:sz="0" w:space="0" w:color="auto"/>
        <w:left w:val="none" w:sz="0" w:space="0" w:color="auto"/>
        <w:bottom w:val="none" w:sz="0" w:space="0" w:color="auto"/>
        <w:right w:val="none" w:sz="0" w:space="0" w:color="auto"/>
      </w:divBdr>
      <w:divsChild>
        <w:div w:id="1418483632">
          <w:marLeft w:val="0"/>
          <w:marRight w:val="0"/>
          <w:marTop w:val="0"/>
          <w:marBottom w:val="0"/>
          <w:divBdr>
            <w:top w:val="none" w:sz="0" w:space="0" w:color="auto"/>
            <w:left w:val="none" w:sz="0" w:space="0" w:color="auto"/>
            <w:bottom w:val="none" w:sz="0" w:space="0" w:color="auto"/>
            <w:right w:val="none" w:sz="0" w:space="0" w:color="auto"/>
          </w:divBdr>
          <w:divsChild>
            <w:div w:id="409350269">
              <w:marLeft w:val="254"/>
              <w:marRight w:val="226"/>
              <w:marTop w:val="28"/>
              <w:marBottom w:val="0"/>
              <w:divBdr>
                <w:top w:val="none" w:sz="0" w:space="0" w:color="auto"/>
                <w:left w:val="none" w:sz="0" w:space="0" w:color="auto"/>
                <w:bottom w:val="none" w:sz="0" w:space="0" w:color="auto"/>
                <w:right w:val="none" w:sz="0" w:space="0" w:color="auto"/>
              </w:divBdr>
              <w:divsChild>
                <w:div w:id="185219196">
                  <w:marLeft w:val="0"/>
                  <w:marRight w:val="0"/>
                  <w:marTop w:val="0"/>
                  <w:marBottom w:val="0"/>
                  <w:divBdr>
                    <w:top w:val="none" w:sz="0" w:space="0" w:color="auto"/>
                    <w:left w:val="none" w:sz="0" w:space="0" w:color="auto"/>
                    <w:bottom w:val="none" w:sz="0" w:space="0" w:color="auto"/>
                    <w:right w:val="none" w:sz="0" w:space="0" w:color="auto"/>
                  </w:divBdr>
                  <w:divsChild>
                    <w:div w:id="102991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microsoft.com/office/2007/relationships/diagramDrawing" Target="diagrams/drawing3.xm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chart" Target="charts/chart3.xml"/><Relationship Id="rId34" Type="http://schemas.openxmlformats.org/officeDocument/2006/relationships/chart" Target="charts/chart11.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diagramColors" Target="diagrams/colors3.xml"/><Relationship Id="rId33" Type="http://schemas.openxmlformats.org/officeDocument/2006/relationships/chart" Target="charts/chart10.xm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chart" Target="charts/chart6.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diagramQuickStyle" Target="diagrams/quickStyle3.xml"/><Relationship Id="rId32" Type="http://schemas.openxmlformats.org/officeDocument/2006/relationships/chart" Target="charts/chart9.xml"/><Relationship Id="rId37" Type="http://schemas.openxmlformats.org/officeDocument/2006/relationships/chart" Target="charts/chart13.xml"/><Relationship Id="rId40" Type="http://schemas.openxmlformats.org/officeDocument/2006/relationships/footer" Target="footer2.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diagramLayout" Target="diagrams/layout3.xml"/><Relationship Id="rId28" Type="http://schemas.openxmlformats.org/officeDocument/2006/relationships/chart" Target="charts/chart5.xml"/><Relationship Id="rId36" Type="http://schemas.openxmlformats.org/officeDocument/2006/relationships/image" Target="media/image2.gif"/><Relationship Id="rId10" Type="http://schemas.openxmlformats.org/officeDocument/2006/relationships/chart" Target="charts/chart2.xml"/><Relationship Id="rId19" Type="http://schemas.openxmlformats.org/officeDocument/2006/relationships/diagramColors" Target="diagrams/colors2.xml"/><Relationship Id="rId31"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diagramColors" Target="diagrams/colors1.xml"/><Relationship Id="rId22" Type="http://schemas.openxmlformats.org/officeDocument/2006/relationships/diagramData" Target="diagrams/data3.xml"/><Relationship Id="rId27" Type="http://schemas.openxmlformats.org/officeDocument/2006/relationships/chart" Target="charts/chart4.xml"/><Relationship Id="rId30" Type="http://schemas.openxmlformats.org/officeDocument/2006/relationships/chart" Target="charts/chart7.xml"/><Relationship Id="rId35" Type="http://schemas.openxmlformats.org/officeDocument/2006/relationships/chart" Target="charts/chart12.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a-gavlik\Desktop\ROAD%20SAFETY%20ADVISORY%20COUNCIL\Unlicenced\July%202012%20Request%20-%20Reports%201%20to%206%20(2).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Documents%20and%20Settings\a-gavlik\Desktop\Unlicenced\reckless%20driving.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Documents%20and%20Settings\a-gavlik\Desktop\ROAD%20SAFETY%20ADVISORY%20COUNCIL\ONGOING%20PROJECTS\Recidivism\unlicensed%20drivers-riders%20in%20cas%20crashes%201998-2011%200207201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Documents%20and%20Settings\a-gavlik\Desktop\ROAD%20SAFETY%20ADVISORY%20COUNCIL\ONGOING%20PROJECTS\Recidivism\unlicensed%20drivers-riders%20in%20cas%20crashes%201998-2011%200207201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Documents%20and%20Settings\a-gavlik\Desktop\year%20of%20manufacture%20inclu%20unreg%202007-201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a-gavlik\Desktop\Unlicenced\July%202012%20Request%20-%20Reports%201%20to%206%20(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a-gavlik\Desktop\Unlicenced\July%202012%20Request%20-%20Reports%201%20to%206%20(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a-gavlik\Desktop\Unlicenced\July%202012%20Request%20-%20Reports%201%20to%206%20(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a-gavlik\Desktop\ROAD%20SAFETY%20ADVISORY%20COUNCIL\Unlicenced\July%202012%20Request%20-%20Reports%201%20to%206%20(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a-gavlik\Desktop\Unlicenced\July%202012%20Request%20-%20Reports%201%20to%206%20(2).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ocuments%20and%20Settings\a-gavlik\Desktop\unli.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Documents%20and%20Settings\a-gavlik\Desktop\unli.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Documents%20and%20Settings\a-gavlik\Desktop\unl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AU"/>
  <c:style val="15"/>
  <c:chart>
    <c:title>
      <c:tx>
        <c:rich>
          <a:bodyPr/>
          <a:lstStyle/>
          <a:p>
            <a:pPr algn="r">
              <a:defRPr/>
            </a:pPr>
            <a:r>
              <a:rPr lang="en-US" sz="1100"/>
              <a:t>CURRENT LICENCES </a:t>
            </a:r>
          </a:p>
          <a:p>
            <a:pPr algn="r">
              <a:defRPr/>
            </a:pPr>
            <a:r>
              <a:rPr lang="en-US" sz="1100"/>
              <a:t>AS AT 31ST DECEMBER 2011</a:t>
            </a:r>
          </a:p>
        </c:rich>
      </c:tx>
      <c:layout>
        <c:manualLayout>
          <c:xMode val="edge"/>
          <c:yMode val="edge"/>
          <c:x val="0.61284145299145765"/>
          <c:y val="0"/>
        </c:manualLayout>
      </c:layout>
    </c:title>
    <c:plotArea>
      <c:layout/>
      <c:barChart>
        <c:barDir val="col"/>
        <c:grouping val="clustered"/>
        <c:ser>
          <c:idx val="0"/>
          <c:order val="0"/>
          <c:tx>
            <c:strRef>
              <c:f>'Report 1'!$A$1</c:f>
              <c:strCache>
                <c:ptCount val="1"/>
                <c:pt idx="0">
                  <c:v>CURRENT LICENCES (CARDS/PEOPLE) AS AT 31ST DECEMBER 2011</c:v>
                </c:pt>
              </c:strCache>
            </c:strRef>
          </c:tx>
          <c:cat>
            <c:strRef>
              <c:f>'Report 1'!$A$22:$A$24</c:f>
              <c:strCache>
                <c:ptCount val="3"/>
                <c:pt idx="0">
                  <c:v>FULL</c:v>
                </c:pt>
                <c:pt idx="1">
                  <c:v>PROVISIONAL</c:v>
                </c:pt>
                <c:pt idx="2">
                  <c:v>LEARNER</c:v>
                </c:pt>
              </c:strCache>
            </c:strRef>
          </c:cat>
          <c:val>
            <c:numRef>
              <c:f>'Report 1'!$B$22:$B$24</c:f>
              <c:numCache>
                <c:formatCode>#,##0</c:formatCode>
                <c:ptCount val="3"/>
                <c:pt idx="0">
                  <c:v>328458</c:v>
                </c:pt>
                <c:pt idx="1">
                  <c:v>16507</c:v>
                </c:pt>
                <c:pt idx="2">
                  <c:v>20054</c:v>
                </c:pt>
              </c:numCache>
            </c:numRef>
          </c:val>
        </c:ser>
        <c:gapWidth val="75"/>
        <c:overlap val="-25"/>
        <c:axId val="187976320"/>
        <c:axId val="22307200"/>
      </c:barChart>
      <c:catAx>
        <c:axId val="187976320"/>
        <c:scaling>
          <c:orientation val="minMax"/>
        </c:scaling>
        <c:axPos val="b"/>
        <c:majorTickMark val="none"/>
        <c:tickLblPos val="nextTo"/>
        <c:crossAx val="22307200"/>
        <c:crosses val="autoZero"/>
        <c:auto val="1"/>
        <c:lblAlgn val="ctr"/>
        <c:lblOffset val="100"/>
      </c:catAx>
      <c:valAx>
        <c:axId val="22307200"/>
        <c:scaling>
          <c:orientation val="minMax"/>
        </c:scaling>
        <c:axPos val="l"/>
        <c:majorGridlines/>
        <c:numFmt formatCode="#,##0" sourceLinked="1"/>
        <c:majorTickMark val="none"/>
        <c:tickLblPos val="nextTo"/>
        <c:spPr>
          <a:ln w="9525">
            <a:noFill/>
          </a:ln>
        </c:spPr>
        <c:crossAx val="187976320"/>
        <c:crosses val="autoZero"/>
        <c:crossBetween val="between"/>
      </c:valAx>
    </c:plotArea>
    <c:plotVisOnly val="1"/>
  </c:chart>
  <c:spPr>
    <a:ln>
      <a:noFill/>
    </a:ln>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AU"/>
  <c:style val="15"/>
  <c:chart>
    <c:title>
      <c:tx>
        <c:rich>
          <a:bodyPr/>
          <a:lstStyle/>
          <a:p>
            <a:pPr algn="r">
              <a:defRPr/>
            </a:pPr>
            <a:r>
              <a:rPr lang="en-US" sz="1100" cap="all" baseline="0"/>
              <a:t>Vehicles Clamped or Confiscated by Tasmania police </a:t>
            </a:r>
          </a:p>
          <a:p>
            <a:pPr algn="r">
              <a:defRPr/>
            </a:pPr>
            <a:r>
              <a:rPr lang="en-US" sz="1100" cap="all" baseline="0"/>
              <a:t>2007 - 2011</a:t>
            </a:r>
          </a:p>
        </c:rich>
      </c:tx>
      <c:layout>
        <c:manualLayout>
          <c:xMode val="edge"/>
          <c:yMode val="edge"/>
          <c:x val="0.22505088885873253"/>
          <c:y val="4.8547315929240463E-2"/>
        </c:manualLayout>
      </c:layout>
    </c:title>
    <c:plotArea>
      <c:layout/>
      <c:barChart>
        <c:barDir val="col"/>
        <c:grouping val="clustered"/>
        <c:ser>
          <c:idx val="0"/>
          <c:order val="0"/>
          <c:tx>
            <c:strRef>
              <c:f>Sheet1!$B$17</c:f>
              <c:strCache>
                <c:ptCount val="1"/>
                <c:pt idx="0">
                  <c:v>Vehicles Clamped or Confiscated</c:v>
                </c:pt>
              </c:strCache>
            </c:strRef>
          </c:tx>
          <c:cat>
            <c:numRef>
              <c:f>Sheet1!$B$18:$B$22</c:f>
              <c:numCache>
                <c:formatCode>General</c:formatCode>
                <c:ptCount val="5"/>
                <c:pt idx="0">
                  <c:v>2007</c:v>
                </c:pt>
                <c:pt idx="1">
                  <c:v>2008</c:v>
                </c:pt>
                <c:pt idx="2">
                  <c:v>2009</c:v>
                </c:pt>
                <c:pt idx="3">
                  <c:v>2010</c:v>
                </c:pt>
                <c:pt idx="4">
                  <c:v>2011</c:v>
                </c:pt>
              </c:numCache>
            </c:numRef>
          </c:cat>
          <c:val>
            <c:numRef>
              <c:f>Sheet1!$C$18:$C$22</c:f>
              <c:numCache>
                <c:formatCode>General</c:formatCode>
                <c:ptCount val="5"/>
                <c:pt idx="0">
                  <c:v>271</c:v>
                </c:pt>
                <c:pt idx="1">
                  <c:v>201</c:v>
                </c:pt>
                <c:pt idx="2">
                  <c:v>284</c:v>
                </c:pt>
                <c:pt idx="3">
                  <c:v>638</c:v>
                </c:pt>
                <c:pt idx="4">
                  <c:v>810</c:v>
                </c:pt>
              </c:numCache>
            </c:numRef>
          </c:val>
        </c:ser>
        <c:axId val="190205952"/>
        <c:axId val="190207488"/>
      </c:barChart>
      <c:catAx>
        <c:axId val="190205952"/>
        <c:scaling>
          <c:orientation val="minMax"/>
        </c:scaling>
        <c:axPos val="b"/>
        <c:numFmt formatCode="General" sourceLinked="1"/>
        <c:tickLblPos val="nextTo"/>
        <c:crossAx val="190207488"/>
        <c:crosses val="autoZero"/>
        <c:auto val="1"/>
        <c:lblAlgn val="ctr"/>
        <c:lblOffset val="100"/>
      </c:catAx>
      <c:valAx>
        <c:axId val="190207488"/>
        <c:scaling>
          <c:orientation val="minMax"/>
        </c:scaling>
        <c:axPos val="l"/>
        <c:majorGridlines/>
        <c:numFmt formatCode="General" sourceLinked="1"/>
        <c:tickLblPos val="nextTo"/>
        <c:crossAx val="190205952"/>
        <c:crosses val="autoZero"/>
        <c:crossBetween val="between"/>
      </c:valAx>
    </c:plotArea>
    <c:plotVisOnly val="1"/>
  </c:chart>
  <c:spPr>
    <a:ln>
      <a:noFill/>
    </a:ln>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AU"/>
  <c:style val="15"/>
  <c:chart>
    <c:title>
      <c:tx>
        <c:rich>
          <a:bodyPr/>
          <a:lstStyle/>
          <a:p>
            <a:pPr algn="r">
              <a:defRPr/>
            </a:pPr>
            <a:r>
              <a:rPr lang="en-AU" sz="1100"/>
              <a:t>UNLICENCED DRIVERS </a:t>
            </a:r>
            <a:r>
              <a:rPr lang="en-AU" sz="1100" baseline="0"/>
              <a:t>IN</a:t>
            </a:r>
            <a:endParaRPr lang="en-AU" sz="1100"/>
          </a:p>
          <a:p>
            <a:pPr algn="r">
              <a:defRPr/>
            </a:pPr>
            <a:r>
              <a:rPr lang="en-AU" sz="1100"/>
              <a:t>SERIOUS AND FATAL CRASHES</a:t>
            </a:r>
          </a:p>
        </c:rich>
      </c:tx>
      <c:layout>
        <c:manualLayout>
          <c:xMode val="edge"/>
          <c:yMode val="edge"/>
          <c:x val="0.64097166666666872"/>
          <c:y val="3.7725383865067699E-2"/>
        </c:manualLayout>
      </c:layout>
    </c:title>
    <c:plotArea>
      <c:layout/>
      <c:lineChart>
        <c:grouping val="standard"/>
        <c:ser>
          <c:idx val="0"/>
          <c:order val="0"/>
          <c:tx>
            <c:strRef>
              <c:f>'Sheet 1'!$A$5</c:f>
              <c:strCache>
                <c:ptCount val="1"/>
                <c:pt idx="0">
                  <c:v>Fatal</c:v>
                </c:pt>
              </c:strCache>
            </c:strRef>
          </c:tx>
          <c:marker>
            <c:symbol val="none"/>
          </c:marker>
          <c:cat>
            <c:strRef>
              <c:f>'Sheet 1'!$B$4:$O$4</c:f>
              <c:strCache>
                <c:ptCount val="14"/>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strCache>
            </c:strRef>
          </c:cat>
          <c:val>
            <c:numRef>
              <c:f>'Sheet 1'!$B$5:$O$5</c:f>
              <c:numCache>
                <c:formatCode>General</c:formatCode>
                <c:ptCount val="14"/>
                <c:pt idx="0">
                  <c:v>1</c:v>
                </c:pt>
                <c:pt idx="1">
                  <c:v>2</c:v>
                </c:pt>
                <c:pt idx="2">
                  <c:v>1</c:v>
                </c:pt>
                <c:pt idx="3">
                  <c:v>5</c:v>
                </c:pt>
                <c:pt idx="4">
                  <c:v>0</c:v>
                </c:pt>
                <c:pt idx="5">
                  <c:v>2</c:v>
                </c:pt>
                <c:pt idx="6">
                  <c:v>3</c:v>
                </c:pt>
                <c:pt idx="7">
                  <c:v>6</c:v>
                </c:pt>
                <c:pt idx="8">
                  <c:v>5</c:v>
                </c:pt>
                <c:pt idx="9">
                  <c:v>8</c:v>
                </c:pt>
                <c:pt idx="10">
                  <c:v>9</c:v>
                </c:pt>
                <c:pt idx="11">
                  <c:v>12</c:v>
                </c:pt>
                <c:pt idx="12">
                  <c:v>4</c:v>
                </c:pt>
                <c:pt idx="13">
                  <c:v>2</c:v>
                </c:pt>
              </c:numCache>
            </c:numRef>
          </c:val>
        </c:ser>
        <c:ser>
          <c:idx val="1"/>
          <c:order val="1"/>
          <c:tx>
            <c:strRef>
              <c:f>'Sheet 1'!$A$6</c:f>
              <c:strCache>
                <c:ptCount val="1"/>
                <c:pt idx="0">
                  <c:v>Serious</c:v>
                </c:pt>
              </c:strCache>
            </c:strRef>
          </c:tx>
          <c:marker>
            <c:symbol val="none"/>
          </c:marker>
          <c:cat>
            <c:strRef>
              <c:f>'Sheet 1'!$B$4:$O$4</c:f>
              <c:strCache>
                <c:ptCount val="14"/>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strCache>
            </c:strRef>
          </c:cat>
          <c:val>
            <c:numRef>
              <c:f>'Sheet 1'!$B$6:$O$6</c:f>
              <c:numCache>
                <c:formatCode>General</c:formatCode>
                <c:ptCount val="14"/>
                <c:pt idx="0">
                  <c:v>10</c:v>
                </c:pt>
                <c:pt idx="1">
                  <c:v>10</c:v>
                </c:pt>
                <c:pt idx="2">
                  <c:v>12</c:v>
                </c:pt>
                <c:pt idx="3">
                  <c:v>20</c:v>
                </c:pt>
                <c:pt idx="4">
                  <c:v>11</c:v>
                </c:pt>
                <c:pt idx="5">
                  <c:v>20</c:v>
                </c:pt>
                <c:pt idx="6">
                  <c:v>10</c:v>
                </c:pt>
                <c:pt idx="7">
                  <c:v>22</c:v>
                </c:pt>
                <c:pt idx="8">
                  <c:v>39</c:v>
                </c:pt>
                <c:pt idx="9">
                  <c:v>28</c:v>
                </c:pt>
                <c:pt idx="10">
                  <c:v>33</c:v>
                </c:pt>
                <c:pt idx="11">
                  <c:v>31</c:v>
                </c:pt>
                <c:pt idx="12">
                  <c:v>24</c:v>
                </c:pt>
                <c:pt idx="13">
                  <c:v>29</c:v>
                </c:pt>
              </c:numCache>
            </c:numRef>
          </c:val>
        </c:ser>
        <c:marker val="1"/>
        <c:axId val="190216832"/>
        <c:axId val="190992768"/>
      </c:lineChart>
      <c:catAx>
        <c:axId val="190216832"/>
        <c:scaling>
          <c:orientation val="minMax"/>
        </c:scaling>
        <c:axPos val="b"/>
        <c:majorTickMark val="none"/>
        <c:tickLblPos val="nextTo"/>
        <c:crossAx val="190992768"/>
        <c:crosses val="autoZero"/>
        <c:auto val="1"/>
        <c:lblAlgn val="ctr"/>
        <c:lblOffset val="100"/>
      </c:catAx>
      <c:valAx>
        <c:axId val="190992768"/>
        <c:scaling>
          <c:orientation val="minMax"/>
        </c:scaling>
        <c:axPos val="l"/>
        <c:majorGridlines/>
        <c:numFmt formatCode="General" sourceLinked="1"/>
        <c:majorTickMark val="none"/>
        <c:tickLblPos val="nextTo"/>
        <c:crossAx val="190216832"/>
        <c:crosses val="autoZero"/>
        <c:crossBetween val="between"/>
      </c:valAx>
      <c:dTable>
        <c:showHorzBorder val="1"/>
        <c:showVertBorder val="1"/>
        <c:showOutline val="1"/>
        <c:showKeys val="1"/>
      </c:dTable>
    </c:plotArea>
    <c:plotVisOnly val="1"/>
  </c:chart>
  <c:spPr>
    <a:ln>
      <a:noFill/>
    </a:ln>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AU"/>
  <c:style val="15"/>
  <c:chart>
    <c:title>
      <c:tx>
        <c:rich>
          <a:bodyPr/>
          <a:lstStyle/>
          <a:p>
            <a:pPr algn="r">
              <a:defRPr/>
            </a:pPr>
            <a:r>
              <a:rPr lang="en-AU" sz="1400"/>
              <a:t>PROPORTION</a:t>
            </a:r>
            <a:r>
              <a:rPr lang="en-AU" sz="1400" baseline="0"/>
              <a:t> OF UNLICENCED DRIVERS </a:t>
            </a:r>
          </a:p>
          <a:p>
            <a:pPr algn="r">
              <a:defRPr/>
            </a:pPr>
            <a:r>
              <a:rPr lang="en-AU" sz="1000" baseline="0"/>
              <a:t>INVOLVED IN SERIOUS CASUALTY CRASHES  2008- 2011</a:t>
            </a:r>
          </a:p>
        </c:rich>
      </c:tx>
      <c:layout>
        <c:manualLayout>
          <c:xMode val="edge"/>
          <c:yMode val="edge"/>
          <c:x val="0.34302136752136758"/>
          <c:y val="6.1866599608134433E-2"/>
        </c:manualLayout>
      </c:layout>
    </c:title>
    <c:plotArea>
      <c:layout/>
      <c:barChart>
        <c:barDir val="bar"/>
        <c:grouping val="percentStacked"/>
        <c:ser>
          <c:idx val="0"/>
          <c:order val="0"/>
          <c:tx>
            <c:v>unlicenced</c:v>
          </c:tx>
          <c:cat>
            <c:strRef>
              <c:f>Sheet1!$B$1:$E$1</c:f>
              <c:strCache>
                <c:ptCount val="4"/>
                <c:pt idx="0">
                  <c:v>2008</c:v>
                </c:pt>
                <c:pt idx="1">
                  <c:v>2009</c:v>
                </c:pt>
                <c:pt idx="2">
                  <c:v>2010</c:v>
                </c:pt>
                <c:pt idx="3">
                  <c:v>2011</c:v>
                </c:pt>
              </c:strCache>
            </c:strRef>
          </c:cat>
          <c:val>
            <c:numRef>
              <c:f>Sheet1!$B$8:$E$8</c:f>
              <c:numCache>
                <c:formatCode>General</c:formatCode>
                <c:ptCount val="4"/>
                <c:pt idx="0">
                  <c:v>42</c:v>
                </c:pt>
                <c:pt idx="1">
                  <c:v>43</c:v>
                </c:pt>
                <c:pt idx="2">
                  <c:v>28</c:v>
                </c:pt>
                <c:pt idx="3">
                  <c:v>31</c:v>
                </c:pt>
              </c:numCache>
            </c:numRef>
          </c:val>
        </c:ser>
        <c:ser>
          <c:idx val="1"/>
          <c:order val="1"/>
          <c:tx>
            <c:v>licenced</c:v>
          </c:tx>
          <c:cat>
            <c:strRef>
              <c:f>Sheet1!$B$1:$E$1</c:f>
              <c:strCache>
                <c:ptCount val="4"/>
                <c:pt idx="0">
                  <c:v>2008</c:v>
                </c:pt>
                <c:pt idx="1">
                  <c:v>2009</c:v>
                </c:pt>
                <c:pt idx="2">
                  <c:v>2010</c:v>
                </c:pt>
                <c:pt idx="3">
                  <c:v>2011</c:v>
                </c:pt>
              </c:strCache>
            </c:strRef>
          </c:cat>
          <c:val>
            <c:numRef>
              <c:f>Sheet1!$B$9:$E$9</c:f>
              <c:numCache>
                <c:formatCode>General</c:formatCode>
                <c:ptCount val="4"/>
                <c:pt idx="0">
                  <c:v>316</c:v>
                </c:pt>
                <c:pt idx="1">
                  <c:v>353</c:v>
                </c:pt>
                <c:pt idx="2">
                  <c:v>289</c:v>
                </c:pt>
                <c:pt idx="3">
                  <c:v>301</c:v>
                </c:pt>
              </c:numCache>
            </c:numRef>
          </c:val>
        </c:ser>
        <c:dLbls>
          <c:showVal val="1"/>
        </c:dLbls>
        <c:gapWidth val="95"/>
        <c:overlap val="100"/>
        <c:axId val="191008128"/>
        <c:axId val="191014016"/>
      </c:barChart>
      <c:catAx>
        <c:axId val="191008128"/>
        <c:scaling>
          <c:orientation val="minMax"/>
        </c:scaling>
        <c:axPos val="l"/>
        <c:majorTickMark val="none"/>
        <c:tickLblPos val="nextTo"/>
        <c:crossAx val="191014016"/>
        <c:crosses val="autoZero"/>
        <c:auto val="1"/>
        <c:lblAlgn val="ctr"/>
        <c:lblOffset val="100"/>
      </c:catAx>
      <c:valAx>
        <c:axId val="191014016"/>
        <c:scaling>
          <c:orientation val="minMax"/>
        </c:scaling>
        <c:delete val="1"/>
        <c:axPos val="b"/>
        <c:numFmt formatCode="0%" sourceLinked="1"/>
        <c:tickLblPos val="none"/>
        <c:crossAx val="191008128"/>
        <c:crosses val="autoZero"/>
        <c:crossBetween val="between"/>
      </c:valAx>
    </c:plotArea>
    <c:legend>
      <c:legendPos val="t"/>
      <c:layout>
        <c:manualLayout>
          <c:xMode val="edge"/>
          <c:yMode val="edge"/>
          <c:x val="0.55280085470085472"/>
          <c:y val="0.25189588049352979"/>
          <c:w val="0.40476153846153495"/>
          <c:h val="0.14179585409387241"/>
        </c:manualLayout>
      </c:layout>
    </c:legend>
    <c:plotVisOnly val="1"/>
  </c:chart>
  <c:spPr>
    <a:ln>
      <a:noFill/>
    </a:ln>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AU"/>
  <c:style val="15"/>
  <c:chart>
    <c:title>
      <c:tx>
        <c:rich>
          <a:bodyPr/>
          <a:lstStyle/>
          <a:p>
            <a:pPr algn="r">
              <a:defRPr sz="1600" cap="all" baseline="0">
                <a:latin typeface="Calibri" pitchFamily="34" charset="0"/>
              </a:defRPr>
            </a:pPr>
            <a:r>
              <a:rPr lang="en-AU" sz="1600" cap="all" baseline="0">
                <a:latin typeface="Calibri" pitchFamily="34" charset="0"/>
              </a:rPr>
              <a:t>Unregistered vehicles by crash Severity  </a:t>
            </a:r>
          </a:p>
          <a:p>
            <a:pPr algn="r">
              <a:defRPr sz="1600" cap="all" baseline="0">
                <a:latin typeface="Calibri" pitchFamily="34" charset="0"/>
              </a:defRPr>
            </a:pPr>
            <a:r>
              <a:rPr lang="en-AU" sz="1600" cap="all" baseline="0">
                <a:latin typeface="Calibri" pitchFamily="34" charset="0"/>
              </a:rPr>
              <a:t>2007 - 2011</a:t>
            </a:r>
          </a:p>
        </c:rich>
      </c:tx>
      <c:layout>
        <c:manualLayout>
          <c:xMode val="edge"/>
          <c:yMode val="edge"/>
          <c:x val="0.31065673871054833"/>
          <c:y val="0"/>
        </c:manualLayout>
      </c:layout>
    </c:title>
    <c:plotArea>
      <c:layout/>
      <c:barChart>
        <c:barDir val="col"/>
        <c:grouping val="clustered"/>
        <c:ser>
          <c:idx val="0"/>
          <c:order val="0"/>
          <c:tx>
            <c:v>2007</c:v>
          </c:tx>
          <c:cat>
            <c:strRef>
              <c:f>Sheet2!$B$157:$F$157</c:f>
              <c:strCache>
                <c:ptCount val="5"/>
                <c:pt idx="0">
                  <c:v>Fatal</c:v>
                </c:pt>
                <c:pt idx="1">
                  <c:v>Serious</c:v>
                </c:pt>
                <c:pt idx="2">
                  <c:v>Minor</c:v>
                </c:pt>
                <c:pt idx="3">
                  <c:v>First Aid</c:v>
                </c:pt>
                <c:pt idx="4">
                  <c:v>Property Damage Only</c:v>
                </c:pt>
              </c:strCache>
            </c:strRef>
          </c:cat>
          <c:val>
            <c:numRef>
              <c:f>Sheet2!$B$40:$F$40</c:f>
              <c:numCache>
                <c:formatCode>General</c:formatCode>
                <c:ptCount val="5"/>
                <c:pt idx="0">
                  <c:v>0</c:v>
                </c:pt>
                <c:pt idx="1">
                  <c:v>8</c:v>
                </c:pt>
                <c:pt idx="2">
                  <c:v>31</c:v>
                </c:pt>
                <c:pt idx="3">
                  <c:v>7</c:v>
                </c:pt>
                <c:pt idx="4">
                  <c:v>88</c:v>
                </c:pt>
              </c:numCache>
            </c:numRef>
          </c:val>
        </c:ser>
        <c:ser>
          <c:idx val="1"/>
          <c:order val="1"/>
          <c:tx>
            <c:v>2008</c:v>
          </c:tx>
          <c:cat>
            <c:strRef>
              <c:f>Sheet2!$B$157:$F$157</c:f>
              <c:strCache>
                <c:ptCount val="5"/>
                <c:pt idx="0">
                  <c:v>Fatal</c:v>
                </c:pt>
                <c:pt idx="1">
                  <c:v>Serious</c:v>
                </c:pt>
                <c:pt idx="2">
                  <c:v>Minor</c:v>
                </c:pt>
                <c:pt idx="3">
                  <c:v>First Aid</c:v>
                </c:pt>
                <c:pt idx="4">
                  <c:v>Property Damage Only</c:v>
                </c:pt>
              </c:strCache>
            </c:strRef>
          </c:cat>
          <c:val>
            <c:numRef>
              <c:f>Sheet2!$B$75:$F$75</c:f>
              <c:numCache>
                <c:formatCode>General</c:formatCode>
                <c:ptCount val="5"/>
                <c:pt idx="0">
                  <c:v>0</c:v>
                </c:pt>
                <c:pt idx="1">
                  <c:v>8</c:v>
                </c:pt>
                <c:pt idx="2">
                  <c:v>23</c:v>
                </c:pt>
                <c:pt idx="3">
                  <c:v>5</c:v>
                </c:pt>
                <c:pt idx="4">
                  <c:v>52</c:v>
                </c:pt>
              </c:numCache>
            </c:numRef>
          </c:val>
        </c:ser>
        <c:ser>
          <c:idx val="2"/>
          <c:order val="2"/>
          <c:tx>
            <c:v>2009</c:v>
          </c:tx>
          <c:cat>
            <c:strRef>
              <c:f>Sheet2!$B$157:$F$157</c:f>
              <c:strCache>
                <c:ptCount val="5"/>
                <c:pt idx="0">
                  <c:v>Fatal</c:v>
                </c:pt>
                <c:pt idx="1">
                  <c:v>Serious</c:v>
                </c:pt>
                <c:pt idx="2">
                  <c:v>Minor</c:v>
                </c:pt>
                <c:pt idx="3">
                  <c:v>First Aid</c:v>
                </c:pt>
                <c:pt idx="4">
                  <c:v>Property Damage Only</c:v>
                </c:pt>
              </c:strCache>
            </c:strRef>
          </c:cat>
          <c:val>
            <c:numRef>
              <c:f>Sheet2!$B$110:$F$110</c:f>
              <c:numCache>
                <c:formatCode>General</c:formatCode>
                <c:ptCount val="5"/>
                <c:pt idx="0">
                  <c:v>4</c:v>
                </c:pt>
                <c:pt idx="1">
                  <c:v>6</c:v>
                </c:pt>
                <c:pt idx="2">
                  <c:v>34</c:v>
                </c:pt>
                <c:pt idx="3">
                  <c:v>12</c:v>
                </c:pt>
                <c:pt idx="4">
                  <c:v>81</c:v>
                </c:pt>
              </c:numCache>
            </c:numRef>
          </c:val>
        </c:ser>
        <c:ser>
          <c:idx val="3"/>
          <c:order val="3"/>
          <c:tx>
            <c:v>2010</c:v>
          </c:tx>
          <c:cat>
            <c:strRef>
              <c:f>Sheet2!$B$157:$F$157</c:f>
              <c:strCache>
                <c:ptCount val="5"/>
                <c:pt idx="0">
                  <c:v>Fatal</c:v>
                </c:pt>
                <c:pt idx="1">
                  <c:v>Serious</c:v>
                </c:pt>
                <c:pt idx="2">
                  <c:v>Minor</c:v>
                </c:pt>
                <c:pt idx="3">
                  <c:v>First Aid</c:v>
                </c:pt>
                <c:pt idx="4">
                  <c:v>Property Damage Only</c:v>
                </c:pt>
              </c:strCache>
            </c:strRef>
          </c:cat>
          <c:val>
            <c:numRef>
              <c:f>Sheet2!$B$152:$F$152</c:f>
              <c:numCache>
                <c:formatCode>General</c:formatCode>
                <c:ptCount val="5"/>
                <c:pt idx="0">
                  <c:v>1</c:v>
                </c:pt>
                <c:pt idx="1">
                  <c:v>5</c:v>
                </c:pt>
                <c:pt idx="2">
                  <c:v>26</c:v>
                </c:pt>
                <c:pt idx="3">
                  <c:v>9</c:v>
                </c:pt>
                <c:pt idx="4">
                  <c:v>103</c:v>
                </c:pt>
              </c:numCache>
            </c:numRef>
          </c:val>
        </c:ser>
        <c:ser>
          <c:idx val="4"/>
          <c:order val="4"/>
          <c:tx>
            <c:v>2011</c:v>
          </c:tx>
          <c:cat>
            <c:strRef>
              <c:f>Sheet2!$B$157:$F$157</c:f>
              <c:strCache>
                <c:ptCount val="5"/>
                <c:pt idx="0">
                  <c:v>Fatal</c:v>
                </c:pt>
                <c:pt idx="1">
                  <c:v>Serious</c:v>
                </c:pt>
                <c:pt idx="2">
                  <c:v>Minor</c:v>
                </c:pt>
                <c:pt idx="3">
                  <c:v>First Aid</c:v>
                </c:pt>
                <c:pt idx="4">
                  <c:v>Property Damage Only</c:v>
                </c:pt>
              </c:strCache>
            </c:strRef>
          </c:cat>
          <c:val>
            <c:numRef>
              <c:f>Sheet2!$B$189:$F$189</c:f>
              <c:numCache>
                <c:formatCode>General</c:formatCode>
                <c:ptCount val="5"/>
                <c:pt idx="0">
                  <c:v>0</c:v>
                </c:pt>
                <c:pt idx="1">
                  <c:v>6</c:v>
                </c:pt>
                <c:pt idx="2">
                  <c:v>16</c:v>
                </c:pt>
                <c:pt idx="3">
                  <c:v>6</c:v>
                </c:pt>
                <c:pt idx="4">
                  <c:v>67</c:v>
                </c:pt>
              </c:numCache>
            </c:numRef>
          </c:val>
        </c:ser>
        <c:axId val="191128704"/>
        <c:axId val="191130240"/>
      </c:barChart>
      <c:catAx>
        <c:axId val="191128704"/>
        <c:scaling>
          <c:orientation val="minMax"/>
        </c:scaling>
        <c:axPos val="b"/>
        <c:majorTickMark val="none"/>
        <c:tickLblPos val="nextTo"/>
        <c:crossAx val="191130240"/>
        <c:crosses val="autoZero"/>
        <c:auto val="1"/>
        <c:lblAlgn val="ctr"/>
        <c:lblOffset val="100"/>
      </c:catAx>
      <c:valAx>
        <c:axId val="191130240"/>
        <c:scaling>
          <c:orientation val="minMax"/>
        </c:scaling>
        <c:axPos val="l"/>
        <c:majorGridlines/>
        <c:numFmt formatCode="General" sourceLinked="1"/>
        <c:majorTickMark val="none"/>
        <c:tickLblPos val="nextTo"/>
        <c:crossAx val="191128704"/>
        <c:crosses val="autoZero"/>
        <c:crossBetween val="between"/>
      </c:valAx>
      <c:dTable>
        <c:showHorzBorder val="1"/>
        <c:showVertBorder val="1"/>
        <c:showOutline val="1"/>
        <c:showKeys val="1"/>
        <c:spPr>
          <a:effectLst>
            <a:outerShdw blurRad="50800" dist="38100" dir="2700000" algn="tl" rotWithShape="0">
              <a:prstClr val="black">
                <a:alpha val="40000"/>
              </a:prstClr>
            </a:outerShdw>
          </a:effectLst>
        </c:spPr>
      </c:dTable>
    </c:plotArea>
    <c:plotVisOnly val="1"/>
  </c:chart>
  <c:spPr>
    <a:solidFill>
      <a:sysClr val="window" lastClr="FFFFFF"/>
    </a:solidFill>
    <a:ln w="9525" cap="flat" cmpd="sng" algn="ctr">
      <a:no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AU"/>
  <c:style val="15"/>
  <c:pivotSource>
    <c:name>[July 2012 Request - Reports 1 to 6 (3).xlsx]Report 6!PivotTable1</c:name>
    <c:fmtId val="-1"/>
  </c:pivotSource>
  <c:chart>
    <c:title>
      <c:tx>
        <c:rich>
          <a:bodyPr/>
          <a:lstStyle/>
          <a:p>
            <a:pPr algn="r">
              <a:defRPr/>
            </a:pPr>
            <a:r>
              <a:rPr lang="en-AU" sz="1100" b="1" i="0" cap="all" baseline="0">
                <a:latin typeface="Calibri" pitchFamily="34" charset="0"/>
              </a:rPr>
              <a:t>NUMBER of Convictions 2002 - 2011</a:t>
            </a:r>
          </a:p>
          <a:p>
            <a:pPr algn="r">
              <a:defRPr/>
            </a:pPr>
            <a:r>
              <a:rPr lang="en-AU" sz="800" b="1" i="0" cap="all" baseline="0">
                <a:latin typeface="Calibri" pitchFamily="34" charset="0"/>
              </a:rPr>
              <a:t>Drive Whilst Disqualified, Drive Whilst Suspended, Unlicensed Driving</a:t>
            </a:r>
          </a:p>
        </c:rich>
      </c:tx>
      <c:layout>
        <c:manualLayout>
          <c:xMode val="edge"/>
          <c:yMode val="edge"/>
          <c:x val="0.27963888888888888"/>
          <c:y val="3.2167217007504106E-2"/>
        </c:manualLayout>
      </c:layout>
    </c:title>
    <c:pivotFmts>
      <c:pivotFmt>
        <c:idx val="0"/>
      </c:pivotFmt>
      <c:pivotFmt>
        <c:idx val="1"/>
        <c:marker>
          <c:symbol val="none"/>
        </c:marker>
        <c:dLbl>
          <c:idx val="0"/>
          <c:delete val="1"/>
        </c:dLbl>
      </c:pivotFmt>
    </c:pivotFmts>
    <c:plotArea>
      <c:layout/>
      <c:barChart>
        <c:barDir val="col"/>
        <c:grouping val="clustered"/>
        <c:ser>
          <c:idx val="0"/>
          <c:order val="0"/>
          <c:tx>
            <c:strRef>
              <c:f>'Report 6'!$G$18</c:f>
              <c:strCache>
                <c:ptCount val="1"/>
                <c:pt idx="0">
                  <c:v>Total</c:v>
                </c:pt>
              </c:strCache>
            </c:strRef>
          </c:tx>
          <c:cat>
            <c:strRef>
              <c:f>'Report 6'!$F$19:$F$29</c:f>
              <c:strCache>
                <c:ptCount val="10"/>
                <c:pt idx="0">
                  <c:v>2002</c:v>
                </c:pt>
                <c:pt idx="1">
                  <c:v>2003</c:v>
                </c:pt>
                <c:pt idx="2">
                  <c:v>2004</c:v>
                </c:pt>
                <c:pt idx="3">
                  <c:v>2005</c:v>
                </c:pt>
                <c:pt idx="4">
                  <c:v>2006</c:v>
                </c:pt>
                <c:pt idx="5">
                  <c:v>2007</c:v>
                </c:pt>
                <c:pt idx="6">
                  <c:v>2008</c:v>
                </c:pt>
                <c:pt idx="7">
                  <c:v>2009</c:v>
                </c:pt>
                <c:pt idx="8">
                  <c:v>2010</c:v>
                </c:pt>
                <c:pt idx="9">
                  <c:v>2011</c:v>
                </c:pt>
              </c:strCache>
            </c:strRef>
          </c:cat>
          <c:val>
            <c:numRef>
              <c:f>'Report 6'!$G$19:$G$29</c:f>
              <c:numCache>
                <c:formatCode>#,##0</c:formatCode>
                <c:ptCount val="10"/>
                <c:pt idx="0">
                  <c:v>943</c:v>
                </c:pt>
                <c:pt idx="1">
                  <c:v>919</c:v>
                </c:pt>
                <c:pt idx="2">
                  <c:v>900</c:v>
                </c:pt>
                <c:pt idx="3">
                  <c:v>873</c:v>
                </c:pt>
                <c:pt idx="4">
                  <c:v>778</c:v>
                </c:pt>
                <c:pt idx="5">
                  <c:v>974</c:v>
                </c:pt>
                <c:pt idx="6">
                  <c:v>1735</c:v>
                </c:pt>
                <c:pt idx="7">
                  <c:v>2340</c:v>
                </c:pt>
                <c:pt idx="8">
                  <c:v>2783</c:v>
                </c:pt>
                <c:pt idx="9">
                  <c:v>3033</c:v>
                </c:pt>
              </c:numCache>
            </c:numRef>
          </c:val>
        </c:ser>
        <c:gapWidth val="75"/>
        <c:overlap val="-25"/>
        <c:axId val="22318464"/>
        <c:axId val="22320256"/>
      </c:barChart>
      <c:catAx>
        <c:axId val="22318464"/>
        <c:scaling>
          <c:orientation val="minMax"/>
        </c:scaling>
        <c:axPos val="b"/>
        <c:majorTickMark val="none"/>
        <c:tickLblPos val="nextTo"/>
        <c:crossAx val="22320256"/>
        <c:crosses val="autoZero"/>
        <c:auto val="1"/>
        <c:lblAlgn val="ctr"/>
        <c:lblOffset val="100"/>
      </c:catAx>
      <c:valAx>
        <c:axId val="22320256"/>
        <c:scaling>
          <c:orientation val="minMax"/>
        </c:scaling>
        <c:axPos val="l"/>
        <c:majorGridlines/>
        <c:numFmt formatCode="#,##0" sourceLinked="1"/>
        <c:majorTickMark val="none"/>
        <c:tickLblPos val="nextTo"/>
        <c:spPr>
          <a:ln w="9525">
            <a:noFill/>
          </a:ln>
        </c:spPr>
        <c:crossAx val="22318464"/>
        <c:crosses val="autoZero"/>
        <c:crossBetween val="between"/>
      </c:valAx>
    </c:plotArea>
    <c:plotVisOnly val="1"/>
  </c:chart>
  <c:spPr>
    <a:ln>
      <a:noFill/>
    </a:ln>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AU"/>
  <c:style val="15"/>
  <c:pivotSource>
    <c:name>[July 2012 Request - Reports 1 to 6 (3).xlsx]Report 6!PivotTable4</c:name>
    <c:fmtId val="6"/>
  </c:pivotSource>
  <c:chart>
    <c:title>
      <c:tx>
        <c:rich>
          <a:bodyPr/>
          <a:lstStyle/>
          <a:p>
            <a:pPr algn="l">
              <a:defRPr/>
            </a:pPr>
            <a:r>
              <a:rPr lang="en-US" sz="1100" cap="all" baseline="0"/>
              <a:t>NUMBER OF Drive Whilst Disqualified </a:t>
            </a:r>
          </a:p>
          <a:p>
            <a:pPr algn="l">
              <a:defRPr/>
            </a:pPr>
            <a:r>
              <a:rPr lang="en-US" sz="1100" cap="all" baseline="0"/>
              <a:t>Convictions by Year</a:t>
            </a:r>
          </a:p>
        </c:rich>
      </c:tx>
      <c:layout>
        <c:manualLayout>
          <c:xMode val="edge"/>
          <c:yMode val="edge"/>
          <c:x val="1.3607755694429352E-4"/>
          <c:y val="3.725263903990899E-3"/>
        </c:manualLayout>
      </c:layout>
    </c:title>
    <c:pivotFmts>
      <c:pivotFmt>
        <c:idx val="0"/>
      </c:pivotFmt>
      <c:pivotFmt>
        <c:idx val="1"/>
        <c:marker>
          <c:symbol val="none"/>
        </c:marker>
        <c:dLbl>
          <c:idx val="0"/>
          <c:delete val="1"/>
        </c:dLbl>
      </c:pivotFmt>
    </c:pivotFmts>
    <c:plotArea>
      <c:layout/>
      <c:barChart>
        <c:barDir val="col"/>
        <c:grouping val="clustered"/>
        <c:ser>
          <c:idx val="0"/>
          <c:order val="0"/>
          <c:tx>
            <c:strRef>
              <c:f>'Report 6'!$G$50</c:f>
              <c:strCache>
                <c:ptCount val="1"/>
                <c:pt idx="0">
                  <c:v>Total</c:v>
                </c:pt>
              </c:strCache>
            </c:strRef>
          </c:tx>
          <c:cat>
            <c:strRef>
              <c:f>'Report 6'!$F$51:$F$61</c:f>
              <c:strCache>
                <c:ptCount val="10"/>
                <c:pt idx="0">
                  <c:v>2002</c:v>
                </c:pt>
                <c:pt idx="1">
                  <c:v>2003</c:v>
                </c:pt>
                <c:pt idx="2">
                  <c:v>2004</c:v>
                </c:pt>
                <c:pt idx="3">
                  <c:v>2005</c:v>
                </c:pt>
                <c:pt idx="4">
                  <c:v>2006</c:v>
                </c:pt>
                <c:pt idx="5">
                  <c:v>2007</c:v>
                </c:pt>
                <c:pt idx="6">
                  <c:v>2008</c:v>
                </c:pt>
                <c:pt idx="7">
                  <c:v>2009</c:v>
                </c:pt>
                <c:pt idx="8">
                  <c:v>2010</c:v>
                </c:pt>
                <c:pt idx="9">
                  <c:v>2011</c:v>
                </c:pt>
              </c:strCache>
            </c:strRef>
          </c:cat>
          <c:val>
            <c:numRef>
              <c:f>'Report 6'!$G$51:$G$61</c:f>
              <c:numCache>
                <c:formatCode>#,##0</c:formatCode>
                <c:ptCount val="10"/>
                <c:pt idx="0">
                  <c:v>613</c:v>
                </c:pt>
                <c:pt idx="1">
                  <c:v>590</c:v>
                </c:pt>
                <c:pt idx="2">
                  <c:v>625</c:v>
                </c:pt>
                <c:pt idx="3">
                  <c:v>580</c:v>
                </c:pt>
                <c:pt idx="4">
                  <c:v>491</c:v>
                </c:pt>
                <c:pt idx="5">
                  <c:v>585</c:v>
                </c:pt>
                <c:pt idx="6">
                  <c:v>940</c:v>
                </c:pt>
                <c:pt idx="7">
                  <c:v>1249</c:v>
                </c:pt>
                <c:pt idx="8">
                  <c:v>1398</c:v>
                </c:pt>
                <c:pt idx="9">
                  <c:v>1277</c:v>
                </c:pt>
              </c:numCache>
            </c:numRef>
          </c:val>
        </c:ser>
        <c:gapWidth val="75"/>
        <c:overlap val="-25"/>
        <c:axId val="189056512"/>
        <c:axId val="189265024"/>
      </c:barChart>
      <c:catAx>
        <c:axId val="189056512"/>
        <c:scaling>
          <c:orientation val="minMax"/>
        </c:scaling>
        <c:axPos val="b"/>
        <c:majorTickMark val="none"/>
        <c:tickLblPos val="nextTo"/>
        <c:crossAx val="189265024"/>
        <c:crosses val="autoZero"/>
        <c:auto val="1"/>
        <c:lblAlgn val="ctr"/>
        <c:lblOffset val="100"/>
      </c:catAx>
      <c:valAx>
        <c:axId val="189265024"/>
        <c:scaling>
          <c:orientation val="minMax"/>
        </c:scaling>
        <c:axPos val="l"/>
        <c:majorGridlines/>
        <c:numFmt formatCode="#,##0" sourceLinked="1"/>
        <c:majorTickMark val="none"/>
        <c:tickLblPos val="nextTo"/>
        <c:spPr>
          <a:ln w="9525">
            <a:noFill/>
          </a:ln>
        </c:spPr>
        <c:crossAx val="189056512"/>
        <c:crosses val="autoZero"/>
        <c:crossBetween val="between"/>
      </c:valAx>
    </c:plotArea>
    <c:plotVisOnly val="1"/>
  </c:chart>
  <c:spPr>
    <a:ln>
      <a:noFill/>
    </a:ln>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AU"/>
  <c:style val="15"/>
  <c:pivotSource>
    <c:name>[July 2012 Request - Reports 1 to 6 (3).xlsx]Report 6!PivotTable5</c:name>
    <c:fmtId val="6"/>
  </c:pivotSource>
  <c:chart>
    <c:title>
      <c:tx>
        <c:rich>
          <a:bodyPr/>
          <a:lstStyle/>
          <a:p>
            <a:pPr algn="r">
              <a:defRPr/>
            </a:pPr>
            <a:r>
              <a:rPr lang="en-US" sz="1100" cap="all" baseline="0"/>
              <a:t>NUMBER OF Drive Whilst Suspended </a:t>
            </a:r>
          </a:p>
          <a:p>
            <a:pPr algn="r">
              <a:defRPr/>
            </a:pPr>
            <a:r>
              <a:rPr lang="en-US" sz="1100" cap="all" baseline="0"/>
              <a:t>Convictions by Year</a:t>
            </a:r>
          </a:p>
        </c:rich>
      </c:tx>
      <c:layout>
        <c:manualLayout>
          <c:xMode val="edge"/>
          <c:yMode val="edge"/>
          <c:x val="0.45047008547008582"/>
          <c:y val="4.7137539431298524E-2"/>
        </c:manualLayout>
      </c:layout>
    </c:title>
    <c:pivotFmts>
      <c:pivotFmt>
        <c:idx val="0"/>
      </c:pivotFmt>
      <c:pivotFmt>
        <c:idx val="1"/>
        <c:marker>
          <c:symbol val="none"/>
        </c:marker>
        <c:dLbl>
          <c:idx val="0"/>
          <c:delete val="1"/>
        </c:dLbl>
      </c:pivotFmt>
    </c:pivotFmts>
    <c:plotArea>
      <c:layout/>
      <c:barChart>
        <c:barDir val="col"/>
        <c:grouping val="clustered"/>
        <c:ser>
          <c:idx val="0"/>
          <c:order val="0"/>
          <c:tx>
            <c:strRef>
              <c:f>'Report 6'!$G$65</c:f>
              <c:strCache>
                <c:ptCount val="1"/>
                <c:pt idx="0">
                  <c:v>Total</c:v>
                </c:pt>
              </c:strCache>
            </c:strRef>
          </c:tx>
          <c:cat>
            <c:strRef>
              <c:f>'Report 6'!$F$66:$F$76</c:f>
              <c:strCache>
                <c:ptCount val="10"/>
                <c:pt idx="0">
                  <c:v>2002</c:v>
                </c:pt>
                <c:pt idx="1">
                  <c:v>2003</c:v>
                </c:pt>
                <c:pt idx="2">
                  <c:v>2004</c:v>
                </c:pt>
                <c:pt idx="3">
                  <c:v>2005</c:v>
                </c:pt>
                <c:pt idx="4">
                  <c:v>2006</c:v>
                </c:pt>
                <c:pt idx="5">
                  <c:v>2007</c:v>
                </c:pt>
                <c:pt idx="6">
                  <c:v>2008</c:v>
                </c:pt>
                <c:pt idx="7">
                  <c:v>2009</c:v>
                </c:pt>
                <c:pt idx="8">
                  <c:v>2010</c:v>
                </c:pt>
                <c:pt idx="9">
                  <c:v>2011</c:v>
                </c:pt>
              </c:strCache>
            </c:strRef>
          </c:cat>
          <c:val>
            <c:numRef>
              <c:f>'Report 6'!$G$66:$G$76</c:f>
              <c:numCache>
                <c:formatCode>#,##0</c:formatCode>
                <c:ptCount val="10"/>
                <c:pt idx="0">
                  <c:v>1</c:v>
                </c:pt>
                <c:pt idx="1">
                  <c:v>7</c:v>
                </c:pt>
                <c:pt idx="2">
                  <c:v>13</c:v>
                </c:pt>
                <c:pt idx="3">
                  <c:v>67</c:v>
                </c:pt>
                <c:pt idx="4">
                  <c:v>97</c:v>
                </c:pt>
                <c:pt idx="5">
                  <c:v>104</c:v>
                </c:pt>
                <c:pt idx="6">
                  <c:v>189</c:v>
                </c:pt>
                <c:pt idx="7">
                  <c:v>315</c:v>
                </c:pt>
                <c:pt idx="8">
                  <c:v>596</c:v>
                </c:pt>
                <c:pt idx="9">
                  <c:v>601</c:v>
                </c:pt>
              </c:numCache>
            </c:numRef>
          </c:val>
        </c:ser>
        <c:gapWidth val="75"/>
        <c:overlap val="-25"/>
        <c:axId val="189720064"/>
        <c:axId val="189985920"/>
      </c:barChart>
      <c:catAx>
        <c:axId val="189720064"/>
        <c:scaling>
          <c:orientation val="minMax"/>
        </c:scaling>
        <c:axPos val="b"/>
        <c:majorTickMark val="none"/>
        <c:tickLblPos val="nextTo"/>
        <c:crossAx val="189985920"/>
        <c:crosses val="autoZero"/>
        <c:auto val="1"/>
        <c:lblAlgn val="ctr"/>
        <c:lblOffset val="100"/>
      </c:catAx>
      <c:valAx>
        <c:axId val="189985920"/>
        <c:scaling>
          <c:orientation val="minMax"/>
        </c:scaling>
        <c:axPos val="l"/>
        <c:majorGridlines/>
        <c:numFmt formatCode="#,##0" sourceLinked="1"/>
        <c:majorTickMark val="none"/>
        <c:tickLblPos val="nextTo"/>
        <c:spPr>
          <a:ln w="9525">
            <a:noFill/>
          </a:ln>
        </c:spPr>
        <c:crossAx val="189720064"/>
        <c:crosses val="autoZero"/>
        <c:crossBetween val="between"/>
      </c:valAx>
    </c:plotArea>
    <c:plotVisOnly val="1"/>
  </c:chart>
  <c:spPr>
    <a:ln>
      <a:noFill/>
    </a:ln>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AU"/>
  <c:style val="7"/>
  <c:chart>
    <c:autoTitleDeleted val="1"/>
    <c:plotArea>
      <c:layout/>
      <c:pieChart>
        <c:varyColors val="1"/>
        <c:ser>
          <c:idx val="0"/>
          <c:order val="0"/>
          <c:dLbls>
            <c:dLbl>
              <c:idx val="1"/>
              <c:layout>
                <c:manualLayout>
                  <c:x val="5.6175759867177266E-2"/>
                  <c:y val="-5.6502222936418968E-2"/>
                </c:manualLayout>
              </c:layout>
              <c:showVal val="1"/>
              <c:showCatName val="1"/>
            </c:dLbl>
            <c:dLbl>
              <c:idx val="2"/>
              <c:layout>
                <c:manualLayout>
                  <c:x val="-1.1660885813073044E-2"/>
                  <c:y val="-5.6496509364900834E-3"/>
                </c:manualLayout>
              </c:layout>
              <c:tx>
                <c:rich>
                  <a:bodyPr/>
                  <a:lstStyle/>
                  <a:p>
                    <a:r>
                      <a:rPr lang="en-US"/>
                      <a:t>Learner Suspension, 20</a:t>
                    </a:r>
                  </a:p>
                </c:rich>
              </c:tx>
              <c:showVal val="1"/>
              <c:showCatName val="1"/>
            </c:dLbl>
            <c:dLbl>
              <c:idx val="3"/>
              <c:layout>
                <c:manualLayout>
                  <c:x val="3.4716245020520696E-2"/>
                  <c:y val="8.9236702555037767E-2"/>
                </c:manualLayout>
              </c:layout>
              <c:tx>
                <c:rich>
                  <a:bodyPr/>
                  <a:lstStyle/>
                  <a:p>
                    <a:r>
                      <a:rPr lang="en-US"/>
                      <a:t>Provisional Suspension, 305</a:t>
                    </a:r>
                  </a:p>
                </c:rich>
              </c:tx>
              <c:showVal val="1"/>
              <c:showCatName val="1"/>
            </c:dLbl>
            <c:showVal val="1"/>
            <c:showCatName val="1"/>
            <c:showLeaderLines val="1"/>
          </c:dLbls>
          <c:cat>
            <c:strRef>
              <c:f>Sheet6!$B$30:$B$34</c:f>
              <c:strCache>
                <c:ptCount val="5"/>
                <c:pt idx="0">
                  <c:v>Administrative Suspension</c:v>
                </c:pt>
                <c:pt idx="1">
                  <c:v>Full Licence Suspension</c:v>
                </c:pt>
                <c:pt idx="2">
                  <c:v>Learner Suspend</c:v>
                </c:pt>
                <c:pt idx="3">
                  <c:v>Provisional Suspend</c:v>
                </c:pt>
                <c:pt idx="4">
                  <c:v>MPEP Licence Suspension</c:v>
                </c:pt>
              </c:strCache>
            </c:strRef>
          </c:cat>
          <c:val>
            <c:numRef>
              <c:f>Sheet6!$F$7:$F$11</c:f>
              <c:numCache>
                <c:formatCode>General</c:formatCode>
                <c:ptCount val="5"/>
                <c:pt idx="0">
                  <c:v>1648</c:v>
                </c:pt>
                <c:pt idx="1">
                  <c:v>474</c:v>
                </c:pt>
                <c:pt idx="2">
                  <c:v>20</c:v>
                </c:pt>
                <c:pt idx="3">
                  <c:v>305</c:v>
                </c:pt>
                <c:pt idx="4">
                  <c:v>4826</c:v>
                </c:pt>
              </c:numCache>
            </c:numRef>
          </c:val>
        </c:ser>
        <c:dLbls>
          <c:showVal val="1"/>
          <c:showCatName val="1"/>
        </c:dLbls>
        <c:firstSliceAng val="0"/>
      </c:pieChart>
    </c:plotArea>
    <c:plotVisOnly val="1"/>
  </c:chart>
  <c:spPr>
    <a:ln>
      <a:noFill/>
    </a:ln>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AU"/>
  <c:style val="15"/>
  <c:chart>
    <c:title>
      <c:tx>
        <c:rich>
          <a:bodyPr/>
          <a:lstStyle/>
          <a:p>
            <a:pPr>
              <a:defRPr/>
            </a:pPr>
            <a:r>
              <a:rPr lang="en-AU" sz="1100" cap="all" baseline="0"/>
              <a:t>Percentage of Unlicenced </a:t>
            </a:r>
          </a:p>
          <a:p>
            <a:pPr>
              <a:defRPr/>
            </a:pPr>
            <a:r>
              <a:rPr lang="en-AU" sz="1100" cap="all" baseline="0"/>
              <a:t>Drivers by LicenCe CatEgory </a:t>
            </a:r>
          </a:p>
        </c:rich>
      </c:tx>
      <c:layout>
        <c:manualLayout>
          <c:xMode val="edge"/>
          <c:yMode val="edge"/>
          <c:x val="0.53778760683760651"/>
          <c:y val="5.3692913060685403E-2"/>
        </c:manualLayout>
      </c:layout>
    </c:title>
    <c:plotArea>
      <c:layout/>
      <c:barChart>
        <c:barDir val="bar"/>
        <c:grouping val="percentStacked"/>
        <c:ser>
          <c:idx val="0"/>
          <c:order val="0"/>
          <c:tx>
            <c:strRef>
              <c:f>'Report 2'!$A$36</c:f>
              <c:strCache>
                <c:ptCount val="1"/>
                <c:pt idx="0">
                  <c:v>LICENCE TYPE</c:v>
                </c:pt>
              </c:strCache>
            </c:strRef>
          </c:tx>
          <c:spPr>
            <a:solidFill>
              <a:schemeClr val="accent5">
                <a:lumMod val="50000"/>
              </a:schemeClr>
            </a:solidFill>
          </c:spPr>
          <c:cat>
            <c:strRef>
              <c:f>'Report 2'!$A$37:$A$40</c:f>
              <c:strCache>
                <c:ptCount val="4"/>
                <c:pt idx="0">
                  <c:v>FULL</c:v>
                </c:pt>
                <c:pt idx="1">
                  <c:v>PROVISIONAL</c:v>
                </c:pt>
                <c:pt idx="2">
                  <c:v>LEARNER</c:v>
                </c:pt>
                <c:pt idx="3">
                  <c:v>All</c:v>
                </c:pt>
              </c:strCache>
            </c:strRef>
          </c:cat>
          <c:val>
            <c:numRef>
              <c:f>'Report 2'!$B$37:$B$40</c:f>
              <c:numCache>
                <c:formatCode>#,##0</c:formatCode>
                <c:ptCount val="4"/>
                <c:pt idx="0">
                  <c:v>1910</c:v>
                </c:pt>
                <c:pt idx="1">
                  <c:v>667</c:v>
                </c:pt>
                <c:pt idx="2">
                  <c:v>219</c:v>
                </c:pt>
                <c:pt idx="3">
                  <c:v>2796</c:v>
                </c:pt>
              </c:numCache>
            </c:numRef>
          </c:val>
        </c:ser>
        <c:ser>
          <c:idx val="1"/>
          <c:order val="1"/>
          <c:cat>
            <c:strRef>
              <c:f>'Report 2'!$A$37:$A$40</c:f>
              <c:strCache>
                <c:ptCount val="4"/>
                <c:pt idx="0">
                  <c:v>FULL</c:v>
                </c:pt>
                <c:pt idx="1">
                  <c:v>PROVISIONAL</c:v>
                </c:pt>
                <c:pt idx="2">
                  <c:v>LEARNER</c:v>
                </c:pt>
                <c:pt idx="3">
                  <c:v>All</c:v>
                </c:pt>
              </c:strCache>
            </c:strRef>
          </c:cat>
          <c:val>
            <c:numRef>
              <c:f>'Report 2'!$C$37:$C$40</c:f>
              <c:numCache>
                <c:formatCode>General</c:formatCode>
                <c:ptCount val="4"/>
                <c:pt idx="0" formatCode="#,##0">
                  <c:v>328458</c:v>
                </c:pt>
                <c:pt idx="1">
                  <c:v>16507</c:v>
                </c:pt>
                <c:pt idx="2">
                  <c:v>20054</c:v>
                </c:pt>
                <c:pt idx="3" formatCode="#,##0">
                  <c:v>365019</c:v>
                </c:pt>
              </c:numCache>
            </c:numRef>
          </c:val>
        </c:ser>
        <c:gapWidth val="300"/>
        <c:overlap val="100"/>
        <c:serLines/>
        <c:axId val="190171008"/>
        <c:axId val="190172544"/>
      </c:barChart>
      <c:catAx>
        <c:axId val="190171008"/>
        <c:scaling>
          <c:orientation val="minMax"/>
        </c:scaling>
        <c:axPos val="l"/>
        <c:majorTickMark val="none"/>
        <c:tickLblPos val="nextTo"/>
        <c:crossAx val="190172544"/>
        <c:crosses val="autoZero"/>
        <c:auto val="1"/>
        <c:lblAlgn val="ctr"/>
        <c:lblOffset val="100"/>
      </c:catAx>
      <c:valAx>
        <c:axId val="190172544"/>
        <c:scaling>
          <c:orientation val="minMax"/>
        </c:scaling>
        <c:axPos val="b"/>
        <c:majorGridlines/>
        <c:numFmt formatCode="0%" sourceLinked="1"/>
        <c:tickLblPos val="nextTo"/>
        <c:crossAx val="190171008"/>
        <c:crosses val="autoZero"/>
        <c:crossBetween val="between"/>
      </c:valAx>
    </c:plotArea>
    <c:plotVisOnly val="1"/>
  </c:chart>
  <c:spPr>
    <a:ln>
      <a:noFill/>
    </a:ln>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AU"/>
  <c:style val="15"/>
  <c:chart>
    <c:autoTitleDeleted val="1"/>
    <c:plotArea>
      <c:layout>
        <c:manualLayout>
          <c:layoutTarget val="inner"/>
          <c:xMode val="edge"/>
          <c:yMode val="edge"/>
          <c:x val="0.26250000000000001"/>
          <c:y val="0.18287037037037041"/>
          <c:w val="0.46388888888889368"/>
          <c:h val="0.77314814814815358"/>
        </c:manualLayout>
      </c:layout>
      <c:pieChart>
        <c:varyColors val="1"/>
        <c:ser>
          <c:idx val="0"/>
          <c:order val="0"/>
          <c:spPr>
            <a:ln>
              <a:solidFill>
                <a:schemeClr val="bg1"/>
              </a:solidFill>
            </a:ln>
          </c:spPr>
          <c:dLbls>
            <c:dLbl>
              <c:idx val="0"/>
              <c:layout>
                <c:manualLayout>
                  <c:x val="-0.17564025889798737"/>
                  <c:y val="-6.2776458027492404E-2"/>
                </c:manualLayout>
              </c:layout>
              <c:tx>
                <c:rich>
                  <a:bodyPr/>
                  <a:lstStyle/>
                  <a:p>
                    <a:r>
                      <a:rPr lang="en-US">
                        <a:effectLst>
                          <a:outerShdw blurRad="50800" dist="50800" dir="5400000" algn="ctr" rotWithShape="0">
                            <a:schemeClr val="bg1"/>
                          </a:outerShdw>
                        </a:effectLst>
                      </a:rPr>
                      <a:t>Social</a:t>
                    </a:r>
                  </a:p>
                  <a:p>
                    <a:r>
                      <a:rPr lang="en-US">
                        <a:effectLst>
                          <a:outerShdw blurRad="50800" dist="50800" dir="5400000" algn="ctr" rotWithShape="0">
                            <a:schemeClr val="bg1"/>
                          </a:outerShdw>
                        </a:effectLst>
                      </a:rPr>
                      <a:t>Recreational
54%</a:t>
                    </a:r>
                  </a:p>
                </c:rich>
              </c:tx>
              <c:showCatName val="1"/>
              <c:showPercent val="1"/>
            </c:dLbl>
            <c:dLbl>
              <c:idx val="1"/>
              <c:delete val="1"/>
            </c:dLbl>
            <c:dLbl>
              <c:idx val="2"/>
              <c:layout>
                <c:manualLayout>
                  <c:x val="0.20111073072387692"/>
                  <c:y val="-9.7082461707211978E-2"/>
                </c:manualLayout>
              </c:layout>
              <c:showCatName val="1"/>
              <c:showPercent val="1"/>
            </c:dLbl>
            <c:spPr>
              <a:effectLst>
                <a:outerShdw blurRad="165100" dist="355600" dir="8400000" sx="76000" sy="76000" algn="l" rotWithShape="0">
                  <a:sysClr val="window" lastClr="FFFFFF">
                    <a:alpha val="77000"/>
                  </a:sysClr>
                </a:outerShdw>
              </a:effectLst>
            </c:spPr>
            <c:txPr>
              <a:bodyPr/>
              <a:lstStyle/>
              <a:p>
                <a:pPr>
                  <a:defRPr sz="1100" b="1">
                    <a:effectLst>
                      <a:outerShdw blurRad="50800" dist="50800" dir="5400000" algn="ctr" rotWithShape="0">
                        <a:schemeClr val="bg1"/>
                      </a:outerShdw>
                    </a:effectLst>
                  </a:defRPr>
                </a:pPr>
                <a:endParaRPr lang="en-US"/>
              </a:p>
            </c:txPr>
            <c:showCatName val="1"/>
            <c:showPercent val="1"/>
            <c:showLeaderLines val="1"/>
          </c:dLbls>
          <c:cat>
            <c:strRef>
              <c:f>Sheet1!$B$10:$B$13</c:f>
              <c:strCache>
                <c:ptCount val="4"/>
                <c:pt idx="0">
                  <c:v>Social/Recreational</c:v>
                </c:pt>
                <c:pt idx="1">
                  <c:v>Other</c:v>
                </c:pt>
                <c:pt idx="2">
                  <c:v>Family related</c:v>
                </c:pt>
                <c:pt idx="3">
                  <c:v>Work related</c:v>
                </c:pt>
              </c:strCache>
            </c:strRef>
          </c:cat>
          <c:val>
            <c:numRef>
              <c:f>Sheet1!$C$10:$C$13</c:f>
              <c:numCache>
                <c:formatCode>General</c:formatCode>
                <c:ptCount val="4"/>
                <c:pt idx="0">
                  <c:v>53.9</c:v>
                </c:pt>
                <c:pt idx="1">
                  <c:v>4.2</c:v>
                </c:pt>
                <c:pt idx="2">
                  <c:v>15.9</c:v>
                </c:pt>
                <c:pt idx="3">
                  <c:v>26</c:v>
                </c:pt>
              </c:numCache>
            </c:numRef>
          </c:val>
        </c:ser>
        <c:dLbls>
          <c:showCatName val="1"/>
          <c:showPercent val="1"/>
        </c:dLbls>
        <c:firstSliceAng val="0"/>
      </c:pieChart>
    </c:plotArea>
    <c:plotVisOnly val="1"/>
  </c:chart>
  <c:spPr>
    <a:ln>
      <a:noFill/>
    </a:ln>
    <a:effectLst>
      <a:outerShdw blurRad="50800" dist="38100" dir="2700000" algn="tl" rotWithShape="0">
        <a:prstClr val="black">
          <a:alpha val="40000"/>
        </a:prstClr>
      </a:outerShdw>
    </a:effectLst>
  </c:spPr>
  <c:externalData r:id="rId1"/>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AU"/>
  <c:style val="15"/>
  <c:chart>
    <c:autoTitleDeleted val="1"/>
    <c:plotArea>
      <c:layout>
        <c:manualLayout>
          <c:layoutTarget val="inner"/>
          <c:xMode val="edge"/>
          <c:yMode val="edge"/>
          <c:x val="0.24943247852773506"/>
          <c:y val="7.7756748210432103E-2"/>
          <c:w val="0.42624658119658132"/>
          <c:h val="0.92221412681476256"/>
        </c:manualLayout>
      </c:layout>
      <c:pieChart>
        <c:varyColors val="1"/>
        <c:ser>
          <c:idx val="0"/>
          <c:order val="0"/>
          <c:spPr>
            <a:ln>
              <a:solidFill>
                <a:schemeClr val="bg1"/>
              </a:solidFill>
            </a:ln>
          </c:spPr>
          <c:dLbls>
            <c:dLbl>
              <c:idx val="0"/>
              <c:layout>
                <c:manualLayout>
                  <c:x val="-0.23491282051282247"/>
                  <c:y val="0.22514530126319179"/>
                </c:manualLayout>
              </c:layout>
              <c:tx>
                <c:rich>
                  <a:bodyPr/>
                  <a:lstStyle/>
                  <a:p>
                    <a:r>
                      <a:rPr lang="en-US" b="0">
                        <a:solidFill>
                          <a:sysClr val="windowText" lastClr="000000"/>
                        </a:solidFill>
                        <a:effectLst/>
                      </a:rPr>
                      <a:t>Licence check, 9.4%</a:t>
                    </a:r>
                  </a:p>
                </c:rich>
              </c:tx>
              <c:showVal val="1"/>
              <c:showCatName val="1"/>
            </c:dLbl>
            <c:dLbl>
              <c:idx val="1"/>
              <c:layout>
                <c:manualLayout>
                  <c:x val="-0.12583461538461418"/>
                  <c:y val="0.22691915091914724"/>
                </c:manualLayout>
              </c:layout>
              <c:tx>
                <c:rich>
                  <a:bodyPr/>
                  <a:lstStyle/>
                  <a:p>
                    <a:r>
                      <a:rPr lang="en-US" b="0">
                        <a:solidFill>
                          <a:sysClr val="windowText" lastClr="000000"/>
                        </a:solidFill>
                        <a:effectLst/>
                      </a:rPr>
                      <a:t>Involved in crash, 3.9%</a:t>
                    </a:r>
                  </a:p>
                </c:rich>
              </c:tx>
              <c:showVal val="1"/>
              <c:showCatName val="1"/>
            </c:dLbl>
            <c:dLbl>
              <c:idx val="2"/>
              <c:layout>
                <c:manualLayout>
                  <c:x val="-0.20191645299145491"/>
                  <c:y val="-8.6337982850475156E-2"/>
                </c:manualLayout>
              </c:layout>
              <c:tx>
                <c:rich>
                  <a:bodyPr/>
                  <a:lstStyle/>
                  <a:p>
                    <a:r>
                      <a:rPr lang="en-US" b="0">
                        <a:solidFill>
                          <a:sysClr val="windowText" lastClr="000000"/>
                        </a:solidFill>
                        <a:effectLst/>
                      </a:rPr>
                      <a:t>Traffic offence, 33.7%</a:t>
                    </a:r>
                  </a:p>
                </c:rich>
              </c:tx>
              <c:showVal val="1"/>
              <c:showCatName val="1"/>
            </c:dLbl>
            <c:dLbl>
              <c:idx val="3"/>
              <c:layout>
                <c:manualLayout>
                  <c:x val="9.6346581196581196E-2"/>
                  <c:y val="-0.15728318536613531"/>
                </c:manualLayout>
              </c:layout>
              <c:tx>
                <c:rich>
                  <a:bodyPr/>
                  <a:lstStyle/>
                  <a:p>
                    <a:r>
                      <a:rPr lang="en-US" b="0">
                        <a:solidFill>
                          <a:sysClr val="windowText" lastClr="000000"/>
                        </a:solidFill>
                        <a:effectLst/>
                      </a:rPr>
                      <a:t>RBT, 22%</a:t>
                    </a:r>
                  </a:p>
                </c:rich>
              </c:tx>
              <c:showVal val="1"/>
              <c:showCatName val="1"/>
            </c:dLbl>
            <c:dLbl>
              <c:idx val="4"/>
              <c:layout>
                <c:manualLayout>
                  <c:x val="0.18965041821134226"/>
                  <c:y val="0.10830276454964102"/>
                </c:manualLayout>
              </c:layout>
              <c:tx>
                <c:rich>
                  <a:bodyPr/>
                  <a:lstStyle/>
                  <a:p>
                    <a:r>
                      <a:rPr lang="en-US" b="0">
                        <a:solidFill>
                          <a:sysClr val="windowText" lastClr="000000"/>
                        </a:solidFill>
                        <a:effectLst/>
                      </a:rPr>
                      <a:t>Unsure, 18.4%</a:t>
                    </a:r>
                  </a:p>
                </c:rich>
              </c:tx>
              <c:showVal val="1"/>
              <c:showCatName val="1"/>
            </c:dLbl>
            <c:dLbl>
              <c:idx val="5"/>
              <c:delete val="1"/>
            </c:dLbl>
            <c:txPr>
              <a:bodyPr/>
              <a:lstStyle/>
              <a:p>
                <a:pPr>
                  <a:defRPr sz="1000" b="0" baseline="0">
                    <a:solidFill>
                      <a:sysClr val="windowText" lastClr="000000"/>
                    </a:solidFill>
                    <a:effectLst/>
                  </a:defRPr>
                </a:pPr>
                <a:endParaRPr lang="en-US"/>
              </a:p>
            </c:txPr>
            <c:showVal val="1"/>
            <c:showCatName val="1"/>
            <c:showLeaderLines val="1"/>
          </c:dLbls>
          <c:cat>
            <c:strRef>
              <c:f>Sheet1!$B$2:$B$7</c:f>
              <c:strCache>
                <c:ptCount val="6"/>
                <c:pt idx="0">
                  <c:v>Licence check</c:v>
                </c:pt>
                <c:pt idx="1">
                  <c:v>Involved in crash</c:v>
                </c:pt>
                <c:pt idx="2">
                  <c:v>Traffic offence</c:v>
                </c:pt>
                <c:pt idx="3">
                  <c:v>RBT</c:v>
                </c:pt>
                <c:pt idx="4">
                  <c:v>Unsure</c:v>
                </c:pt>
                <c:pt idx="5">
                  <c:v>Other</c:v>
                </c:pt>
              </c:strCache>
            </c:strRef>
          </c:cat>
          <c:val>
            <c:numRef>
              <c:f>Sheet1!$C$2:$C$7</c:f>
              <c:numCache>
                <c:formatCode>General</c:formatCode>
                <c:ptCount val="6"/>
                <c:pt idx="0">
                  <c:v>9.4</c:v>
                </c:pt>
                <c:pt idx="1">
                  <c:v>3.9</c:v>
                </c:pt>
                <c:pt idx="2">
                  <c:v>33.700000000000003</c:v>
                </c:pt>
                <c:pt idx="3">
                  <c:v>22</c:v>
                </c:pt>
                <c:pt idx="4">
                  <c:v>18.399999999999999</c:v>
                </c:pt>
                <c:pt idx="5">
                  <c:v>12.6</c:v>
                </c:pt>
              </c:numCache>
            </c:numRef>
          </c:val>
        </c:ser>
        <c:dLbls>
          <c:showVal val="1"/>
          <c:showCatName val="1"/>
        </c:dLbls>
        <c:firstSliceAng val="0"/>
      </c:pieChart>
    </c:plotArea>
    <c:plotVisOnly val="1"/>
  </c:chart>
  <c:spPr>
    <a:ln>
      <a:noFill/>
    </a:ln>
    <a:effectLst>
      <a:outerShdw blurRad="50800" dist="38100" algn="l" rotWithShape="0">
        <a:prstClr val="black">
          <a:alpha val="40000"/>
        </a:prstClr>
      </a:outerShdw>
    </a:effectLst>
  </c:spPr>
  <c:externalData r:id="rId1"/>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AU"/>
  <c:style val="15"/>
  <c:chart>
    <c:autoTitleDeleted val="1"/>
    <c:plotArea>
      <c:layout>
        <c:manualLayout>
          <c:layoutTarget val="inner"/>
          <c:xMode val="edge"/>
          <c:yMode val="edge"/>
          <c:x val="0.24356837606837708"/>
          <c:y val="4.8400160510972262E-2"/>
          <c:w val="0.43875876068376313"/>
          <c:h val="0.94928509744384915"/>
        </c:manualLayout>
      </c:layout>
      <c:pieChart>
        <c:varyColors val="1"/>
        <c:ser>
          <c:idx val="0"/>
          <c:order val="0"/>
          <c:spPr>
            <a:ln>
              <a:solidFill>
                <a:schemeClr val="bg1"/>
              </a:solidFill>
            </a:ln>
          </c:spPr>
          <c:dLbls>
            <c:dLbl>
              <c:idx val="0"/>
              <c:layout>
                <c:manualLayout>
                  <c:x val="-0.19148753280840006"/>
                  <c:y val="-0.14318715368912224"/>
                </c:manualLayout>
              </c:layout>
              <c:tx>
                <c:rich>
                  <a:bodyPr/>
                  <a:lstStyle/>
                  <a:p>
                    <a:pPr>
                      <a:defRPr sz="1100" b="0" i="0" baseline="0">
                        <a:effectLst/>
                      </a:defRPr>
                    </a:pPr>
                    <a:r>
                      <a:rPr lang="en-US" b="0" i="0" baseline="0">
                        <a:ln>
                          <a:noFill/>
                        </a:ln>
                        <a:effectLst/>
                      </a:rPr>
                      <a:t>Registered Owner, 62.5%</a:t>
                    </a:r>
                  </a:p>
                </c:rich>
              </c:tx>
              <c:spPr>
                <a:effectLst>
                  <a:outerShdw blurRad="50800" dist="825500" dir="600000" sx="91000" sy="91000" algn="l" rotWithShape="0">
                    <a:prstClr val="black">
                      <a:alpha val="40000"/>
                    </a:prstClr>
                  </a:outerShdw>
                </a:effectLst>
              </c:spPr>
              <c:showVal val="1"/>
              <c:showCatName val="1"/>
            </c:dLbl>
            <c:dLbl>
              <c:idx val="1"/>
              <c:layout>
                <c:manualLayout>
                  <c:x val="0.12425961538461552"/>
                  <c:y val="-0.10792929750560772"/>
                </c:manualLayout>
              </c:layout>
              <c:tx>
                <c:rich>
                  <a:bodyPr/>
                  <a:lstStyle/>
                  <a:p>
                    <a:pPr>
                      <a:defRPr sz="1100" b="0">
                        <a:ln>
                          <a:noFill/>
                        </a:ln>
                        <a:effectLst/>
                      </a:defRPr>
                    </a:pPr>
                    <a:r>
                      <a:rPr lang="en-US" b="0">
                        <a:ln>
                          <a:noFill/>
                        </a:ln>
                        <a:effectLst/>
                      </a:rPr>
                      <a:t>Family Member, 11.4%</a:t>
                    </a:r>
                  </a:p>
                </c:rich>
              </c:tx>
              <c:spPr>
                <a:effectLst>
                  <a:outerShdw blurRad="50800" dist="825500" dir="600000" sx="91000" sy="91000" algn="l" rotWithShape="0">
                    <a:prstClr val="black">
                      <a:alpha val="40000"/>
                    </a:prstClr>
                  </a:outerShdw>
                </a:effectLst>
              </c:spPr>
              <c:showVal val="1"/>
              <c:showCatName val="1"/>
            </c:dLbl>
            <c:dLbl>
              <c:idx val="2"/>
              <c:tx>
                <c:rich>
                  <a:bodyPr/>
                  <a:lstStyle/>
                  <a:p>
                    <a:r>
                      <a:rPr lang="en-US" b="0">
                        <a:effectLst/>
                      </a:rPr>
                      <a:t>Friend, 21.4%</a:t>
                    </a:r>
                  </a:p>
                </c:rich>
              </c:tx>
              <c:showVal val="1"/>
              <c:showCatName val="1"/>
            </c:dLbl>
            <c:dLbl>
              <c:idx val="3"/>
              <c:layout>
                <c:manualLayout>
                  <c:x val="4.8936898512685907E-2"/>
                  <c:y val="0.15793051910177894"/>
                </c:manualLayout>
              </c:layout>
              <c:tx>
                <c:rich>
                  <a:bodyPr/>
                  <a:lstStyle/>
                  <a:p>
                    <a:r>
                      <a:rPr lang="en-US"/>
                      <a:t>Other, 4.6%</a:t>
                    </a:r>
                  </a:p>
                </c:rich>
              </c:tx>
              <c:showVal val="1"/>
              <c:showCatName val="1"/>
            </c:dLbl>
            <c:spPr>
              <a:effectLst>
                <a:outerShdw blurRad="50800" dist="825500" dir="600000" sx="91000" sy="91000" algn="l" rotWithShape="0">
                  <a:prstClr val="black">
                    <a:alpha val="40000"/>
                  </a:prstClr>
                </a:outerShdw>
              </a:effectLst>
            </c:spPr>
            <c:txPr>
              <a:bodyPr/>
              <a:lstStyle/>
              <a:p>
                <a:pPr>
                  <a:defRPr sz="1100" b="0">
                    <a:effectLst/>
                  </a:defRPr>
                </a:pPr>
                <a:endParaRPr lang="en-US"/>
              </a:p>
            </c:txPr>
            <c:showVal val="1"/>
            <c:showCatName val="1"/>
            <c:showLeaderLines val="1"/>
          </c:dLbls>
          <c:cat>
            <c:strRef>
              <c:f>Sheet1!$B$16:$B$19</c:f>
              <c:strCache>
                <c:ptCount val="4"/>
                <c:pt idx="0">
                  <c:v>Respondent</c:v>
                </c:pt>
                <c:pt idx="1">
                  <c:v>Family member</c:v>
                </c:pt>
                <c:pt idx="2">
                  <c:v>Friend</c:v>
                </c:pt>
                <c:pt idx="3">
                  <c:v>Other</c:v>
                </c:pt>
              </c:strCache>
            </c:strRef>
          </c:cat>
          <c:val>
            <c:numRef>
              <c:f>Sheet1!$C$16:$C$19</c:f>
              <c:numCache>
                <c:formatCode>General</c:formatCode>
                <c:ptCount val="4"/>
                <c:pt idx="0">
                  <c:v>62.5</c:v>
                </c:pt>
                <c:pt idx="1">
                  <c:v>11.4</c:v>
                </c:pt>
                <c:pt idx="2">
                  <c:v>21.4</c:v>
                </c:pt>
                <c:pt idx="3">
                  <c:v>4.5999999999999996</c:v>
                </c:pt>
              </c:numCache>
            </c:numRef>
          </c:val>
        </c:ser>
        <c:dLbls>
          <c:showVal val="1"/>
          <c:showCatName val="1"/>
        </c:dLbls>
        <c:firstSliceAng val="0"/>
      </c:pieChart>
    </c:plotArea>
    <c:plotVisOnly val="1"/>
  </c:chart>
  <c:spPr>
    <a:ln>
      <a:noFill/>
    </a:ln>
    <a:effectLst>
      <a:outerShdw blurRad="50800" dist="38100" algn="l" rotWithShape="0">
        <a:prstClr val="black">
          <a:alpha val="40000"/>
        </a:prstClr>
      </a:outerShdw>
    </a:effectLst>
  </c:spPr>
  <c:externalData r:id="rId1"/>
  <c:userShapes r:id="rId2"/>
</c:chartSpace>
</file>

<file path=word/diagrams/colors1.xml><?xml version="1.0" encoding="utf-8"?>
<dgm:colorsDef xmlns:dgm="http://schemas.openxmlformats.org/drawingml/2006/diagram" xmlns:a="http://schemas.openxmlformats.org/drawingml/2006/main" uniqueId="urn:microsoft.com/office/officeart/2005/8/colors/accent2_5">
  <dgm:title val=""/>
  <dgm:desc val=""/>
  <dgm:catLst>
    <dgm:cat type="accent2" pri="11500"/>
  </dgm:catLst>
  <dgm:styleLbl name="node0">
    <dgm:fillClrLst meth="cycle">
      <a:schemeClr val="accent2">
        <a:alpha val="80000"/>
      </a:schemeClr>
    </dgm:fillClrLst>
    <dgm:linClrLst meth="repeat">
      <a:schemeClr val="lt1"/>
    </dgm:linClrLst>
    <dgm:effectClrLst/>
    <dgm:txLinClrLst/>
    <dgm:txFillClrLst/>
    <dgm:txEffectClrLst/>
  </dgm:styleLbl>
  <dgm:styleLbl name="node1">
    <dgm:fillClrLst>
      <a:schemeClr val="accent2">
        <a:alpha val="90000"/>
      </a:schemeClr>
      <a:schemeClr val="accent2">
        <a:alpha val="50000"/>
      </a:schemeClr>
    </dgm:fillClrLst>
    <dgm:linClrLst meth="repeat">
      <a:schemeClr val="lt1"/>
    </dgm:linClrLst>
    <dgm:effectClrLst/>
    <dgm:txLinClrLst/>
    <dgm:txFillClrLst/>
    <dgm:txEffectClrLst/>
  </dgm:styleLbl>
  <dgm:styleLbl name="alignNode1">
    <dgm:fillClrLst>
      <a:schemeClr val="accent2">
        <a:alpha val="90000"/>
      </a:schemeClr>
      <a:schemeClr val="accent2">
        <a:alpha val="50000"/>
      </a:schemeClr>
    </dgm:fillClrLst>
    <dgm:linClrLst>
      <a:schemeClr val="accent2">
        <a:alpha val="90000"/>
      </a:schemeClr>
      <a:schemeClr val="accent2">
        <a:alpha val="50000"/>
      </a:schemeClr>
    </dgm:linClrLst>
    <dgm:effectClrLst/>
    <dgm:txLinClrLst/>
    <dgm:txFillClrLst/>
    <dgm:txEffectClrLst/>
  </dgm:styleLbl>
  <dgm:styleLbl name="lnNode1">
    <dgm:fillClrLst>
      <a:schemeClr val="accent2">
        <a:shade val="90000"/>
      </a:schemeClr>
      <a:schemeClr val="accent2">
        <a:alpha val="50000"/>
        <a:tint val="5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alpha val="20000"/>
      </a:schemeClr>
    </dgm:fillClrLst>
    <dgm:linClrLst meth="repeat">
      <a:schemeClr val="lt1"/>
    </dgm:linClrLst>
    <dgm:effectClrLst/>
    <dgm:txLinClrLst/>
    <dgm:txFillClrLst/>
    <dgm:txEffectClrLst/>
  </dgm:styleLbl>
  <dgm:styleLbl name="node2">
    <dgm:fillClrLst>
      <a:schemeClr val="accent2">
        <a:alpha val="70000"/>
      </a:schemeClr>
    </dgm:fillClrLst>
    <dgm:linClrLst meth="repeat">
      <a:schemeClr val="lt1"/>
    </dgm:linClrLst>
    <dgm:effectClrLst/>
    <dgm:txLinClrLst/>
    <dgm:txFillClrLst/>
    <dgm:txEffectClrLst/>
  </dgm:styleLbl>
  <dgm:styleLbl name="node3">
    <dgm:fillClrLst>
      <a:schemeClr val="accent2">
        <a:alpha val="50000"/>
      </a:schemeClr>
    </dgm:fillClrLst>
    <dgm:linClrLst meth="repeat">
      <a:schemeClr val="lt1"/>
    </dgm:linClrLst>
    <dgm:effectClrLst/>
    <dgm:txLinClrLst/>
    <dgm:txFillClrLst/>
    <dgm:txEffectClrLst/>
  </dgm:styleLbl>
  <dgm:styleLbl name="node4">
    <dgm:fillClrLst>
      <a:schemeClr val="accent2">
        <a:alpha val="30000"/>
      </a:schemeClr>
    </dgm:fillClrLst>
    <dgm:linClrLst meth="repeat">
      <a:schemeClr val="lt1"/>
    </dgm:linClrLst>
    <dgm:effectClrLst/>
    <dgm:txLinClrLst/>
    <dgm:txFillClrLst/>
    <dgm:txEffectClrLst/>
  </dgm:styleLbl>
  <dgm:styleLbl name="fgImgPlace1">
    <dgm:fillClrLst>
      <a:schemeClr val="accent2">
        <a:tint val="50000"/>
        <a:alpha val="90000"/>
      </a:schemeClr>
      <a:schemeClr val="accent2">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f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b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sibTrans1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alpha val="90000"/>
      </a:schemeClr>
    </dgm:fillClrLst>
    <dgm:linClrLst meth="repeat">
      <a:schemeClr val="lt1"/>
    </dgm:linClrLst>
    <dgm:effectClrLst/>
    <dgm:txLinClrLst/>
    <dgm:txFillClrLst/>
    <dgm:txEffectClrLst/>
  </dgm:styleLbl>
  <dgm:styleLbl name="asst1">
    <dgm:fillClrLst meth="repeat">
      <a:schemeClr val="accent2">
        <a:alpha val="90000"/>
      </a:schemeClr>
    </dgm:fillClrLst>
    <dgm:linClrLst meth="repeat">
      <a:schemeClr val="lt1"/>
    </dgm:linClrLst>
    <dgm:effectClrLst/>
    <dgm:txLinClrLst/>
    <dgm:txFillClrLst/>
    <dgm:txEffectClrLst/>
  </dgm:styleLbl>
  <dgm:styleLbl name="asst2">
    <dgm:fillClrLst>
      <a:schemeClr val="accent2">
        <a:alpha val="90000"/>
      </a:schemeClr>
    </dgm:fillClrLst>
    <dgm:linClrLst meth="repeat">
      <a:schemeClr val="lt1"/>
    </dgm:linClrLst>
    <dgm:effectClrLst/>
    <dgm:txLinClrLst/>
    <dgm:txFillClrLst/>
    <dgm:txEffectClrLst/>
  </dgm:styleLbl>
  <dgm:styleLbl name="asst3">
    <dgm:fillClrLst>
      <a:schemeClr val="accent2">
        <a:alpha val="70000"/>
      </a:schemeClr>
    </dgm:fillClrLst>
    <dgm:linClrLst meth="repeat">
      <a:schemeClr val="lt1"/>
    </dgm:linClrLst>
    <dgm:effectClrLst/>
    <dgm:txLinClrLst/>
    <dgm:txFillClrLst/>
    <dgm:txEffectClrLst/>
  </dgm:styleLbl>
  <dgm:styleLbl name="asst4">
    <dgm:fillClrLst>
      <a:schemeClr val="accent2">
        <a:alpha val="50000"/>
      </a:schemeClr>
    </dgm:fillClrLst>
    <dgm:linClrLst meth="repeat">
      <a:schemeClr val="lt1"/>
    </dgm:linClrLst>
    <dgm:effectClrLst/>
    <dgm:txLinClrLst/>
    <dgm:txFillClrLst/>
    <dgm:txEffectClrLst/>
  </dgm:styleLbl>
  <dgm:styleLbl name="parChTrans2D1">
    <dgm:fillClrLst meth="repeat">
      <a:schemeClr val="accent2">
        <a:shade val="8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a:schemeClr val="accent2">
        <a:alpha val="90000"/>
        <a:tint val="40000"/>
      </a:schemeClr>
      <a:schemeClr val="accent2">
        <a:alpha val="5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5">
  <dgm:title val=""/>
  <dgm:desc val=""/>
  <dgm:catLst>
    <dgm:cat type="accent2" pri="11500"/>
  </dgm:catLst>
  <dgm:styleLbl name="node0">
    <dgm:fillClrLst meth="cycle">
      <a:schemeClr val="accent2">
        <a:alpha val="80000"/>
      </a:schemeClr>
    </dgm:fillClrLst>
    <dgm:linClrLst meth="repeat">
      <a:schemeClr val="lt1"/>
    </dgm:linClrLst>
    <dgm:effectClrLst/>
    <dgm:txLinClrLst/>
    <dgm:txFillClrLst/>
    <dgm:txEffectClrLst/>
  </dgm:styleLbl>
  <dgm:styleLbl name="node1">
    <dgm:fillClrLst>
      <a:schemeClr val="accent2">
        <a:alpha val="90000"/>
      </a:schemeClr>
      <a:schemeClr val="accent2">
        <a:alpha val="50000"/>
      </a:schemeClr>
    </dgm:fillClrLst>
    <dgm:linClrLst meth="repeat">
      <a:schemeClr val="lt1"/>
    </dgm:linClrLst>
    <dgm:effectClrLst/>
    <dgm:txLinClrLst/>
    <dgm:txFillClrLst/>
    <dgm:txEffectClrLst/>
  </dgm:styleLbl>
  <dgm:styleLbl name="alignNode1">
    <dgm:fillClrLst>
      <a:schemeClr val="accent2">
        <a:alpha val="90000"/>
      </a:schemeClr>
      <a:schemeClr val="accent2">
        <a:alpha val="50000"/>
      </a:schemeClr>
    </dgm:fillClrLst>
    <dgm:linClrLst>
      <a:schemeClr val="accent2">
        <a:alpha val="90000"/>
      </a:schemeClr>
      <a:schemeClr val="accent2">
        <a:alpha val="50000"/>
      </a:schemeClr>
    </dgm:linClrLst>
    <dgm:effectClrLst/>
    <dgm:txLinClrLst/>
    <dgm:txFillClrLst/>
    <dgm:txEffectClrLst/>
  </dgm:styleLbl>
  <dgm:styleLbl name="lnNode1">
    <dgm:fillClrLst>
      <a:schemeClr val="accent2">
        <a:shade val="90000"/>
      </a:schemeClr>
      <a:schemeClr val="accent2">
        <a:alpha val="50000"/>
        <a:tint val="5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alpha val="20000"/>
      </a:schemeClr>
    </dgm:fillClrLst>
    <dgm:linClrLst meth="repeat">
      <a:schemeClr val="lt1"/>
    </dgm:linClrLst>
    <dgm:effectClrLst/>
    <dgm:txLinClrLst/>
    <dgm:txFillClrLst/>
    <dgm:txEffectClrLst/>
  </dgm:styleLbl>
  <dgm:styleLbl name="node2">
    <dgm:fillClrLst>
      <a:schemeClr val="accent2">
        <a:alpha val="70000"/>
      </a:schemeClr>
    </dgm:fillClrLst>
    <dgm:linClrLst meth="repeat">
      <a:schemeClr val="lt1"/>
    </dgm:linClrLst>
    <dgm:effectClrLst/>
    <dgm:txLinClrLst/>
    <dgm:txFillClrLst/>
    <dgm:txEffectClrLst/>
  </dgm:styleLbl>
  <dgm:styleLbl name="node3">
    <dgm:fillClrLst>
      <a:schemeClr val="accent2">
        <a:alpha val="50000"/>
      </a:schemeClr>
    </dgm:fillClrLst>
    <dgm:linClrLst meth="repeat">
      <a:schemeClr val="lt1"/>
    </dgm:linClrLst>
    <dgm:effectClrLst/>
    <dgm:txLinClrLst/>
    <dgm:txFillClrLst/>
    <dgm:txEffectClrLst/>
  </dgm:styleLbl>
  <dgm:styleLbl name="node4">
    <dgm:fillClrLst>
      <a:schemeClr val="accent2">
        <a:alpha val="30000"/>
      </a:schemeClr>
    </dgm:fillClrLst>
    <dgm:linClrLst meth="repeat">
      <a:schemeClr val="lt1"/>
    </dgm:linClrLst>
    <dgm:effectClrLst/>
    <dgm:txLinClrLst/>
    <dgm:txFillClrLst/>
    <dgm:txEffectClrLst/>
  </dgm:styleLbl>
  <dgm:styleLbl name="fgImgPlace1">
    <dgm:fillClrLst>
      <a:schemeClr val="accent2">
        <a:tint val="50000"/>
        <a:alpha val="90000"/>
      </a:schemeClr>
      <a:schemeClr val="accent2">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f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b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sibTrans1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alpha val="90000"/>
      </a:schemeClr>
    </dgm:fillClrLst>
    <dgm:linClrLst meth="repeat">
      <a:schemeClr val="lt1"/>
    </dgm:linClrLst>
    <dgm:effectClrLst/>
    <dgm:txLinClrLst/>
    <dgm:txFillClrLst/>
    <dgm:txEffectClrLst/>
  </dgm:styleLbl>
  <dgm:styleLbl name="asst1">
    <dgm:fillClrLst meth="repeat">
      <a:schemeClr val="accent2">
        <a:alpha val="90000"/>
      </a:schemeClr>
    </dgm:fillClrLst>
    <dgm:linClrLst meth="repeat">
      <a:schemeClr val="lt1"/>
    </dgm:linClrLst>
    <dgm:effectClrLst/>
    <dgm:txLinClrLst/>
    <dgm:txFillClrLst/>
    <dgm:txEffectClrLst/>
  </dgm:styleLbl>
  <dgm:styleLbl name="asst2">
    <dgm:fillClrLst>
      <a:schemeClr val="accent2">
        <a:alpha val="90000"/>
      </a:schemeClr>
    </dgm:fillClrLst>
    <dgm:linClrLst meth="repeat">
      <a:schemeClr val="lt1"/>
    </dgm:linClrLst>
    <dgm:effectClrLst/>
    <dgm:txLinClrLst/>
    <dgm:txFillClrLst/>
    <dgm:txEffectClrLst/>
  </dgm:styleLbl>
  <dgm:styleLbl name="asst3">
    <dgm:fillClrLst>
      <a:schemeClr val="accent2">
        <a:alpha val="70000"/>
      </a:schemeClr>
    </dgm:fillClrLst>
    <dgm:linClrLst meth="repeat">
      <a:schemeClr val="lt1"/>
    </dgm:linClrLst>
    <dgm:effectClrLst/>
    <dgm:txLinClrLst/>
    <dgm:txFillClrLst/>
    <dgm:txEffectClrLst/>
  </dgm:styleLbl>
  <dgm:styleLbl name="asst4">
    <dgm:fillClrLst>
      <a:schemeClr val="accent2">
        <a:alpha val="50000"/>
      </a:schemeClr>
    </dgm:fillClrLst>
    <dgm:linClrLst meth="repeat">
      <a:schemeClr val="lt1"/>
    </dgm:linClrLst>
    <dgm:effectClrLst/>
    <dgm:txLinClrLst/>
    <dgm:txFillClrLst/>
    <dgm:txEffectClrLst/>
  </dgm:styleLbl>
  <dgm:styleLbl name="parChTrans2D1">
    <dgm:fillClrLst meth="repeat">
      <a:schemeClr val="accent2">
        <a:shade val="8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a:schemeClr val="accent2">
        <a:alpha val="90000"/>
        <a:tint val="40000"/>
      </a:schemeClr>
      <a:schemeClr val="accent2">
        <a:alpha val="5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2_5">
  <dgm:title val=""/>
  <dgm:desc val=""/>
  <dgm:catLst>
    <dgm:cat type="accent2" pri="11500"/>
  </dgm:catLst>
  <dgm:styleLbl name="node0">
    <dgm:fillClrLst meth="cycle">
      <a:schemeClr val="accent2">
        <a:alpha val="80000"/>
      </a:schemeClr>
    </dgm:fillClrLst>
    <dgm:linClrLst meth="repeat">
      <a:schemeClr val="lt1"/>
    </dgm:linClrLst>
    <dgm:effectClrLst/>
    <dgm:txLinClrLst/>
    <dgm:txFillClrLst/>
    <dgm:txEffectClrLst/>
  </dgm:styleLbl>
  <dgm:styleLbl name="node1">
    <dgm:fillClrLst>
      <a:schemeClr val="accent2">
        <a:alpha val="90000"/>
      </a:schemeClr>
      <a:schemeClr val="accent2">
        <a:alpha val="50000"/>
      </a:schemeClr>
    </dgm:fillClrLst>
    <dgm:linClrLst meth="repeat">
      <a:schemeClr val="lt1"/>
    </dgm:linClrLst>
    <dgm:effectClrLst/>
    <dgm:txLinClrLst/>
    <dgm:txFillClrLst/>
    <dgm:txEffectClrLst/>
  </dgm:styleLbl>
  <dgm:styleLbl name="alignNode1">
    <dgm:fillClrLst>
      <a:schemeClr val="accent2">
        <a:alpha val="90000"/>
      </a:schemeClr>
      <a:schemeClr val="accent2">
        <a:alpha val="50000"/>
      </a:schemeClr>
    </dgm:fillClrLst>
    <dgm:linClrLst>
      <a:schemeClr val="accent2">
        <a:alpha val="90000"/>
      </a:schemeClr>
      <a:schemeClr val="accent2">
        <a:alpha val="50000"/>
      </a:schemeClr>
    </dgm:linClrLst>
    <dgm:effectClrLst/>
    <dgm:txLinClrLst/>
    <dgm:txFillClrLst/>
    <dgm:txEffectClrLst/>
  </dgm:styleLbl>
  <dgm:styleLbl name="lnNode1">
    <dgm:fillClrLst>
      <a:schemeClr val="accent2">
        <a:shade val="90000"/>
      </a:schemeClr>
      <a:schemeClr val="accent2">
        <a:alpha val="50000"/>
        <a:tint val="5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alpha val="20000"/>
      </a:schemeClr>
    </dgm:fillClrLst>
    <dgm:linClrLst meth="repeat">
      <a:schemeClr val="lt1"/>
    </dgm:linClrLst>
    <dgm:effectClrLst/>
    <dgm:txLinClrLst/>
    <dgm:txFillClrLst/>
    <dgm:txEffectClrLst/>
  </dgm:styleLbl>
  <dgm:styleLbl name="node2">
    <dgm:fillClrLst>
      <a:schemeClr val="accent2">
        <a:alpha val="70000"/>
      </a:schemeClr>
    </dgm:fillClrLst>
    <dgm:linClrLst meth="repeat">
      <a:schemeClr val="lt1"/>
    </dgm:linClrLst>
    <dgm:effectClrLst/>
    <dgm:txLinClrLst/>
    <dgm:txFillClrLst/>
    <dgm:txEffectClrLst/>
  </dgm:styleLbl>
  <dgm:styleLbl name="node3">
    <dgm:fillClrLst>
      <a:schemeClr val="accent2">
        <a:alpha val="50000"/>
      </a:schemeClr>
    </dgm:fillClrLst>
    <dgm:linClrLst meth="repeat">
      <a:schemeClr val="lt1"/>
    </dgm:linClrLst>
    <dgm:effectClrLst/>
    <dgm:txLinClrLst/>
    <dgm:txFillClrLst/>
    <dgm:txEffectClrLst/>
  </dgm:styleLbl>
  <dgm:styleLbl name="node4">
    <dgm:fillClrLst>
      <a:schemeClr val="accent2">
        <a:alpha val="30000"/>
      </a:schemeClr>
    </dgm:fillClrLst>
    <dgm:linClrLst meth="repeat">
      <a:schemeClr val="lt1"/>
    </dgm:linClrLst>
    <dgm:effectClrLst/>
    <dgm:txLinClrLst/>
    <dgm:txFillClrLst/>
    <dgm:txEffectClrLst/>
  </dgm:styleLbl>
  <dgm:styleLbl name="fgImgPlace1">
    <dgm:fillClrLst>
      <a:schemeClr val="accent2">
        <a:tint val="50000"/>
        <a:alpha val="90000"/>
      </a:schemeClr>
      <a:schemeClr val="accent2">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f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b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sibTrans1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alpha val="90000"/>
      </a:schemeClr>
    </dgm:fillClrLst>
    <dgm:linClrLst meth="repeat">
      <a:schemeClr val="lt1"/>
    </dgm:linClrLst>
    <dgm:effectClrLst/>
    <dgm:txLinClrLst/>
    <dgm:txFillClrLst/>
    <dgm:txEffectClrLst/>
  </dgm:styleLbl>
  <dgm:styleLbl name="asst1">
    <dgm:fillClrLst meth="repeat">
      <a:schemeClr val="accent2">
        <a:alpha val="90000"/>
      </a:schemeClr>
    </dgm:fillClrLst>
    <dgm:linClrLst meth="repeat">
      <a:schemeClr val="lt1"/>
    </dgm:linClrLst>
    <dgm:effectClrLst/>
    <dgm:txLinClrLst/>
    <dgm:txFillClrLst/>
    <dgm:txEffectClrLst/>
  </dgm:styleLbl>
  <dgm:styleLbl name="asst2">
    <dgm:fillClrLst>
      <a:schemeClr val="accent2">
        <a:alpha val="90000"/>
      </a:schemeClr>
    </dgm:fillClrLst>
    <dgm:linClrLst meth="repeat">
      <a:schemeClr val="lt1"/>
    </dgm:linClrLst>
    <dgm:effectClrLst/>
    <dgm:txLinClrLst/>
    <dgm:txFillClrLst/>
    <dgm:txEffectClrLst/>
  </dgm:styleLbl>
  <dgm:styleLbl name="asst3">
    <dgm:fillClrLst>
      <a:schemeClr val="accent2">
        <a:alpha val="70000"/>
      </a:schemeClr>
    </dgm:fillClrLst>
    <dgm:linClrLst meth="repeat">
      <a:schemeClr val="lt1"/>
    </dgm:linClrLst>
    <dgm:effectClrLst/>
    <dgm:txLinClrLst/>
    <dgm:txFillClrLst/>
    <dgm:txEffectClrLst/>
  </dgm:styleLbl>
  <dgm:styleLbl name="asst4">
    <dgm:fillClrLst>
      <a:schemeClr val="accent2">
        <a:alpha val="50000"/>
      </a:schemeClr>
    </dgm:fillClrLst>
    <dgm:linClrLst meth="repeat">
      <a:schemeClr val="lt1"/>
    </dgm:linClrLst>
    <dgm:effectClrLst/>
    <dgm:txLinClrLst/>
    <dgm:txFillClrLst/>
    <dgm:txEffectClrLst/>
  </dgm:styleLbl>
  <dgm:styleLbl name="parChTrans2D1">
    <dgm:fillClrLst meth="repeat">
      <a:schemeClr val="accent2">
        <a:shade val="8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a:schemeClr val="accent2">
        <a:alpha val="90000"/>
        <a:tint val="40000"/>
      </a:schemeClr>
      <a:schemeClr val="accent2">
        <a:alpha val="5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F8A43C4-53B5-451D-8486-622732653C80}" type="doc">
      <dgm:prSet loTypeId="urn:microsoft.com/office/officeart/2005/8/layout/arrow2" loCatId="process" qsTypeId="urn:microsoft.com/office/officeart/2005/8/quickstyle/simple4" qsCatId="simple" csTypeId="urn:microsoft.com/office/officeart/2005/8/colors/accent2_5" csCatId="accent2" phldr="1"/>
      <dgm:spPr/>
      <dgm:t>
        <a:bodyPr/>
        <a:lstStyle/>
        <a:p>
          <a:endParaRPr lang="en-AU"/>
        </a:p>
      </dgm:t>
    </dgm:pt>
    <dgm:pt modelId="{8FB4D3B3-A7F1-4D36-8536-634CF67F5D66}">
      <dgm:prSet phldrT="[Text]" custT="1"/>
      <dgm:spPr/>
      <dgm:t>
        <a:bodyPr/>
        <a:lstStyle/>
        <a:p>
          <a:pPr algn="ctr"/>
          <a:endParaRPr lang="en-AU" sz="1400"/>
        </a:p>
        <a:p>
          <a:pPr algn="ctr"/>
          <a:r>
            <a:rPr lang="en-AU" sz="1400"/>
            <a:t>ANPR</a:t>
          </a:r>
        </a:p>
      </dgm:t>
    </dgm:pt>
    <dgm:pt modelId="{A2290A14-E124-400F-A1B9-9B59267ACA45}" type="parTrans" cxnId="{25B2ED90-A12B-4E58-BE24-0721BF50FEEB}">
      <dgm:prSet/>
      <dgm:spPr/>
      <dgm:t>
        <a:bodyPr/>
        <a:lstStyle/>
        <a:p>
          <a:endParaRPr lang="en-AU"/>
        </a:p>
      </dgm:t>
    </dgm:pt>
    <dgm:pt modelId="{840EF091-5F38-43F3-B149-6EB0DAC31EA8}" type="sibTrans" cxnId="{25B2ED90-A12B-4E58-BE24-0721BF50FEEB}">
      <dgm:prSet/>
      <dgm:spPr/>
      <dgm:t>
        <a:bodyPr/>
        <a:lstStyle/>
        <a:p>
          <a:endParaRPr lang="en-AU"/>
        </a:p>
      </dgm:t>
    </dgm:pt>
    <dgm:pt modelId="{29F29AB6-2E37-45DC-A6ED-13E75434760A}" type="pres">
      <dgm:prSet presAssocID="{DF8A43C4-53B5-451D-8486-622732653C80}" presName="arrowDiagram" presStyleCnt="0">
        <dgm:presLayoutVars>
          <dgm:chMax val="5"/>
          <dgm:dir/>
          <dgm:resizeHandles val="exact"/>
        </dgm:presLayoutVars>
      </dgm:prSet>
      <dgm:spPr/>
      <dgm:t>
        <a:bodyPr/>
        <a:lstStyle/>
        <a:p>
          <a:endParaRPr lang="en-AU"/>
        </a:p>
      </dgm:t>
    </dgm:pt>
    <dgm:pt modelId="{C657833C-B449-4F3A-9D1E-E47919C90852}" type="pres">
      <dgm:prSet presAssocID="{DF8A43C4-53B5-451D-8486-622732653C80}" presName="arrow" presStyleLbl="bgShp" presStyleIdx="0" presStyleCnt="1" custAng="2593347" custLinFactNeighborX="-7081" custLinFactNeighborY="-4598"/>
      <dgm:spPr/>
      <dgm:t>
        <a:bodyPr/>
        <a:lstStyle/>
        <a:p>
          <a:endParaRPr lang="en-AU"/>
        </a:p>
      </dgm:t>
    </dgm:pt>
    <dgm:pt modelId="{0879E19C-5F6F-4D66-8B9F-B67A49E1575E}" type="pres">
      <dgm:prSet presAssocID="{DF8A43C4-53B5-451D-8486-622732653C80}" presName="arrowDiagram1" presStyleCnt="0">
        <dgm:presLayoutVars>
          <dgm:bulletEnabled val="1"/>
        </dgm:presLayoutVars>
      </dgm:prSet>
      <dgm:spPr/>
      <dgm:t>
        <a:bodyPr/>
        <a:lstStyle/>
        <a:p>
          <a:endParaRPr lang="en-AU"/>
        </a:p>
      </dgm:t>
    </dgm:pt>
    <dgm:pt modelId="{26198DD0-D7B4-4EB3-873E-A558A554CECF}" type="pres">
      <dgm:prSet presAssocID="{8FB4D3B3-A7F1-4D36-8536-634CF67F5D66}" presName="bullet1" presStyleLbl="node1" presStyleIdx="0" presStyleCnt="1"/>
      <dgm:spPr/>
      <dgm:t>
        <a:bodyPr/>
        <a:lstStyle/>
        <a:p>
          <a:endParaRPr lang="en-AU"/>
        </a:p>
      </dgm:t>
    </dgm:pt>
    <dgm:pt modelId="{0C04C517-971B-4736-A9C6-06CC71680B12}" type="pres">
      <dgm:prSet presAssocID="{8FB4D3B3-A7F1-4D36-8536-634CF67F5D66}" presName="textBox1" presStyleLbl="revTx" presStyleIdx="0" presStyleCnt="1" custAng="20595687" custScaleX="305434" custScaleY="96921" custLinFactNeighborX="25728" custLinFactNeighborY="-37682">
        <dgm:presLayoutVars>
          <dgm:bulletEnabled val="1"/>
        </dgm:presLayoutVars>
      </dgm:prSet>
      <dgm:spPr/>
      <dgm:t>
        <a:bodyPr/>
        <a:lstStyle/>
        <a:p>
          <a:endParaRPr lang="en-AU"/>
        </a:p>
      </dgm:t>
    </dgm:pt>
  </dgm:ptLst>
  <dgm:cxnLst>
    <dgm:cxn modelId="{25B2ED90-A12B-4E58-BE24-0721BF50FEEB}" srcId="{DF8A43C4-53B5-451D-8486-622732653C80}" destId="{8FB4D3B3-A7F1-4D36-8536-634CF67F5D66}" srcOrd="0" destOrd="0" parTransId="{A2290A14-E124-400F-A1B9-9B59267ACA45}" sibTransId="{840EF091-5F38-43F3-B149-6EB0DAC31EA8}"/>
    <dgm:cxn modelId="{4F79381E-FEA7-4E30-8D2A-DE5B5C6E5237}" type="presOf" srcId="{8FB4D3B3-A7F1-4D36-8536-634CF67F5D66}" destId="{0C04C517-971B-4736-A9C6-06CC71680B12}" srcOrd="0" destOrd="0" presId="urn:microsoft.com/office/officeart/2005/8/layout/arrow2"/>
    <dgm:cxn modelId="{C6766B2C-1668-4E7E-9558-0D80CFBBAB3C}" type="presOf" srcId="{DF8A43C4-53B5-451D-8486-622732653C80}" destId="{29F29AB6-2E37-45DC-A6ED-13E75434760A}" srcOrd="0" destOrd="0" presId="urn:microsoft.com/office/officeart/2005/8/layout/arrow2"/>
    <dgm:cxn modelId="{77693CF1-7E75-4B15-B00B-4497CE263A8E}" type="presParOf" srcId="{29F29AB6-2E37-45DC-A6ED-13E75434760A}" destId="{C657833C-B449-4F3A-9D1E-E47919C90852}" srcOrd="0" destOrd="0" presId="urn:microsoft.com/office/officeart/2005/8/layout/arrow2"/>
    <dgm:cxn modelId="{C620A3DB-E708-4218-9CB3-553B79F9AE04}" type="presParOf" srcId="{29F29AB6-2E37-45DC-A6ED-13E75434760A}" destId="{0879E19C-5F6F-4D66-8B9F-B67A49E1575E}" srcOrd="1" destOrd="0" presId="urn:microsoft.com/office/officeart/2005/8/layout/arrow2"/>
    <dgm:cxn modelId="{E45DEC6B-ECBD-43CD-9E98-7393D4DE1AA2}" type="presParOf" srcId="{0879E19C-5F6F-4D66-8B9F-B67A49E1575E}" destId="{26198DD0-D7B4-4EB3-873E-A558A554CECF}" srcOrd="0" destOrd="0" presId="urn:microsoft.com/office/officeart/2005/8/layout/arrow2"/>
    <dgm:cxn modelId="{F4C206A5-5B31-4A44-8186-A82CB70976D5}" type="presParOf" srcId="{0879E19C-5F6F-4D66-8B9F-B67A49E1575E}" destId="{0C04C517-971B-4736-A9C6-06CC71680B12}" srcOrd="1" destOrd="0" presId="urn:microsoft.com/office/officeart/2005/8/layout/arrow2"/>
  </dgm:cxnLst>
  <dgm:bg/>
  <dgm:whole/>
  <dgm:extLst>
    <a:ext uri="http://schemas.microsoft.com/office/drawing/2008/diagram">
      <dsp:dataModelExt xmlns:dsp="http://schemas.microsoft.com/office/drawing/2008/diagram" xmlns=""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F8A43C4-53B5-451D-8486-622732653C80}" type="doc">
      <dgm:prSet loTypeId="urn:microsoft.com/office/officeart/2005/8/layout/arrow2" loCatId="process" qsTypeId="urn:microsoft.com/office/officeart/2005/8/quickstyle/simple4" qsCatId="simple" csTypeId="urn:microsoft.com/office/officeart/2005/8/colors/accent2_5" csCatId="accent2" phldr="1"/>
      <dgm:spPr/>
      <dgm:t>
        <a:bodyPr/>
        <a:lstStyle/>
        <a:p>
          <a:endParaRPr lang="en-AU"/>
        </a:p>
      </dgm:t>
    </dgm:pt>
    <dgm:pt modelId="{8FB4D3B3-A7F1-4D36-8536-634CF67F5D66}">
      <dgm:prSet phldrT="[Text]" custT="1"/>
      <dgm:spPr/>
      <dgm:t>
        <a:bodyPr/>
        <a:lstStyle/>
        <a:p>
          <a:pPr algn="ctr"/>
          <a:endParaRPr lang="en-AU" sz="1400"/>
        </a:p>
        <a:p>
          <a:pPr algn="ctr"/>
          <a:r>
            <a:rPr lang="en-AU" sz="1400"/>
            <a:t>Mandatory</a:t>
          </a:r>
        </a:p>
        <a:p>
          <a:pPr algn="ctr"/>
          <a:r>
            <a:rPr lang="en-AU" sz="1400"/>
            <a:t>Disqualification</a:t>
          </a:r>
        </a:p>
      </dgm:t>
    </dgm:pt>
    <dgm:pt modelId="{A2290A14-E124-400F-A1B9-9B59267ACA45}" type="parTrans" cxnId="{25B2ED90-A12B-4E58-BE24-0721BF50FEEB}">
      <dgm:prSet/>
      <dgm:spPr/>
      <dgm:t>
        <a:bodyPr/>
        <a:lstStyle/>
        <a:p>
          <a:endParaRPr lang="en-AU"/>
        </a:p>
      </dgm:t>
    </dgm:pt>
    <dgm:pt modelId="{840EF091-5F38-43F3-B149-6EB0DAC31EA8}" type="sibTrans" cxnId="{25B2ED90-A12B-4E58-BE24-0721BF50FEEB}">
      <dgm:prSet/>
      <dgm:spPr/>
      <dgm:t>
        <a:bodyPr/>
        <a:lstStyle/>
        <a:p>
          <a:endParaRPr lang="en-AU"/>
        </a:p>
      </dgm:t>
    </dgm:pt>
    <dgm:pt modelId="{29F29AB6-2E37-45DC-A6ED-13E75434760A}" type="pres">
      <dgm:prSet presAssocID="{DF8A43C4-53B5-451D-8486-622732653C80}" presName="arrowDiagram" presStyleCnt="0">
        <dgm:presLayoutVars>
          <dgm:chMax val="5"/>
          <dgm:dir/>
          <dgm:resizeHandles val="exact"/>
        </dgm:presLayoutVars>
      </dgm:prSet>
      <dgm:spPr/>
      <dgm:t>
        <a:bodyPr/>
        <a:lstStyle/>
        <a:p>
          <a:endParaRPr lang="en-AU"/>
        </a:p>
      </dgm:t>
    </dgm:pt>
    <dgm:pt modelId="{C657833C-B449-4F3A-9D1E-E47919C90852}" type="pres">
      <dgm:prSet presAssocID="{DF8A43C4-53B5-451D-8486-622732653C80}" presName="arrow" presStyleLbl="bgShp" presStyleIdx="0" presStyleCnt="1" custAng="2593347" custLinFactNeighborX="-19176" custLinFactNeighborY="4546"/>
      <dgm:spPr/>
    </dgm:pt>
    <dgm:pt modelId="{0879E19C-5F6F-4D66-8B9F-B67A49E1575E}" type="pres">
      <dgm:prSet presAssocID="{DF8A43C4-53B5-451D-8486-622732653C80}" presName="arrowDiagram1" presStyleCnt="0">
        <dgm:presLayoutVars>
          <dgm:bulletEnabled val="1"/>
        </dgm:presLayoutVars>
      </dgm:prSet>
      <dgm:spPr/>
    </dgm:pt>
    <dgm:pt modelId="{26198DD0-D7B4-4EB3-873E-A558A554CECF}" type="pres">
      <dgm:prSet presAssocID="{8FB4D3B3-A7F1-4D36-8536-634CF67F5D66}" presName="bullet1" presStyleLbl="node1" presStyleIdx="0" presStyleCnt="1"/>
      <dgm:spPr/>
    </dgm:pt>
    <dgm:pt modelId="{0C04C517-971B-4736-A9C6-06CC71680B12}" type="pres">
      <dgm:prSet presAssocID="{8FB4D3B3-A7F1-4D36-8536-634CF67F5D66}" presName="textBox1" presStyleLbl="revTx" presStyleIdx="0" presStyleCnt="1" custAng="20595687" custScaleX="305434" custScaleY="96921" custLinFactNeighborX="25728" custLinFactNeighborY="-37682">
        <dgm:presLayoutVars>
          <dgm:bulletEnabled val="1"/>
        </dgm:presLayoutVars>
      </dgm:prSet>
      <dgm:spPr/>
      <dgm:t>
        <a:bodyPr/>
        <a:lstStyle/>
        <a:p>
          <a:endParaRPr lang="en-AU"/>
        </a:p>
      </dgm:t>
    </dgm:pt>
  </dgm:ptLst>
  <dgm:cxnLst>
    <dgm:cxn modelId="{25B2ED90-A12B-4E58-BE24-0721BF50FEEB}" srcId="{DF8A43C4-53B5-451D-8486-622732653C80}" destId="{8FB4D3B3-A7F1-4D36-8536-634CF67F5D66}" srcOrd="0" destOrd="0" parTransId="{A2290A14-E124-400F-A1B9-9B59267ACA45}" sibTransId="{840EF091-5F38-43F3-B149-6EB0DAC31EA8}"/>
    <dgm:cxn modelId="{7799F5F4-F278-4003-9040-6935D325B463}" type="presOf" srcId="{DF8A43C4-53B5-451D-8486-622732653C80}" destId="{29F29AB6-2E37-45DC-A6ED-13E75434760A}" srcOrd="0" destOrd="0" presId="urn:microsoft.com/office/officeart/2005/8/layout/arrow2"/>
    <dgm:cxn modelId="{E22C3211-5632-4DF2-AB5A-863F904FA71F}" type="presOf" srcId="{8FB4D3B3-A7F1-4D36-8536-634CF67F5D66}" destId="{0C04C517-971B-4736-A9C6-06CC71680B12}" srcOrd="0" destOrd="0" presId="urn:microsoft.com/office/officeart/2005/8/layout/arrow2"/>
    <dgm:cxn modelId="{E94A5C67-EED7-4693-A57A-9BE1E00FE195}" type="presParOf" srcId="{29F29AB6-2E37-45DC-A6ED-13E75434760A}" destId="{C657833C-B449-4F3A-9D1E-E47919C90852}" srcOrd="0" destOrd="0" presId="urn:microsoft.com/office/officeart/2005/8/layout/arrow2"/>
    <dgm:cxn modelId="{5FC6CC99-8AA5-4739-866B-0719D45DC2E2}" type="presParOf" srcId="{29F29AB6-2E37-45DC-A6ED-13E75434760A}" destId="{0879E19C-5F6F-4D66-8B9F-B67A49E1575E}" srcOrd="1" destOrd="0" presId="urn:microsoft.com/office/officeart/2005/8/layout/arrow2"/>
    <dgm:cxn modelId="{60B41942-7FB3-453D-BF36-904DA32EE161}" type="presParOf" srcId="{0879E19C-5F6F-4D66-8B9F-B67A49E1575E}" destId="{26198DD0-D7B4-4EB3-873E-A558A554CECF}" srcOrd="0" destOrd="0" presId="urn:microsoft.com/office/officeart/2005/8/layout/arrow2"/>
    <dgm:cxn modelId="{3859DE13-93AF-424C-AE7C-3BE9EBC7D400}" type="presParOf" srcId="{0879E19C-5F6F-4D66-8B9F-B67A49E1575E}" destId="{0C04C517-971B-4736-A9C6-06CC71680B12}" srcOrd="1" destOrd="0" presId="urn:microsoft.com/office/officeart/2005/8/layout/arrow2"/>
  </dgm:cxnLst>
  <dgm:bg/>
  <dgm:whole/>
  <dgm:extLst>
    <a:ext uri="http://schemas.microsoft.com/office/drawing/2008/diagram">
      <dsp:dataModelExt xmlns:dsp="http://schemas.microsoft.com/office/drawing/2008/diagram" xmlns=""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F8A43C4-53B5-451D-8486-622732653C80}" type="doc">
      <dgm:prSet loTypeId="urn:microsoft.com/office/officeart/2005/8/layout/arrow2" loCatId="process" qsTypeId="urn:microsoft.com/office/officeart/2005/8/quickstyle/simple4" qsCatId="simple" csTypeId="urn:microsoft.com/office/officeart/2005/8/colors/accent2_5" csCatId="accent2" phldr="1"/>
      <dgm:spPr/>
      <dgm:t>
        <a:bodyPr/>
        <a:lstStyle/>
        <a:p>
          <a:endParaRPr lang="en-AU"/>
        </a:p>
      </dgm:t>
    </dgm:pt>
    <dgm:pt modelId="{8FB4D3B3-A7F1-4D36-8536-634CF67F5D66}">
      <dgm:prSet phldrT="[Text]" custT="1"/>
      <dgm:spPr/>
      <dgm:t>
        <a:bodyPr/>
        <a:lstStyle/>
        <a:p>
          <a:r>
            <a:rPr lang="en-AU" sz="1800"/>
            <a:t>MPES</a:t>
          </a:r>
        </a:p>
      </dgm:t>
    </dgm:pt>
    <dgm:pt modelId="{A2290A14-E124-400F-A1B9-9B59267ACA45}" type="parTrans" cxnId="{25B2ED90-A12B-4E58-BE24-0721BF50FEEB}">
      <dgm:prSet/>
      <dgm:spPr/>
      <dgm:t>
        <a:bodyPr/>
        <a:lstStyle/>
        <a:p>
          <a:endParaRPr lang="en-AU"/>
        </a:p>
      </dgm:t>
    </dgm:pt>
    <dgm:pt modelId="{840EF091-5F38-43F3-B149-6EB0DAC31EA8}" type="sibTrans" cxnId="{25B2ED90-A12B-4E58-BE24-0721BF50FEEB}">
      <dgm:prSet/>
      <dgm:spPr/>
      <dgm:t>
        <a:bodyPr/>
        <a:lstStyle/>
        <a:p>
          <a:endParaRPr lang="en-AU"/>
        </a:p>
      </dgm:t>
    </dgm:pt>
    <dgm:pt modelId="{29F29AB6-2E37-45DC-A6ED-13E75434760A}" type="pres">
      <dgm:prSet presAssocID="{DF8A43C4-53B5-451D-8486-622732653C80}" presName="arrowDiagram" presStyleCnt="0">
        <dgm:presLayoutVars>
          <dgm:chMax val="5"/>
          <dgm:dir/>
          <dgm:resizeHandles val="exact"/>
        </dgm:presLayoutVars>
      </dgm:prSet>
      <dgm:spPr/>
      <dgm:t>
        <a:bodyPr/>
        <a:lstStyle/>
        <a:p>
          <a:endParaRPr lang="en-AU"/>
        </a:p>
      </dgm:t>
    </dgm:pt>
    <dgm:pt modelId="{C657833C-B449-4F3A-9D1E-E47919C90852}" type="pres">
      <dgm:prSet presAssocID="{DF8A43C4-53B5-451D-8486-622732653C80}" presName="arrow" presStyleLbl="bgShp" presStyleIdx="0" presStyleCnt="1" custAng="2593347" custLinFactNeighborX="-19176" custLinFactNeighborY="4546"/>
      <dgm:spPr/>
    </dgm:pt>
    <dgm:pt modelId="{0879E19C-5F6F-4D66-8B9F-B67A49E1575E}" type="pres">
      <dgm:prSet presAssocID="{DF8A43C4-53B5-451D-8486-622732653C80}" presName="arrowDiagram1" presStyleCnt="0">
        <dgm:presLayoutVars>
          <dgm:bulletEnabled val="1"/>
        </dgm:presLayoutVars>
      </dgm:prSet>
      <dgm:spPr/>
    </dgm:pt>
    <dgm:pt modelId="{26198DD0-D7B4-4EB3-873E-A558A554CECF}" type="pres">
      <dgm:prSet presAssocID="{8FB4D3B3-A7F1-4D36-8536-634CF67F5D66}" presName="bullet1" presStyleLbl="node1" presStyleIdx="0" presStyleCnt="1"/>
      <dgm:spPr/>
    </dgm:pt>
    <dgm:pt modelId="{0C04C517-971B-4736-A9C6-06CC71680B12}" type="pres">
      <dgm:prSet presAssocID="{8FB4D3B3-A7F1-4D36-8536-634CF67F5D66}" presName="textBox1" presStyleLbl="revTx" presStyleIdx="0" presStyleCnt="1" custAng="20483312" custScaleX="191798" custScaleY="69290" custLinFactNeighborX="-7102" custLinFactNeighborY="6159">
        <dgm:presLayoutVars>
          <dgm:bulletEnabled val="1"/>
        </dgm:presLayoutVars>
      </dgm:prSet>
      <dgm:spPr/>
      <dgm:t>
        <a:bodyPr/>
        <a:lstStyle/>
        <a:p>
          <a:endParaRPr lang="en-AU"/>
        </a:p>
      </dgm:t>
    </dgm:pt>
  </dgm:ptLst>
  <dgm:cxnLst>
    <dgm:cxn modelId="{639BE7C1-2202-4DD1-A2CA-E6328315967D}" type="presOf" srcId="{8FB4D3B3-A7F1-4D36-8536-634CF67F5D66}" destId="{0C04C517-971B-4736-A9C6-06CC71680B12}" srcOrd="0" destOrd="0" presId="urn:microsoft.com/office/officeart/2005/8/layout/arrow2"/>
    <dgm:cxn modelId="{25B2ED90-A12B-4E58-BE24-0721BF50FEEB}" srcId="{DF8A43C4-53B5-451D-8486-622732653C80}" destId="{8FB4D3B3-A7F1-4D36-8536-634CF67F5D66}" srcOrd="0" destOrd="0" parTransId="{A2290A14-E124-400F-A1B9-9B59267ACA45}" sibTransId="{840EF091-5F38-43F3-B149-6EB0DAC31EA8}"/>
    <dgm:cxn modelId="{E9EE0D29-CCCD-4E92-9176-0CBA45BFB407}" type="presOf" srcId="{DF8A43C4-53B5-451D-8486-622732653C80}" destId="{29F29AB6-2E37-45DC-A6ED-13E75434760A}" srcOrd="0" destOrd="0" presId="urn:microsoft.com/office/officeart/2005/8/layout/arrow2"/>
    <dgm:cxn modelId="{2545A91E-039A-4B4D-9C98-3589CB0E45AE}" type="presParOf" srcId="{29F29AB6-2E37-45DC-A6ED-13E75434760A}" destId="{C657833C-B449-4F3A-9D1E-E47919C90852}" srcOrd="0" destOrd="0" presId="urn:microsoft.com/office/officeart/2005/8/layout/arrow2"/>
    <dgm:cxn modelId="{A484293C-40C3-4368-9D6A-101A591C32E1}" type="presParOf" srcId="{29F29AB6-2E37-45DC-A6ED-13E75434760A}" destId="{0879E19C-5F6F-4D66-8B9F-B67A49E1575E}" srcOrd="1" destOrd="0" presId="urn:microsoft.com/office/officeart/2005/8/layout/arrow2"/>
    <dgm:cxn modelId="{630615F4-B38B-479B-98A6-0A82A03768D3}" type="presParOf" srcId="{0879E19C-5F6F-4D66-8B9F-B67A49E1575E}" destId="{26198DD0-D7B4-4EB3-873E-A558A554CECF}" srcOrd="0" destOrd="0" presId="urn:microsoft.com/office/officeart/2005/8/layout/arrow2"/>
    <dgm:cxn modelId="{AE24BCBE-9BE6-4E44-B15D-A462E71E832A}" type="presParOf" srcId="{0879E19C-5F6F-4D66-8B9F-B67A49E1575E}" destId="{0C04C517-971B-4736-A9C6-06CC71680B12}" srcOrd="1" destOrd="0" presId="urn:microsoft.com/office/officeart/2005/8/layout/arrow2"/>
  </dgm:cxnLst>
  <dgm:bg/>
  <dgm:whole/>
  <dgm:extLst>
    <a:ext uri="http://schemas.microsoft.com/office/drawing/2008/diagram">
      <dsp:dataModelExt xmlns:dsp="http://schemas.microsoft.com/office/drawing/2008/diagram" xmlns="" relId="rId26"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C657833C-B449-4F3A-9D1E-E47919C90852}">
      <dsp:nvSpPr>
        <dsp:cNvPr id="0" name=""/>
        <dsp:cNvSpPr/>
      </dsp:nvSpPr>
      <dsp:spPr>
        <a:xfrm rot="2593347">
          <a:off x="1173" y="0"/>
          <a:ext cx="1325880" cy="828675"/>
        </a:xfrm>
        <a:prstGeom prst="swooshArrow">
          <a:avLst>
            <a:gd name="adj1" fmla="val 25000"/>
            <a:gd name="adj2" fmla="val 25000"/>
          </a:avLst>
        </a:prstGeom>
        <a:solidFill>
          <a:schemeClr val="accent2">
            <a:tint val="40000"/>
            <a:hueOff val="0"/>
            <a:satOff val="0"/>
            <a:lumOff val="0"/>
            <a:alphaOff val="0"/>
          </a:scheme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sp>
    <dsp:sp modelId="{26198DD0-D7B4-4EB3-873E-A558A554CECF}">
      <dsp:nvSpPr>
        <dsp:cNvPr id="0" name=""/>
        <dsp:cNvSpPr/>
      </dsp:nvSpPr>
      <dsp:spPr>
        <a:xfrm>
          <a:off x="1106705" y="168055"/>
          <a:ext cx="98115" cy="98115"/>
        </a:xfrm>
        <a:prstGeom prst="ellipse">
          <a:avLst/>
        </a:prstGeom>
        <a:gradFill rotWithShape="0">
          <a:gsLst>
            <a:gs pos="0">
              <a:schemeClr val="accent2">
                <a:alpha val="90000"/>
                <a:hueOff val="0"/>
                <a:satOff val="0"/>
                <a:lumOff val="0"/>
                <a:alphaOff val="0"/>
                <a:shade val="51000"/>
                <a:satMod val="130000"/>
              </a:schemeClr>
            </a:gs>
            <a:gs pos="80000">
              <a:schemeClr val="accent2">
                <a:alpha val="90000"/>
                <a:hueOff val="0"/>
                <a:satOff val="0"/>
                <a:lumOff val="0"/>
                <a:alphaOff val="0"/>
                <a:shade val="93000"/>
                <a:satMod val="130000"/>
              </a:schemeClr>
            </a:gs>
            <a:gs pos="100000">
              <a:schemeClr val="accent2">
                <a:alpha val="9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0C04C517-971B-4736-A9C6-06CC71680B12}">
      <dsp:nvSpPr>
        <dsp:cNvPr id="0" name=""/>
        <dsp:cNvSpPr/>
      </dsp:nvSpPr>
      <dsp:spPr>
        <a:xfrm rot="20595687">
          <a:off x="110262" y="-3921"/>
          <a:ext cx="1619875" cy="592732"/>
        </a:xfrm>
        <a:prstGeom prst="round2Diag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51989" bIns="0" numCol="1" spcCol="1270" anchor="t" anchorCtr="0">
          <a:noAutofit/>
        </a:bodyPr>
        <a:lstStyle/>
        <a:p>
          <a:pPr lvl="0" algn="ctr" defTabSz="622300">
            <a:lnSpc>
              <a:spcPct val="90000"/>
            </a:lnSpc>
            <a:spcBef>
              <a:spcPct val="0"/>
            </a:spcBef>
            <a:spcAft>
              <a:spcPct val="35000"/>
            </a:spcAft>
          </a:pPr>
          <a:endParaRPr lang="en-AU" sz="1400" kern="1200"/>
        </a:p>
        <a:p>
          <a:pPr lvl="0" algn="ctr" defTabSz="622300">
            <a:lnSpc>
              <a:spcPct val="90000"/>
            </a:lnSpc>
            <a:spcBef>
              <a:spcPct val="0"/>
            </a:spcBef>
            <a:spcAft>
              <a:spcPct val="35000"/>
            </a:spcAft>
          </a:pPr>
          <a:r>
            <a:rPr lang="en-AU" sz="1400" kern="1200"/>
            <a:t>ANPR</a:t>
          </a:r>
        </a:p>
      </dsp:txBody>
      <dsp:txXfrm rot="20595687">
        <a:off x="110262" y="-3921"/>
        <a:ext cx="1619875" cy="592732"/>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C657833C-B449-4F3A-9D1E-E47919C90852}">
      <dsp:nvSpPr>
        <dsp:cNvPr id="0" name=""/>
        <dsp:cNvSpPr/>
      </dsp:nvSpPr>
      <dsp:spPr>
        <a:xfrm rot="2593347">
          <a:off x="-160012" y="0"/>
          <a:ext cx="1328476" cy="830298"/>
        </a:xfrm>
        <a:prstGeom prst="swooshArrow">
          <a:avLst>
            <a:gd name="adj1" fmla="val 25000"/>
            <a:gd name="adj2" fmla="val 25000"/>
          </a:avLst>
        </a:prstGeom>
        <a:solidFill>
          <a:schemeClr val="accent2">
            <a:tint val="40000"/>
            <a:hueOff val="0"/>
            <a:satOff val="0"/>
            <a:lumOff val="0"/>
            <a:alphaOff val="0"/>
          </a:scheme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sp>
    <dsp:sp modelId="{26198DD0-D7B4-4EB3-873E-A558A554CECF}">
      <dsp:nvSpPr>
        <dsp:cNvPr id="0" name=""/>
        <dsp:cNvSpPr/>
      </dsp:nvSpPr>
      <dsp:spPr>
        <a:xfrm>
          <a:off x="1108363" y="168384"/>
          <a:ext cx="98307" cy="98307"/>
        </a:xfrm>
        <a:prstGeom prst="ellipse">
          <a:avLst/>
        </a:prstGeom>
        <a:gradFill rotWithShape="0">
          <a:gsLst>
            <a:gs pos="0">
              <a:schemeClr val="accent2">
                <a:alpha val="90000"/>
                <a:hueOff val="0"/>
                <a:satOff val="0"/>
                <a:lumOff val="0"/>
                <a:alphaOff val="0"/>
                <a:shade val="51000"/>
                <a:satMod val="130000"/>
              </a:schemeClr>
            </a:gs>
            <a:gs pos="80000">
              <a:schemeClr val="accent2">
                <a:alpha val="90000"/>
                <a:hueOff val="0"/>
                <a:satOff val="0"/>
                <a:lumOff val="0"/>
                <a:alphaOff val="0"/>
                <a:shade val="93000"/>
                <a:satMod val="130000"/>
              </a:schemeClr>
            </a:gs>
            <a:gs pos="100000">
              <a:schemeClr val="accent2">
                <a:alpha val="9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0C04C517-971B-4736-A9C6-06CC71680B12}">
      <dsp:nvSpPr>
        <dsp:cNvPr id="0" name=""/>
        <dsp:cNvSpPr/>
      </dsp:nvSpPr>
      <dsp:spPr>
        <a:xfrm rot="20595687">
          <a:off x="109459" y="-3928"/>
          <a:ext cx="1623047" cy="593893"/>
        </a:xfrm>
        <a:prstGeom prst="round2Diag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52091" bIns="0" numCol="1" spcCol="1270" anchor="t" anchorCtr="0">
          <a:noAutofit/>
        </a:bodyPr>
        <a:lstStyle/>
        <a:p>
          <a:pPr lvl="0" algn="ctr" defTabSz="622300">
            <a:lnSpc>
              <a:spcPct val="90000"/>
            </a:lnSpc>
            <a:spcBef>
              <a:spcPct val="0"/>
            </a:spcBef>
            <a:spcAft>
              <a:spcPct val="35000"/>
            </a:spcAft>
          </a:pPr>
          <a:endParaRPr lang="en-AU" sz="1400" kern="1200"/>
        </a:p>
        <a:p>
          <a:pPr lvl="0" algn="ctr" defTabSz="622300">
            <a:lnSpc>
              <a:spcPct val="90000"/>
            </a:lnSpc>
            <a:spcBef>
              <a:spcPct val="0"/>
            </a:spcBef>
            <a:spcAft>
              <a:spcPct val="35000"/>
            </a:spcAft>
          </a:pPr>
          <a:r>
            <a:rPr lang="en-AU" sz="1400" kern="1200"/>
            <a:t>Mandatory</a:t>
          </a:r>
        </a:p>
        <a:p>
          <a:pPr lvl="0" algn="ctr" defTabSz="622300">
            <a:lnSpc>
              <a:spcPct val="90000"/>
            </a:lnSpc>
            <a:spcBef>
              <a:spcPct val="0"/>
            </a:spcBef>
            <a:spcAft>
              <a:spcPct val="35000"/>
            </a:spcAft>
          </a:pPr>
          <a:r>
            <a:rPr lang="en-AU" sz="1400" kern="1200"/>
            <a:t>Disqualification</a:t>
          </a:r>
        </a:p>
      </dsp:txBody>
      <dsp:txXfrm rot="20595687">
        <a:off x="109459" y="-3928"/>
        <a:ext cx="1623047" cy="593893"/>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C657833C-B449-4F3A-9D1E-E47919C90852}">
      <dsp:nvSpPr>
        <dsp:cNvPr id="0" name=""/>
        <dsp:cNvSpPr/>
      </dsp:nvSpPr>
      <dsp:spPr>
        <a:xfrm rot="2593347">
          <a:off x="-223287" y="0"/>
          <a:ext cx="1336604" cy="835377"/>
        </a:xfrm>
        <a:prstGeom prst="swooshArrow">
          <a:avLst>
            <a:gd name="adj1" fmla="val 25000"/>
            <a:gd name="adj2" fmla="val 25000"/>
          </a:avLst>
        </a:prstGeom>
        <a:solidFill>
          <a:schemeClr val="accent2">
            <a:tint val="40000"/>
            <a:hueOff val="0"/>
            <a:satOff val="0"/>
            <a:lumOff val="0"/>
            <a:alphaOff val="0"/>
          </a:scheme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sp>
    <dsp:sp modelId="{26198DD0-D7B4-4EB3-873E-A558A554CECF}">
      <dsp:nvSpPr>
        <dsp:cNvPr id="0" name=""/>
        <dsp:cNvSpPr/>
      </dsp:nvSpPr>
      <dsp:spPr>
        <a:xfrm>
          <a:off x="1052849" y="169414"/>
          <a:ext cx="98908" cy="98908"/>
        </a:xfrm>
        <a:prstGeom prst="ellipse">
          <a:avLst/>
        </a:prstGeom>
        <a:gradFill rotWithShape="0">
          <a:gsLst>
            <a:gs pos="0">
              <a:schemeClr val="accent2">
                <a:alpha val="90000"/>
                <a:hueOff val="0"/>
                <a:satOff val="0"/>
                <a:lumOff val="0"/>
                <a:alphaOff val="0"/>
                <a:shade val="51000"/>
                <a:satMod val="130000"/>
              </a:schemeClr>
            </a:gs>
            <a:gs pos="80000">
              <a:schemeClr val="accent2">
                <a:alpha val="90000"/>
                <a:hueOff val="0"/>
                <a:satOff val="0"/>
                <a:lumOff val="0"/>
                <a:alphaOff val="0"/>
                <a:shade val="93000"/>
                <a:satMod val="130000"/>
              </a:schemeClr>
            </a:gs>
            <a:gs pos="100000">
              <a:schemeClr val="accent2">
                <a:alpha val="9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0C04C517-971B-4736-A9C6-06CC71680B12}">
      <dsp:nvSpPr>
        <dsp:cNvPr id="0" name=""/>
        <dsp:cNvSpPr/>
      </dsp:nvSpPr>
      <dsp:spPr>
        <a:xfrm rot="20483312">
          <a:off x="284296" y="351504"/>
          <a:ext cx="1025432" cy="427179"/>
        </a:xfrm>
        <a:prstGeom prst="round2Diag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52410" bIns="0" numCol="1" spcCol="1270" anchor="t" anchorCtr="0">
          <a:noAutofit/>
        </a:bodyPr>
        <a:lstStyle/>
        <a:p>
          <a:pPr lvl="0" algn="r" defTabSz="800100">
            <a:lnSpc>
              <a:spcPct val="90000"/>
            </a:lnSpc>
            <a:spcBef>
              <a:spcPct val="0"/>
            </a:spcBef>
            <a:spcAft>
              <a:spcPct val="35000"/>
            </a:spcAft>
          </a:pPr>
          <a:r>
            <a:rPr lang="en-AU" sz="1800" kern="1200"/>
            <a:t>MPES</a:t>
          </a:r>
        </a:p>
      </dsp:txBody>
      <dsp:txXfrm rot="20483312">
        <a:off x="284296" y="351504"/>
        <a:ext cx="1025432" cy="427179"/>
      </dsp:txXfrm>
    </dsp:sp>
  </dsp:spTree>
</dsp:drawing>
</file>

<file path=word/diagrams/layout1.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layout2.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layout3.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0.31224</cdr:x>
      <cdr:y>0</cdr:y>
    </cdr:from>
    <cdr:to>
      <cdr:x>0.97474</cdr:x>
      <cdr:y>0.14931</cdr:y>
    </cdr:to>
    <cdr:sp macro="" textlink="">
      <cdr:nvSpPr>
        <cdr:cNvPr id="2" name="TextBox 1"/>
        <cdr:cNvSpPr txBox="1"/>
      </cdr:nvSpPr>
      <cdr:spPr>
        <a:xfrm xmlns:a="http://schemas.openxmlformats.org/drawingml/2006/main">
          <a:off x="1461281" y="-25121"/>
          <a:ext cx="3100500" cy="3218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r"/>
          <a:r>
            <a:rPr lang="en-AU" sz="1100" b="1"/>
            <a:t>REASON FOR TRAVEL </a:t>
          </a:r>
        </a:p>
        <a:p xmlns:a="http://schemas.openxmlformats.org/drawingml/2006/main">
          <a:pPr algn="r"/>
          <a:r>
            <a:rPr lang="en-AU" sz="1100" b="1" baseline="0"/>
            <a:t>AT TIME </a:t>
          </a:r>
          <a:r>
            <a:rPr lang="en-AU" sz="1100" b="1"/>
            <a:t>OF DETECTION</a:t>
          </a:r>
        </a:p>
      </cdr:txBody>
    </cdr:sp>
  </cdr:relSizeAnchor>
  <cdr:relSizeAnchor xmlns:cdr="http://schemas.openxmlformats.org/drawingml/2006/chartDrawing">
    <cdr:from>
      <cdr:x>0.43921</cdr:x>
      <cdr:y>0.80811</cdr:y>
    </cdr:from>
    <cdr:to>
      <cdr:x>0.63944</cdr:x>
      <cdr:y>0.93433</cdr:y>
    </cdr:to>
    <cdr:sp macro="" textlink="">
      <cdr:nvSpPr>
        <cdr:cNvPr id="3" name="TextBox 2"/>
        <cdr:cNvSpPr txBox="1"/>
      </cdr:nvSpPr>
      <cdr:spPr>
        <a:xfrm xmlns:a="http://schemas.openxmlformats.org/drawingml/2006/main">
          <a:off x="2055511" y="1741737"/>
          <a:ext cx="937071" cy="27205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1100" b="1"/>
            <a:t>Other 4%</a:t>
          </a:r>
        </a:p>
      </cdr:txBody>
    </cdr:sp>
  </cdr:relSizeAnchor>
</c:userShapes>
</file>

<file path=word/drawings/drawing2.xml><?xml version="1.0" encoding="utf-8"?>
<c:userShapes xmlns:c="http://schemas.openxmlformats.org/drawingml/2006/chart">
  <cdr:relSizeAnchor xmlns:cdr="http://schemas.openxmlformats.org/drawingml/2006/chartDrawing">
    <cdr:from>
      <cdr:x>0.5958</cdr:x>
      <cdr:y>0</cdr:y>
    </cdr:from>
    <cdr:to>
      <cdr:x>0.97726</cdr:x>
      <cdr:y>0.27969</cdr:y>
    </cdr:to>
    <cdr:sp macro="" textlink="">
      <cdr:nvSpPr>
        <cdr:cNvPr id="2" name="TextBox 1"/>
        <cdr:cNvSpPr txBox="1"/>
      </cdr:nvSpPr>
      <cdr:spPr>
        <a:xfrm xmlns:a="http://schemas.openxmlformats.org/drawingml/2006/main">
          <a:off x="2788344" y="0"/>
          <a:ext cx="1785233" cy="60499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r"/>
          <a:r>
            <a:rPr lang="en-AU" sz="1100" b="1"/>
            <a:t>METHOD OF DETECTION OF UNLICENSED DRIVERS</a:t>
          </a:r>
        </a:p>
        <a:p xmlns:a="http://schemas.openxmlformats.org/drawingml/2006/main">
          <a:pPr algn="r"/>
          <a:r>
            <a:rPr lang="en-AU" sz="1100" b="1"/>
            <a:t>2011- National</a:t>
          </a:r>
        </a:p>
      </cdr:txBody>
    </cdr:sp>
  </cdr:relSizeAnchor>
  <cdr:relSizeAnchor xmlns:cdr="http://schemas.openxmlformats.org/drawingml/2006/chartDrawing">
    <cdr:from>
      <cdr:x>0.47797</cdr:x>
      <cdr:y>0</cdr:y>
    </cdr:from>
    <cdr:to>
      <cdr:x>0.64106</cdr:x>
      <cdr:y>0.22345</cdr:y>
    </cdr:to>
    <cdr:sp macro="" textlink="">
      <cdr:nvSpPr>
        <cdr:cNvPr id="3" name="TextBox 2"/>
        <cdr:cNvSpPr txBox="1"/>
      </cdr:nvSpPr>
      <cdr:spPr>
        <a:xfrm xmlns:a="http://schemas.openxmlformats.org/drawingml/2006/main">
          <a:off x="2236879" y="0"/>
          <a:ext cx="763260" cy="48333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1100"/>
            <a:t>Other 12.6%</a:t>
          </a:r>
        </a:p>
      </cdr:txBody>
    </cdr:sp>
  </cdr:relSizeAnchor>
</c:userShapes>
</file>

<file path=word/drawings/drawing3.xml><?xml version="1.0" encoding="utf-8"?>
<c:userShapes xmlns:c="http://schemas.openxmlformats.org/drawingml/2006/chart">
  <cdr:relSizeAnchor xmlns:cdr="http://schemas.openxmlformats.org/drawingml/2006/chartDrawing">
    <cdr:from>
      <cdr:x>0.3375</cdr:x>
      <cdr:y>0.04164</cdr:y>
    </cdr:from>
    <cdr:to>
      <cdr:x>1</cdr:x>
      <cdr:y>0.19095</cdr:y>
    </cdr:to>
    <cdr:sp macro="" textlink="">
      <cdr:nvSpPr>
        <cdr:cNvPr id="2" name="TextBox 1"/>
        <cdr:cNvSpPr txBox="1"/>
      </cdr:nvSpPr>
      <cdr:spPr>
        <a:xfrm xmlns:a="http://schemas.openxmlformats.org/drawingml/2006/main">
          <a:off x="1585024" y="90076"/>
          <a:ext cx="3100500" cy="32297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r"/>
          <a:r>
            <a:rPr lang="en-AU" sz="1100" b="1"/>
            <a:t>OWNER</a:t>
          </a:r>
          <a:r>
            <a:rPr lang="en-AU" sz="1100" b="1" baseline="0"/>
            <a:t> OF VEHICLE </a:t>
          </a:r>
        </a:p>
        <a:p xmlns:a="http://schemas.openxmlformats.org/drawingml/2006/main">
          <a:pPr algn="r"/>
          <a:r>
            <a:rPr lang="en-AU" sz="1100" b="1" baseline="0"/>
            <a:t>AT TIME </a:t>
          </a:r>
          <a:r>
            <a:rPr lang="en-AU" sz="1100" b="1"/>
            <a:t>OF DETECTION</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E201A-5CBE-4C2F-87E2-8D50BE88D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6032</Words>
  <Characters>34388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UNLICENSED DRIVERS AND UNREGISTERED VEHICLES</vt:lpstr>
    </vt:vector>
  </TitlesOfParts>
  <Company>DIER</Company>
  <LinksUpToDate>false</LinksUpToDate>
  <CharactersWithSpaces>40340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UNLICENSED DRIVERS AND UNREGISTERED VEHICLES</dc:title>
  <dc:subject/>
  <dc:creator>a-gavlik</dc:creator>
  <cp:keywords/>
  <dc:description/>
  <cp:lastModifiedBy>a-lukasek</cp:lastModifiedBy>
  <cp:revision>2</cp:revision>
  <cp:lastPrinted>2013-05-15T06:00:00Z</cp:lastPrinted>
  <dcterms:created xsi:type="dcterms:W3CDTF">2013-05-30T22:56:00Z</dcterms:created>
  <dcterms:modified xsi:type="dcterms:W3CDTF">2013-05-30T22:56:00Z</dcterms:modified>
</cp:coreProperties>
</file>