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displacedByCustomXml="next"/>
    <w:bookmarkEnd w:id="0" w:displacedByCustomXml="next"/>
    <w:sdt>
      <w:sdtPr>
        <w:id w:val="1141071813"/>
        <w:docPartObj>
          <w:docPartGallery w:val="Cover Pages"/>
          <w:docPartUnique/>
        </w:docPartObj>
      </w:sdtPr>
      <w:sdtEndPr/>
      <w:sdtContent>
        <w:p w:rsidR="00F37269" w:rsidRDefault="00A1166A">
          <w:r>
            <w:rPr>
              <w:noProof/>
              <w:lang w:eastAsia="en-AU"/>
            </w:rPr>
            <w:drawing>
              <wp:anchor distT="0" distB="0" distL="114300" distR="114300" simplePos="0" relativeHeight="251664384" behindDoc="1" locked="0" layoutInCell="0" allowOverlap="1">
                <wp:simplePos x="0" y="0"/>
                <wp:positionH relativeFrom="page">
                  <wp:align>center</wp:align>
                </wp:positionH>
                <wp:positionV relativeFrom="page">
                  <wp:align>center</wp:align>
                </wp:positionV>
                <wp:extent cx="7562850" cy="10696575"/>
                <wp:effectExtent l="0" t="0" r="0" b="9525"/>
                <wp:wrapNone/>
                <wp:docPr id="7" name="Picture 4" descr="internaldoc_col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internaldoc_col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562850" cy="10696575"/>
                        </a:xfrm>
                        <a:prstGeom prst="rect">
                          <a:avLst/>
                        </a:prstGeom>
                        <a:noFill/>
                      </pic:spPr>
                    </pic:pic>
                  </a:graphicData>
                </a:graphic>
                <wp14:sizeRelH relativeFrom="page">
                  <wp14:pctWidth>0</wp14:pctWidth>
                </wp14:sizeRelH>
                <wp14:sizeRelV relativeFrom="page">
                  <wp14:pctHeight>0</wp14:pctHeight>
                </wp14:sizeRelV>
              </wp:anchor>
            </w:drawing>
          </w:r>
        </w:p>
        <w:p w:rsidR="00F37269" w:rsidRDefault="00A1166A">
          <w:pPr>
            <w:spacing w:after="0"/>
            <w:jc w:val="left"/>
            <w:rPr>
              <w:b/>
              <w:spacing w:val="-2"/>
            </w:rPr>
          </w:pPr>
          <w:r>
            <w:rPr>
              <w:noProof/>
              <w:lang w:eastAsia="en-AU"/>
            </w:rPr>
            <mc:AlternateContent>
              <mc:Choice Requires="wps">
                <w:drawing>
                  <wp:anchor distT="0" distB="0" distL="114300" distR="114300" simplePos="0" relativeHeight="251662336" behindDoc="0" locked="0" layoutInCell="1" allowOverlap="1">
                    <wp:simplePos x="0" y="0"/>
                    <wp:positionH relativeFrom="margin">
                      <wp:posOffset>200025</wp:posOffset>
                    </wp:positionH>
                    <wp:positionV relativeFrom="margin">
                      <wp:posOffset>685800</wp:posOffset>
                    </wp:positionV>
                    <wp:extent cx="5719445" cy="4764405"/>
                    <wp:effectExtent l="0" t="0" r="0" b="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9445" cy="47644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55D80" w:rsidRDefault="00555D80" w:rsidP="00F37269">
                                <w:pPr>
                                  <w:pStyle w:val="text"/>
                                  <w:tabs>
                                    <w:tab w:val="clear" w:pos="4320"/>
                                    <w:tab w:val="clear" w:pos="8640"/>
                                    <w:tab w:val="center" w:pos="13875"/>
                                    <w:tab w:val="right" w:pos="27750"/>
                                  </w:tabs>
                                  <w:spacing w:before="0"/>
                                  <w:rPr>
                                    <w:rFonts w:ascii="GillSans" w:hAnsi="GillSans"/>
                                    <w:color w:val="FFFFFF"/>
                                    <w:spacing w:val="40"/>
                                    <w:sz w:val="51"/>
                                    <w:szCs w:val="51"/>
                                  </w:rPr>
                                </w:pPr>
                                <w:r>
                                  <w:rPr>
                                    <w:rFonts w:ascii="GillSans" w:hAnsi="GillSans"/>
                                    <w:color w:val="FFFFFF" w:themeColor="background1"/>
                                    <w:spacing w:val="40"/>
                                    <w:sz w:val="103"/>
                                    <w:szCs w:val="103"/>
                                  </w:rPr>
                                  <w:t>ROADWORKS</w:t>
                                </w:r>
                                <w:r>
                                  <w:rPr>
                                    <w:rFonts w:ascii="GillSans" w:hAnsi="GillSans"/>
                                    <w:color w:val="FFFFFF"/>
                                    <w:spacing w:val="40"/>
                                    <w:sz w:val="103"/>
                                    <w:szCs w:val="103"/>
                                  </w:rPr>
                                  <w:t xml:space="preserve"> SPECIFICATION</w:t>
                                </w:r>
                              </w:p>
                              <w:p w:rsidR="00555D80" w:rsidRDefault="00555D80" w:rsidP="00F37269">
                                <w:pPr>
                                  <w:pStyle w:val="text"/>
                                  <w:tabs>
                                    <w:tab w:val="clear" w:pos="4320"/>
                                    <w:tab w:val="clear" w:pos="8640"/>
                                    <w:tab w:val="center" w:pos="13875"/>
                                    <w:tab w:val="right" w:pos="27750"/>
                                  </w:tabs>
                                  <w:spacing w:before="0"/>
                                  <w:rPr>
                                    <w:rFonts w:ascii="GillSans" w:hAnsi="GillSans"/>
                                    <w:color w:val="FFFFFF" w:themeColor="background1"/>
                                    <w:spacing w:val="40"/>
                                    <w:sz w:val="51"/>
                                    <w:szCs w:val="51"/>
                                  </w:rPr>
                                </w:pPr>
                              </w:p>
                              <w:p w:rsidR="00555D80" w:rsidRPr="00512E4B" w:rsidRDefault="00555D80" w:rsidP="00F37269">
                                <w:pPr>
                                  <w:pStyle w:val="text"/>
                                  <w:tabs>
                                    <w:tab w:val="clear" w:pos="4320"/>
                                    <w:tab w:val="clear" w:pos="8640"/>
                                    <w:tab w:val="center" w:pos="13875"/>
                                    <w:tab w:val="right" w:pos="27750"/>
                                  </w:tabs>
                                  <w:spacing w:before="0"/>
                                  <w:rPr>
                                    <w:rFonts w:ascii="GillSans" w:hAnsi="GillSans"/>
                                    <w:color w:val="FFFFFF" w:themeColor="background1"/>
                                    <w:spacing w:val="40"/>
                                    <w:sz w:val="51"/>
                                    <w:szCs w:val="51"/>
                                  </w:rPr>
                                </w:pPr>
                                <w:r>
                                  <w:rPr>
                                    <w:rFonts w:ascii="GillSans" w:hAnsi="GillSans"/>
                                    <w:color w:val="FFFFFF" w:themeColor="background1"/>
                                    <w:spacing w:val="40"/>
                                    <w:sz w:val="51"/>
                                    <w:szCs w:val="51"/>
                                  </w:rPr>
                                  <w:t>R23 SUBGRADE ZONE</w:t>
                                </w:r>
                              </w:p>
                              <w:p w:rsidR="00555D80" w:rsidRDefault="00555D80" w:rsidP="00F37269">
                                <w:pPr>
                                  <w:pStyle w:val="text"/>
                                  <w:tabs>
                                    <w:tab w:val="clear" w:pos="4320"/>
                                    <w:tab w:val="clear" w:pos="8640"/>
                                    <w:tab w:val="center" w:pos="13875"/>
                                    <w:tab w:val="right" w:pos="27750"/>
                                  </w:tabs>
                                  <w:spacing w:before="0"/>
                                  <w:rPr>
                                    <w:rFonts w:ascii="GillSans" w:hAnsi="GillSans"/>
                                    <w:color w:val="FFFFFF"/>
                                    <w:spacing w:val="40"/>
                                    <w:sz w:val="51"/>
                                    <w:szCs w:val="51"/>
                                  </w:rPr>
                                </w:pPr>
                              </w:p>
                              <w:p w:rsidR="00555D80" w:rsidRPr="007C2702" w:rsidRDefault="00555D80" w:rsidP="00F37269">
                                <w:pPr>
                                  <w:pStyle w:val="text"/>
                                  <w:tabs>
                                    <w:tab w:val="clear" w:pos="4320"/>
                                    <w:tab w:val="clear" w:pos="8640"/>
                                    <w:tab w:val="center" w:pos="13875"/>
                                    <w:tab w:val="right" w:pos="27750"/>
                                  </w:tabs>
                                  <w:spacing w:before="0"/>
                                  <w:rPr>
                                    <w:color w:val="FFFFFF"/>
                                    <w:spacing w:val="40"/>
                                  </w:rPr>
                                </w:pPr>
                                <w:r>
                                  <w:rPr>
                                    <w:rFonts w:ascii="GillSans" w:hAnsi="GillSans"/>
                                    <w:color w:val="FFFFFF"/>
                                    <w:spacing w:val="40"/>
                                    <w:sz w:val="51"/>
                                    <w:szCs w:val="51"/>
                                  </w:rPr>
                                  <w:t xml:space="preserve">Date </w:t>
                                </w:r>
                                <w:r>
                                  <w:rPr>
                                    <w:rFonts w:ascii="GillSans" w:hAnsi="GillSans"/>
                                    <w:color w:val="FFFFFF" w:themeColor="background1"/>
                                    <w:spacing w:val="40"/>
                                    <w:sz w:val="51"/>
                                    <w:szCs w:val="51"/>
                                  </w:rPr>
                                  <w:t>JUNE 2013</w:t>
                                </w:r>
                              </w:p>
                              <w:p w:rsidR="00555D80" w:rsidRDefault="00555D80" w:rsidP="004133C6">
                                <w:pPr>
                                  <w:pStyle w:val="text"/>
                                  <w:tabs>
                                    <w:tab w:val="clear" w:pos="4320"/>
                                    <w:tab w:val="clear" w:pos="8640"/>
                                    <w:tab w:val="center" w:pos="13875"/>
                                    <w:tab w:val="right" w:pos="27750"/>
                                  </w:tabs>
                                  <w:spacing w:before="0"/>
                                  <w:rPr>
                                    <w:rFonts w:ascii="GillSans" w:hAnsi="GillSans"/>
                                    <w:color w:val="FFFFFF" w:themeColor="background1"/>
                                    <w:spacing w:val="40"/>
                                    <w:sz w:val="51"/>
                                    <w:szCs w:val="51"/>
                                  </w:rPr>
                                </w:pPr>
                              </w:p>
                              <w:p w:rsidR="00555D80" w:rsidRPr="00095FA8" w:rsidRDefault="00555D80" w:rsidP="004133C6">
                                <w:pPr>
                                  <w:pStyle w:val="text"/>
                                  <w:tabs>
                                    <w:tab w:val="clear" w:pos="4320"/>
                                    <w:tab w:val="clear" w:pos="8640"/>
                                    <w:tab w:val="center" w:pos="13875"/>
                                    <w:tab w:val="right" w:pos="27750"/>
                                  </w:tabs>
                                  <w:spacing w:before="0"/>
                                  <w:rPr>
                                    <w:i/>
                                    <w:color w:val="FFFFFF"/>
                                    <w:spacing w:val="40"/>
                                    <w:sz w:val="36"/>
                                    <w:szCs w:val="36"/>
                                  </w:rPr>
                                </w:pPr>
                                <w:r w:rsidRPr="00095FA8">
                                  <w:rPr>
                                    <w:i/>
                                    <w:color w:val="FFFFFF"/>
                                    <w:spacing w:val="40"/>
                                    <w:sz w:val="36"/>
                                    <w:szCs w:val="36"/>
                                  </w:rPr>
                                  <w:t>Edition 1 / Revision 0</w:t>
                                </w:r>
                              </w:p>
                              <w:p w:rsidR="00555D80" w:rsidRPr="00F37269" w:rsidRDefault="00555D80" w:rsidP="00F37269"/>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15.75pt;margin-top:54pt;width:450.35pt;height:375.15pt;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" filled="f" stroked="f">
                    <v:textbox>
                      <w:txbxContent>
                        <w:p w:rsidR="00555D80" w:rsidRDefault="00555D80" w:rsidP="00F37269">
                          <w:pPr>
                            <w:pStyle w:val="text"/>
                            <w:tabs>
                              <w:tab w:val="clear" w:pos="4320"/>
                              <w:tab w:val="clear" w:pos="8640"/>
                              <w:tab w:val="center" w:pos="13875"/>
                              <w:tab w:val="right" w:pos="27750"/>
                            </w:tabs>
                            <w:spacing w:before="0"/>
                            <w:rPr>
                              <w:rFonts w:ascii="GillSans" w:hAnsi="GillSans"/>
                              <w:color w:val="FFFFFF"/>
                              <w:spacing w:val="40"/>
                              <w:sz w:val="51"/>
                              <w:szCs w:val="51"/>
                            </w:rPr>
                          </w:pPr>
                          <w:r>
                            <w:rPr>
                              <w:rFonts w:ascii="GillSans" w:hAnsi="GillSans"/>
                              <w:color w:val="FFFFFF" w:themeColor="background1"/>
                              <w:spacing w:val="40"/>
                              <w:sz w:val="103"/>
                              <w:szCs w:val="103"/>
                            </w:rPr>
                            <w:t>ROADWORKS</w:t>
                          </w:r>
                          <w:r>
                            <w:rPr>
                              <w:rFonts w:ascii="GillSans" w:hAnsi="GillSans"/>
                              <w:color w:val="FFFFFF"/>
                              <w:spacing w:val="40"/>
                              <w:sz w:val="103"/>
                              <w:szCs w:val="103"/>
                            </w:rPr>
                            <w:t xml:space="preserve"> SPECIFICATION</w:t>
                          </w:r>
                        </w:p>
                        <w:p w:rsidR="00555D80" w:rsidRDefault="00555D80" w:rsidP="00F37269">
                          <w:pPr>
                            <w:pStyle w:val="text"/>
                            <w:tabs>
                              <w:tab w:val="clear" w:pos="4320"/>
                              <w:tab w:val="clear" w:pos="8640"/>
                              <w:tab w:val="center" w:pos="13875"/>
                              <w:tab w:val="right" w:pos="27750"/>
                            </w:tabs>
                            <w:spacing w:before="0"/>
                            <w:rPr>
                              <w:rFonts w:ascii="GillSans" w:hAnsi="GillSans"/>
                              <w:color w:val="FFFFFF" w:themeColor="background1"/>
                              <w:spacing w:val="40"/>
                              <w:sz w:val="51"/>
                              <w:szCs w:val="51"/>
                            </w:rPr>
                          </w:pPr>
                        </w:p>
                        <w:p w:rsidR="00555D80" w:rsidRPr="00512E4B" w:rsidRDefault="00555D80" w:rsidP="00F37269">
                          <w:pPr>
                            <w:pStyle w:val="text"/>
                            <w:tabs>
                              <w:tab w:val="clear" w:pos="4320"/>
                              <w:tab w:val="clear" w:pos="8640"/>
                              <w:tab w:val="center" w:pos="13875"/>
                              <w:tab w:val="right" w:pos="27750"/>
                            </w:tabs>
                            <w:spacing w:before="0"/>
                            <w:rPr>
                              <w:rFonts w:ascii="GillSans" w:hAnsi="GillSans"/>
                              <w:color w:val="FFFFFF" w:themeColor="background1"/>
                              <w:spacing w:val="40"/>
                              <w:sz w:val="51"/>
                              <w:szCs w:val="51"/>
                            </w:rPr>
                          </w:pPr>
                          <w:r>
                            <w:rPr>
                              <w:rFonts w:ascii="GillSans" w:hAnsi="GillSans"/>
                              <w:color w:val="FFFFFF" w:themeColor="background1"/>
                              <w:spacing w:val="40"/>
                              <w:sz w:val="51"/>
                              <w:szCs w:val="51"/>
                            </w:rPr>
                            <w:t>R23 SUBGRADE ZONE</w:t>
                          </w:r>
                        </w:p>
                        <w:p w:rsidR="00555D80" w:rsidRDefault="00555D80" w:rsidP="00F37269">
                          <w:pPr>
                            <w:pStyle w:val="text"/>
                            <w:tabs>
                              <w:tab w:val="clear" w:pos="4320"/>
                              <w:tab w:val="clear" w:pos="8640"/>
                              <w:tab w:val="center" w:pos="13875"/>
                              <w:tab w:val="right" w:pos="27750"/>
                            </w:tabs>
                            <w:spacing w:before="0"/>
                            <w:rPr>
                              <w:rFonts w:ascii="GillSans" w:hAnsi="GillSans"/>
                              <w:color w:val="FFFFFF"/>
                              <w:spacing w:val="40"/>
                              <w:sz w:val="51"/>
                              <w:szCs w:val="51"/>
                            </w:rPr>
                          </w:pPr>
                        </w:p>
                        <w:p w:rsidR="00555D80" w:rsidRPr="007C2702" w:rsidRDefault="00555D80" w:rsidP="00F37269">
                          <w:pPr>
                            <w:pStyle w:val="text"/>
                            <w:tabs>
                              <w:tab w:val="clear" w:pos="4320"/>
                              <w:tab w:val="clear" w:pos="8640"/>
                              <w:tab w:val="center" w:pos="13875"/>
                              <w:tab w:val="right" w:pos="27750"/>
                            </w:tabs>
                            <w:spacing w:before="0"/>
                            <w:rPr>
                              <w:color w:val="FFFFFF"/>
                              <w:spacing w:val="40"/>
                            </w:rPr>
                          </w:pPr>
                          <w:r>
                            <w:rPr>
                              <w:rFonts w:ascii="GillSans" w:hAnsi="GillSans"/>
                              <w:color w:val="FFFFFF"/>
                              <w:spacing w:val="40"/>
                              <w:sz w:val="51"/>
                              <w:szCs w:val="51"/>
                            </w:rPr>
                            <w:t xml:space="preserve">Date </w:t>
                          </w:r>
                          <w:r>
                            <w:rPr>
                              <w:rFonts w:ascii="GillSans" w:hAnsi="GillSans"/>
                              <w:color w:val="FFFFFF" w:themeColor="background1"/>
                              <w:spacing w:val="40"/>
                              <w:sz w:val="51"/>
                              <w:szCs w:val="51"/>
                            </w:rPr>
                            <w:t>JUNE 2013</w:t>
                          </w:r>
                        </w:p>
                        <w:p w:rsidR="00555D80" w:rsidRDefault="00555D80" w:rsidP="004133C6">
                          <w:pPr>
                            <w:pStyle w:val="text"/>
                            <w:tabs>
                              <w:tab w:val="clear" w:pos="4320"/>
                              <w:tab w:val="clear" w:pos="8640"/>
                              <w:tab w:val="center" w:pos="13875"/>
                              <w:tab w:val="right" w:pos="27750"/>
                            </w:tabs>
                            <w:spacing w:before="0"/>
                            <w:rPr>
                              <w:rFonts w:ascii="GillSans" w:hAnsi="GillSans"/>
                              <w:color w:val="FFFFFF" w:themeColor="background1"/>
                              <w:spacing w:val="40"/>
                              <w:sz w:val="51"/>
                              <w:szCs w:val="51"/>
                            </w:rPr>
                          </w:pPr>
                        </w:p>
                        <w:p w:rsidR="00555D80" w:rsidRPr="00095FA8" w:rsidRDefault="00555D80" w:rsidP="004133C6">
                          <w:pPr>
                            <w:pStyle w:val="text"/>
                            <w:tabs>
                              <w:tab w:val="clear" w:pos="4320"/>
                              <w:tab w:val="clear" w:pos="8640"/>
                              <w:tab w:val="center" w:pos="13875"/>
                              <w:tab w:val="right" w:pos="27750"/>
                            </w:tabs>
                            <w:spacing w:before="0"/>
                            <w:rPr>
                              <w:i/>
                              <w:color w:val="FFFFFF"/>
                              <w:spacing w:val="40"/>
                              <w:sz w:val="36"/>
                              <w:szCs w:val="36"/>
                            </w:rPr>
                          </w:pPr>
                          <w:r w:rsidRPr="00095FA8">
                            <w:rPr>
                              <w:i/>
                              <w:color w:val="FFFFFF"/>
                              <w:spacing w:val="40"/>
                              <w:sz w:val="36"/>
                              <w:szCs w:val="36"/>
                            </w:rPr>
                            <w:t>Edition 1 / Revision 0</w:t>
                          </w:r>
                        </w:p>
                        <w:p w:rsidR="00555D80" w:rsidRPr="00F37269" w:rsidRDefault="00555D80" w:rsidP="00F37269"/>
                      </w:txbxContent>
                    </v:textbox>
                    <w10:wrap type="square" anchorx="margin" anchory="margin"/>
                  </v:shape>
                </w:pict>
              </mc:Fallback>
            </mc:AlternateContent>
          </w:r>
          <w:r>
            <w:rPr>
              <w:noProof/>
              <w:lang w:eastAsia="en-AU"/>
            </w:rPr>
            <mc:AlternateContent>
              <mc:Choice Requires="wps">
                <w:drawing>
                  <wp:anchor distT="0" distB="0" distL="114300" distR="114300" simplePos="0" relativeHeight="251663360" behindDoc="0" locked="0" layoutInCell="1" allowOverlap="1">
                    <wp:simplePos x="0" y="0"/>
                    <wp:positionH relativeFrom="column">
                      <wp:posOffset>-304800</wp:posOffset>
                    </wp:positionH>
                    <wp:positionV relativeFrom="paragraph">
                      <wp:posOffset>8951595</wp:posOffset>
                    </wp:positionV>
                    <wp:extent cx="5384800" cy="647700"/>
                    <wp:effectExtent l="0" t="0" r="0" b="1905"/>
                    <wp:wrapNone/>
                    <wp:docPr id="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84800" cy="647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55D80" w:rsidRDefault="00555D80" w:rsidP="00F37269">
                                <w:pPr>
                                  <w:pStyle w:val="Noparagraphstyle"/>
                                  <w:rPr>
                                    <w:rFonts w:ascii="GillSans-Light" w:hAnsi="GillSans-Light"/>
                                    <w:spacing w:val="31"/>
                                    <w:sz w:val="31"/>
                                    <w:szCs w:val="31"/>
                                  </w:rPr>
                                </w:pPr>
                                <w:r>
                                  <w:rPr>
                                    <w:rFonts w:ascii="GillSans-Light" w:hAnsi="GillSans-Light"/>
                                    <w:spacing w:val="31"/>
                                    <w:sz w:val="31"/>
                                    <w:szCs w:val="31"/>
                                  </w:rPr>
                                  <w:t xml:space="preserve">Department </w:t>
                                </w:r>
                                <w:r w:rsidRPr="00B52841">
                                  <w:rPr>
                                    <w:rFonts w:ascii="GillSans-Light" w:hAnsi="GillSans-Light"/>
                                    <w:i/>
                                    <w:spacing w:val="31"/>
                                    <w:sz w:val="31"/>
                                    <w:szCs w:val="31"/>
                                  </w:rPr>
                                  <w:t xml:space="preserve">of </w:t>
                                </w:r>
                                <w:r>
                                  <w:rPr>
                                    <w:rFonts w:ascii="GillSans-Light" w:hAnsi="GillSans-Light"/>
                                    <w:spacing w:val="31"/>
                                    <w:sz w:val="31"/>
                                    <w:szCs w:val="31"/>
                                  </w:rPr>
                                  <w:t xml:space="preserve">Infrastructure, Energy </w:t>
                                </w:r>
                                <w:r w:rsidRPr="00B52841">
                                  <w:rPr>
                                    <w:rFonts w:ascii="GillSans-Light" w:hAnsi="GillSans-Light"/>
                                    <w:i/>
                                    <w:spacing w:val="31"/>
                                    <w:sz w:val="31"/>
                                    <w:szCs w:val="31"/>
                                  </w:rPr>
                                  <w:t>and</w:t>
                                </w:r>
                                <w:r>
                                  <w:rPr>
                                    <w:rFonts w:ascii="GillSans-Light" w:hAnsi="GillSans-Light"/>
                                    <w:spacing w:val="31"/>
                                    <w:sz w:val="31"/>
                                    <w:szCs w:val="31"/>
                                  </w:rPr>
                                  <w:t xml:space="preserve"> Resources</w:t>
                                </w:r>
                              </w:p>
                              <w:p w:rsidR="00555D80" w:rsidRPr="00F37269" w:rsidRDefault="00555D80" w:rsidP="00F37269">
                                <w:pPr>
                                  <w:rPr>
                                    <w:szCs w:val="31"/>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 o:spid="_x0000_s1027" type="#_x0000_t202" style="position:absolute;margin-left:-24pt;margin-top:704.85pt;width:424pt;height:51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" filled="f" stroked="f">
                    <v:textbox>
                      <w:txbxContent>
                        <w:p w:rsidR="00555D80" w:rsidRDefault="00555D80" w:rsidP="00F37269">
                          <w:pPr>
                            <w:pStyle w:val="Noparagraphstyle"/>
                            <w:rPr>
                              <w:rFonts w:ascii="GillSans-Light" w:hAnsi="GillSans-Light"/>
                              <w:spacing w:val="31"/>
                              <w:sz w:val="31"/>
                              <w:szCs w:val="31"/>
                            </w:rPr>
                          </w:pPr>
                          <w:r>
                            <w:rPr>
                              <w:rFonts w:ascii="GillSans-Light" w:hAnsi="GillSans-Light"/>
                              <w:spacing w:val="31"/>
                              <w:sz w:val="31"/>
                              <w:szCs w:val="31"/>
                            </w:rPr>
                            <w:t xml:space="preserve">Department </w:t>
                          </w:r>
                          <w:r w:rsidRPr="00B52841">
                            <w:rPr>
                              <w:rFonts w:ascii="GillSans-Light" w:hAnsi="GillSans-Light"/>
                              <w:i/>
                              <w:spacing w:val="31"/>
                              <w:sz w:val="31"/>
                              <w:szCs w:val="31"/>
                            </w:rPr>
                            <w:t xml:space="preserve">of </w:t>
                          </w:r>
                          <w:r>
                            <w:rPr>
                              <w:rFonts w:ascii="GillSans-Light" w:hAnsi="GillSans-Light"/>
                              <w:spacing w:val="31"/>
                              <w:sz w:val="31"/>
                              <w:szCs w:val="31"/>
                            </w:rPr>
                            <w:t xml:space="preserve">Infrastructure, Energy </w:t>
                          </w:r>
                          <w:r w:rsidRPr="00B52841">
                            <w:rPr>
                              <w:rFonts w:ascii="GillSans-Light" w:hAnsi="GillSans-Light"/>
                              <w:i/>
                              <w:spacing w:val="31"/>
                              <w:sz w:val="31"/>
                              <w:szCs w:val="31"/>
                            </w:rPr>
                            <w:t>and</w:t>
                          </w:r>
                          <w:r>
                            <w:rPr>
                              <w:rFonts w:ascii="GillSans-Light" w:hAnsi="GillSans-Light"/>
                              <w:spacing w:val="31"/>
                              <w:sz w:val="31"/>
                              <w:szCs w:val="31"/>
                            </w:rPr>
                            <w:t xml:space="preserve"> Resources</w:t>
                          </w:r>
                        </w:p>
                        <w:p w:rsidR="00555D80" w:rsidRPr="00F37269" w:rsidRDefault="00555D80" w:rsidP="00F37269">
                          <w:pPr>
                            <w:rPr>
                              <w:szCs w:val="31"/>
                            </w:rPr>
                          </w:pPr>
                        </w:p>
                      </w:txbxContent>
                    </v:textbox>
                  </v:shape>
                </w:pict>
              </mc:Fallback>
            </mc:AlternateContent>
          </w:r>
          <w:r w:rsidR="00F37269">
            <w:br w:type="page"/>
          </w:r>
        </w:p>
      </w:sdtContent>
    </w:sdt>
    <w:p w:rsidR="004133C6" w:rsidRDefault="004133C6" w:rsidP="004133C6">
      <w:pPr>
        <w:pStyle w:val="Heading1"/>
      </w:pPr>
      <w:r>
        <w:lastRenderedPageBreak/>
        <w:t>REVISION REGISTER</w:t>
      </w:r>
    </w:p>
    <w:p w:rsidR="004133C6" w:rsidRDefault="004133C6" w:rsidP="004133C6"/>
    <w:tbl>
      <w:tblPr>
        <w:tblStyle w:val="TableGrid"/>
        <w:tblW w:w="9780" w:type="dxa"/>
        <w:jc w:val="center"/>
        <w:tblLook w:val="04A0" w:firstRow="1" w:lastRow="0" w:firstColumn="1" w:lastColumn="0" w:noHBand="0" w:noVBand="1"/>
      </w:tblPr>
      <w:tblGrid>
        <w:gridCol w:w="1559"/>
        <w:gridCol w:w="1559"/>
        <w:gridCol w:w="3969"/>
        <w:gridCol w:w="1559"/>
        <w:gridCol w:w="1134"/>
      </w:tblGrid>
      <w:tr w:rsidR="004133C6" w:rsidTr="00555D80">
        <w:trPr>
          <w:jc w:val="center"/>
        </w:trPr>
        <w:tc>
          <w:tcPr>
            <w:tcW w:w="1559" w:type="dxa"/>
            <w:vAlign w:val="center"/>
          </w:tcPr>
          <w:p w:rsidR="004133C6" w:rsidRDefault="004133C6" w:rsidP="00555D80">
            <w:pPr>
              <w:pStyle w:val="Heading4"/>
              <w:jc w:val="center"/>
            </w:pPr>
            <w:r>
              <w:t>Ed/Rev Number</w:t>
            </w:r>
          </w:p>
        </w:tc>
        <w:tc>
          <w:tcPr>
            <w:tcW w:w="1559" w:type="dxa"/>
            <w:vAlign w:val="center"/>
          </w:tcPr>
          <w:p w:rsidR="004133C6" w:rsidRDefault="004133C6" w:rsidP="00555D80">
            <w:pPr>
              <w:pStyle w:val="Heading4"/>
              <w:jc w:val="center"/>
            </w:pPr>
            <w:r>
              <w:t>Clause Number</w:t>
            </w:r>
          </w:p>
        </w:tc>
        <w:tc>
          <w:tcPr>
            <w:tcW w:w="3969" w:type="dxa"/>
            <w:vAlign w:val="center"/>
          </w:tcPr>
          <w:p w:rsidR="004133C6" w:rsidRDefault="004133C6" w:rsidP="00555D80">
            <w:pPr>
              <w:pStyle w:val="Heading4"/>
              <w:jc w:val="center"/>
            </w:pPr>
            <w:r>
              <w:t>Description of Revision</w:t>
            </w:r>
          </w:p>
        </w:tc>
        <w:tc>
          <w:tcPr>
            <w:tcW w:w="1559" w:type="dxa"/>
            <w:vAlign w:val="center"/>
          </w:tcPr>
          <w:p w:rsidR="004133C6" w:rsidRDefault="004133C6" w:rsidP="00555D80">
            <w:pPr>
              <w:pStyle w:val="Heading4"/>
              <w:jc w:val="center"/>
            </w:pPr>
            <w:r>
              <w:t>Authorised By</w:t>
            </w:r>
          </w:p>
        </w:tc>
        <w:tc>
          <w:tcPr>
            <w:tcW w:w="1134" w:type="dxa"/>
            <w:vAlign w:val="center"/>
          </w:tcPr>
          <w:p w:rsidR="004133C6" w:rsidRDefault="004133C6" w:rsidP="00555D80">
            <w:pPr>
              <w:pStyle w:val="Heading4"/>
              <w:jc w:val="center"/>
            </w:pPr>
            <w:r>
              <w:t>Date</w:t>
            </w:r>
          </w:p>
        </w:tc>
      </w:tr>
      <w:tr w:rsidR="004133C6" w:rsidTr="00555D80">
        <w:trPr>
          <w:jc w:val="center"/>
        </w:trPr>
        <w:tc>
          <w:tcPr>
            <w:tcW w:w="1559" w:type="dxa"/>
          </w:tcPr>
          <w:p w:rsidR="004133C6" w:rsidRDefault="004133C6" w:rsidP="00555D80">
            <w:pPr>
              <w:spacing w:before="60"/>
              <w:contextualSpacing/>
              <w:jc w:val="left"/>
            </w:pPr>
            <w:r>
              <w:t>Ed 1 / Rev 0</w:t>
            </w:r>
          </w:p>
        </w:tc>
        <w:tc>
          <w:tcPr>
            <w:tcW w:w="1559" w:type="dxa"/>
          </w:tcPr>
          <w:p w:rsidR="00965E63" w:rsidRDefault="00965E63" w:rsidP="00555D80">
            <w:pPr>
              <w:spacing w:before="60"/>
              <w:contextualSpacing/>
              <w:jc w:val="left"/>
            </w:pPr>
            <w:r>
              <w:t>All</w:t>
            </w:r>
          </w:p>
          <w:p w:rsidR="00241B19" w:rsidRDefault="00241B19" w:rsidP="00555D80">
            <w:pPr>
              <w:spacing w:before="60"/>
              <w:contextualSpacing/>
              <w:jc w:val="left"/>
            </w:pPr>
          </w:p>
          <w:p w:rsidR="00241B19" w:rsidRDefault="00241B19" w:rsidP="00555D80">
            <w:pPr>
              <w:spacing w:before="60"/>
              <w:contextualSpacing/>
              <w:jc w:val="left"/>
            </w:pPr>
          </w:p>
          <w:p w:rsidR="004133C6" w:rsidRDefault="00965E63" w:rsidP="00555D80">
            <w:pPr>
              <w:spacing w:before="60"/>
              <w:contextualSpacing/>
              <w:jc w:val="left"/>
            </w:pPr>
            <w:r>
              <w:t>R23.1</w:t>
            </w:r>
          </w:p>
          <w:p w:rsidR="004133C6" w:rsidRDefault="00965E63" w:rsidP="00555D80">
            <w:pPr>
              <w:spacing w:before="60"/>
              <w:contextualSpacing/>
              <w:jc w:val="left"/>
            </w:pPr>
            <w:r>
              <w:t>R23.2-R23.5</w:t>
            </w:r>
          </w:p>
          <w:p w:rsidR="004133C6" w:rsidRDefault="00965E63" w:rsidP="00555D80">
            <w:pPr>
              <w:spacing w:before="60"/>
              <w:contextualSpacing/>
              <w:jc w:val="left"/>
            </w:pPr>
            <w:r>
              <w:t>R23.6</w:t>
            </w:r>
          </w:p>
          <w:p w:rsidR="004133C6" w:rsidRDefault="004133C6" w:rsidP="00555D80">
            <w:pPr>
              <w:spacing w:before="60"/>
              <w:contextualSpacing/>
              <w:jc w:val="left"/>
            </w:pPr>
          </w:p>
          <w:p w:rsidR="004133C6" w:rsidRDefault="00965E63" w:rsidP="00555D80">
            <w:pPr>
              <w:spacing w:before="60"/>
              <w:contextualSpacing/>
              <w:jc w:val="left"/>
            </w:pPr>
            <w:r>
              <w:t>R23.7</w:t>
            </w:r>
          </w:p>
          <w:p w:rsidR="004133C6" w:rsidRDefault="004133C6" w:rsidP="00555D80">
            <w:pPr>
              <w:spacing w:before="60"/>
              <w:contextualSpacing/>
              <w:jc w:val="left"/>
            </w:pPr>
          </w:p>
          <w:p w:rsidR="004133C6" w:rsidRDefault="00965E63" w:rsidP="00555D80">
            <w:pPr>
              <w:spacing w:before="60"/>
              <w:contextualSpacing/>
              <w:jc w:val="left"/>
            </w:pPr>
            <w:r>
              <w:t>R23.8</w:t>
            </w:r>
          </w:p>
          <w:p w:rsidR="004133C6" w:rsidRDefault="004133C6" w:rsidP="00555D80">
            <w:pPr>
              <w:spacing w:before="60"/>
              <w:contextualSpacing/>
              <w:jc w:val="left"/>
            </w:pPr>
          </w:p>
          <w:p w:rsidR="00965E63" w:rsidRDefault="00965E63" w:rsidP="00555D80">
            <w:pPr>
              <w:spacing w:before="60"/>
              <w:contextualSpacing/>
              <w:jc w:val="left"/>
            </w:pPr>
            <w:r>
              <w:t>R23.9</w:t>
            </w:r>
          </w:p>
          <w:p w:rsidR="00965E63" w:rsidRDefault="00965E63" w:rsidP="00555D80">
            <w:pPr>
              <w:spacing w:before="60"/>
              <w:contextualSpacing/>
              <w:jc w:val="left"/>
            </w:pPr>
          </w:p>
          <w:p w:rsidR="00965E63" w:rsidRDefault="00965E63" w:rsidP="00965E63">
            <w:pPr>
              <w:spacing w:before="60"/>
              <w:contextualSpacing/>
              <w:jc w:val="left"/>
            </w:pPr>
            <w:r>
              <w:t>R23.10</w:t>
            </w:r>
          </w:p>
          <w:p w:rsidR="00965E63" w:rsidRDefault="00965E63" w:rsidP="00965E63">
            <w:pPr>
              <w:spacing w:before="60"/>
              <w:contextualSpacing/>
              <w:jc w:val="left"/>
            </w:pPr>
          </w:p>
          <w:p w:rsidR="00965E63" w:rsidRDefault="00965E63" w:rsidP="00965E63">
            <w:pPr>
              <w:spacing w:before="60"/>
              <w:contextualSpacing/>
              <w:jc w:val="left"/>
            </w:pPr>
            <w:r>
              <w:t>R23.11</w:t>
            </w:r>
          </w:p>
          <w:p w:rsidR="00965E63" w:rsidRDefault="00965E63" w:rsidP="00965E63">
            <w:pPr>
              <w:spacing w:before="60"/>
              <w:contextualSpacing/>
              <w:jc w:val="left"/>
            </w:pPr>
            <w:r>
              <w:t>R23.A,B&amp;C</w:t>
            </w:r>
          </w:p>
        </w:tc>
        <w:tc>
          <w:tcPr>
            <w:tcW w:w="3969" w:type="dxa"/>
          </w:tcPr>
          <w:p w:rsidR="00965E63" w:rsidRDefault="00965E63" w:rsidP="00555D80">
            <w:pPr>
              <w:spacing w:before="60"/>
              <w:contextualSpacing/>
              <w:jc w:val="left"/>
            </w:pPr>
            <w:r>
              <w:t>Specification restructured</w:t>
            </w:r>
            <w:r w:rsidR="00241B19">
              <w:t xml:space="preserve"> and </w:t>
            </w:r>
            <w:r w:rsidR="002E060E">
              <w:t>complete revision</w:t>
            </w:r>
            <w:r w:rsidR="00241B19">
              <w:t xml:space="preserve"> to reflect </w:t>
            </w:r>
            <w:r w:rsidR="00300DEC">
              <w:t xml:space="preserve">subgrade </w:t>
            </w:r>
            <w:r w:rsidR="00241B19">
              <w:t>CBR testing requirements</w:t>
            </w:r>
          </w:p>
          <w:p w:rsidR="004133C6" w:rsidRPr="00965E63" w:rsidRDefault="00965E63" w:rsidP="00555D80">
            <w:pPr>
              <w:spacing w:before="60"/>
              <w:contextualSpacing/>
              <w:jc w:val="left"/>
            </w:pPr>
            <w:r w:rsidRPr="00965E63">
              <w:t>Clause reworded</w:t>
            </w:r>
          </w:p>
          <w:p w:rsidR="004133C6" w:rsidRPr="00965E63" w:rsidRDefault="00965E63" w:rsidP="00555D80">
            <w:pPr>
              <w:spacing w:before="60"/>
              <w:contextualSpacing/>
              <w:jc w:val="left"/>
            </w:pPr>
            <w:r w:rsidRPr="00965E63">
              <w:t>New clauses added</w:t>
            </w:r>
          </w:p>
          <w:p w:rsidR="004133C6" w:rsidRDefault="00965E63" w:rsidP="00555D80">
            <w:pPr>
              <w:spacing w:before="60"/>
              <w:contextualSpacing/>
              <w:jc w:val="left"/>
            </w:pPr>
            <w:r w:rsidRPr="00965E63">
              <w:t>Replaces previous R23.2 clause, clause reworded</w:t>
            </w:r>
          </w:p>
          <w:p w:rsidR="00965E63" w:rsidRDefault="00965E63" w:rsidP="00965E63">
            <w:pPr>
              <w:spacing w:before="60"/>
              <w:contextualSpacing/>
              <w:jc w:val="left"/>
            </w:pPr>
            <w:r w:rsidRPr="00965E63">
              <w:t>Replaces previous R23.</w:t>
            </w:r>
            <w:r>
              <w:t>3</w:t>
            </w:r>
            <w:r w:rsidRPr="00965E63">
              <w:t xml:space="preserve"> clause, clause reworded</w:t>
            </w:r>
          </w:p>
          <w:p w:rsidR="00965E63" w:rsidRDefault="00965E63" w:rsidP="00965E63">
            <w:pPr>
              <w:spacing w:before="60"/>
              <w:contextualSpacing/>
              <w:jc w:val="left"/>
            </w:pPr>
            <w:r w:rsidRPr="00965E63">
              <w:t>Replaces previous R23.</w:t>
            </w:r>
            <w:r>
              <w:t>4-R23.6</w:t>
            </w:r>
            <w:r w:rsidRPr="00965E63">
              <w:t xml:space="preserve"> clause</w:t>
            </w:r>
            <w:r>
              <w:t>s</w:t>
            </w:r>
            <w:r w:rsidRPr="00965E63">
              <w:t>, clause</w:t>
            </w:r>
            <w:r>
              <w:t>s</w:t>
            </w:r>
            <w:r w:rsidRPr="00965E63">
              <w:t xml:space="preserve"> reworded</w:t>
            </w:r>
          </w:p>
          <w:p w:rsidR="00965E63" w:rsidRDefault="00965E63" w:rsidP="00965E63">
            <w:pPr>
              <w:spacing w:before="60"/>
              <w:contextualSpacing/>
              <w:jc w:val="left"/>
            </w:pPr>
            <w:r w:rsidRPr="00965E63">
              <w:t>Replaces previous R23.</w:t>
            </w:r>
            <w:r>
              <w:t>7</w:t>
            </w:r>
            <w:r w:rsidRPr="00965E63">
              <w:t xml:space="preserve"> clause, clause reworded</w:t>
            </w:r>
          </w:p>
          <w:p w:rsidR="00965E63" w:rsidRDefault="00965E63" w:rsidP="00965E63">
            <w:pPr>
              <w:spacing w:before="60"/>
              <w:contextualSpacing/>
              <w:jc w:val="left"/>
            </w:pPr>
            <w:r w:rsidRPr="00965E63">
              <w:t>Replaces previous R23.</w:t>
            </w:r>
            <w:r>
              <w:t>8</w:t>
            </w:r>
            <w:r w:rsidRPr="00965E63">
              <w:t xml:space="preserve"> clause, clause reworded</w:t>
            </w:r>
          </w:p>
          <w:p w:rsidR="004133C6" w:rsidRDefault="00965E63" w:rsidP="00555D80">
            <w:pPr>
              <w:spacing w:before="60"/>
              <w:contextualSpacing/>
              <w:jc w:val="left"/>
            </w:pPr>
            <w:r>
              <w:t>New clause added</w:t>
            </w:r>
          </w:p>
          <w:p w:rsidR="00965E63" w:rsidRDefault="00965E63" w:rsidP="00965E63">
            <w:pPr>
              <w:spacing w:before="60"/>
              <w:contextualSpacing/>
              <w:jc w:val="left"/>
            </w:pPr>
            <w:r>
              <w:t>New appendices added</w:t>
            </w:r>
          </w:p>
        </w:tc>
        <w:tc>
          <w:tcPr>
            <w:tcW w:w="1559" w:type="dxa"/>
          </w:tcPr>
          <w:p w:rsidR="004133C6" w:rsidRDefault="00E32072" w:rsidP="00E32072">
            <w:pPr>
              <w:spacing w:before="60"/>
              <w:contextualSpacing/>
              <w:jc w:val="left"/>
            </w:pPr>
            <w:r>
              <w:t>BW</w:t>
            </w:r>
            <w:r w:rsidR="004133C6">
              <w:t xml:space="preserve"> (M</w:t>
            </w:r>
            <w:r>
              <w:t>AM</w:t>
            </w:r>
            <w:r w:rsidR="004133C6">
              <w:t>)</w:t>
            </w:r>
          </w:p>
        </w:tc>
        <w:tc>
          <w:tcPr>
            <w:tcW w:w="1134" w:type="dxa"/>
          </w:tcPr>
          <w:p w:rsidR="004133C6" w:rsidRDefault="004133C6" w:rsidP="00555D80">
            <w:pPr>
              <w:spacing w:before="60"/>
              <w:contextualSpacing/>
              <w:jc w:val="left"/>
            </w:pPr>
            <w:r>
              <w:t>14.06.13</w:t>
            </w:r>
          </w:p>
        </w:tc>
      </w:tr>
    </w:tbl>
    <w:p w:rsidR="004133C6" w:rsidRDefault="004133C6" w:rsidP="006B4257">
      <w:pPr>
        <w:pStyle w:val="Heading4"/>
      </w:pPr>
    </w:p>
    <w:p w:rsidR="004133C6" w:rsidRPr="004133C6" w:rsidRDefault="004133C6" w:rsidP="004133C6"/>
    <w:p w:rsidR="004133C6" w:rsidRDefault="004133C6" w:rsidP="006B4257">
      <w:pPr>
        <w:pStyle w:val="Heading4"/>
      </w:pPr>
    </w:p>
    <w:p w:rsidR="004133C6" w:rsidRDefault="004133C6" w:rsidP="006B4257">
      <w:pPr>
        <w:pStyle w:val="Heading4"/>
      </w:pPr>
    </w:p>
    <w:p w:rsidR="004133C6" w:rsidRDefault="004133C6" w:rsidP="006B4257">
      <w:pPr>
        <w:pStyle w:val="Heading4"/>
      </w:pPr>
    </w:p>
    <w:p w:rsidR="004133C6" w:rsidRDefault="004133C6" w:rsidP="006B4257">
      <w:pPr>
        <w:pStyle w:val="Heading4"/>
      </w:pPr>
    </w:p>
    <w:p w:rsidR="004133C6" w:rsidRDefault="004133C6" w:rsidP="006B4257">
      <w:pPr>
        <w:pStyle w:val="Heading4"/>
      </w:pPr>
    </w:p>
    <w:p w:rsidR="004133C6" w:rsidRDefault="004133C6" w:rsidP="006B4257">
      <w:pPr>
        <w:pStyle w:val="Heading4"/>
      </w:pPr>
    </w:p>
    <w:p w:rsidR="004133C6" w:rsidRDefault="004133C6" w:rsidP="006B4257">
      <w:pPr>
        <w:pStyle w:val="Heading4"/>
      </w:pPr>
    </w:p>
    <w:p w:rsidR="004133C6" w:rsidRDefault="004133C6" w:rsidP="006B4257">
      <w:pPr>
        <w:pStyle w:val="Heading4"/>
      </w:pPr>
    </w:p>
    <w:p w:rsidR="004133C6" w:rsidRDefault="004133C6" w:rsidP="006B4257">
      <w:pPr>
        <w:pStyle w:val="Heading4"/>
      </w:pPr>
    </w:p>
    <w:p w:rsidR="004133C6" w:rsidRDefault="004133C6" w:rsidP="006B4257">
      <w:pPr>
        <w:pStyle w:val="Heading4"/>
      </w:pPr>
    </w:p>
    <w:p w:rsidR="004133C6" w:rsidRDefault="004133C6" w:rsidP="006B4257">
      <w:pPr>
        <w:pStyle w:val="Heading4"/>
      </w:pPr>
    </w:p>
    <w:p w:rsidR="004133C6" w:rsidRDefault="004133C6" w:rsidP="006B4257">
      <w:pPr>
        <w:pStyle w:val="Heading4"/>
      </w:pPr>
    </w:p>
    <w:p w:rsidR="004133C6" w:rsidRDefault="004133C6" w:rsidP="006B4257">
      <w:pPr>
        <w:pStyle w:val="Heading4"/>
      </w:pPr>
    </w:p>
    <w:p w:rsidR="004133C6" w:rsidRDefault="004133C6" w:rsidP="006B4257">
      <w:pPr>
        <w:pStyle w:val="Heading4"/>
      </w:pPr>
    </w:p>
    <w:p w:rsidR="004133C6" w:rsidRDefault="004133C6" w:rsidP="006B4257">
      <w:pPr>
        <w:pStyle w:val="Heading4"/>
      </w:pPr>
    </w:p>
    <w:p w:rsidR="004133C6" w:rsidRDefault="004133C6" w:rsidP="006B4257">
      <w:pPr>
        <w:pStyle w:val="Heading4"/>
      </w:pPr>
    </w:p>
    <w:p w:rsidR="004133C6" w:rsidRDefault="004133C6" w:rsidP="006B4257">
      <w:pPr>
        <w:pStyle w:val="Heading4"/>
      </w:pPr>
    </w:p>
    <w:p w:rsidR="004133C6" w:rsidRDefault="004133C6" w:rsidP="006B4257">
      <w:pPr>
        <w:pStyle w:val="Heading4"/>
      </w:pPr>
    </w:p>
    <w:p w:rsidR="004133C6" w:rsidRDefault="004133C6" w:rsidP="006B4257">
      <w:pPr>
        <w:pStyle w:val="Heading4"/>
      </w:pPr>
    </w:p>
    <w:p w:rsidR="004133C6" w:rsidRDefault="004133C6" w:rsidP="006B4257">
      <w:pPr>
        <w:pStyle w:val="Heading4"/>
      </w:pPr>
    </w:p>
    <w:p w:rsidR="004133C6" w:rsidRDefault="004133C6" w:rsidP="006B4257">
      <w:pPr>
        <w:pStyle w:val="Heading4"/>
      </w:pPr>
    </w:p>
    <w:p w:rsidR="004133C6" w:rsidRDefault="004133C6" w:rsidP="006B4257">
      <w:pPr>
        <w:pStyle w:val="Heading4"/>
      </w:pPr>
    </w:p>
    <w:p w:rsidR="004133C6" w:rsidRDefault="004133C6" w:rsidP="006B4257">
      <w:pPr>
        <w:pStyle w:val="Heading4"/>
      </w:pPr>
    </w:p>
    <w:p w:rsidR="004133C6" w:rsidRDefault="004133C6" w:rsidP="006B4257">
      <w:pPr>
        <w:pStyle w:val="Heading4"/>
      </w:pPr>
    </w:p>
    <w:p w:rsidR="004133C6" w:rsidRDefault="004133C6" w:rsidP="006B4257">
      <w:pPr>
        <w:pStyle w:val="Heading4"/>
      </w:pPr>
    </w:p>
    <w:p w:rsidR="004133C6" w:rsidRDefault="004133C6" w:rsidP="006B4257">
      <w:pPr>
        <w:pStyle w:val="Heading4"/>
      </w:pPr>
    </w:p>
    <w:p w:rsidR="004133C6" w:rsidRDefault="004133C6" w:rsidP="006B4257">
      <w:pPr>
        <w:pStyle w:val="Heading4"/>
      </w:pPr>
    </w:p>
    <w:p w:rsidR="004133C6" w:rsidRDefault="004133C6" w:rsidP="006B4257">
      <w:pPr>
        <w:pStyle w:val="Heading4"/>
      </w:pPr>
    </w:p>
    <w:p w:rsidR="004133C6" w:rsidRDefault="004133C6" w:rsidP="004133C6">
      <w:pPr>
        <w:rPr>
          <w:b/>
        </w:rPr>
      </w:pPr>
    </w:p>
    <w:p w:rsidR="00965E63" w:rsidRDefault="00965E63" w:rsidP="004133C6">
      <w:pPr>
        <w:rPr>
          <w:b/>
        </w:rPr>
      </w:pPr>
    </w:p>
    <w:p w:rsidR="00965E63" w:rsidRDefault="00965E63" w:rsidP="004133C6">
      <w:pPr>
        <w:rPr>
          <w:b/>
        </w:rPr>
      </w:pPr>
    </w:p>
    <w:p w:rsidR="00965E63" w:rsidRDefault="00965E63" w:rsidP="004133C6">
      <w:pPr>
        <w:rPr>
          <w:b/>
        </w:rPr>
      </w:pPr>
    </w:p>
    <w:p w:rsidR="00965E63" w:rsidRPr="004133C6" w:rsidRDefault="00965E63" w:rsidP="004133C6"/>
    <w:p w:rsidR="001E5254" w:rsidRPr="00684747" w:rsidRDefault="00D46222" w:rsidP="006B4257">
      <w:pPr>
        <w:pStyle w:val="Heading4"/>
      </w:pPr>
      <w:r>
        <w:lastRenderedPageBreak/>
        <w:t>Index</w:t>
      </w:r>
      <w:r w:rsidR="00026328">
        <w:tab/>
      </w:r>
      <w:r w:rsidR="00971DE1">
        <w:tab/>
      </w:r>
      <w:r w:rsidR="006B4257">
        <w:tab/>
      </w:r>
      <w:r w:rsidR="001E5254" w:rsidRPr="00684747">
        <w:t>Page</w:t>
      </w:r>
    </w:p>
    <w:p w:rsidR="000746C9" w:rsidRDefault="00A30CD3">
      <w:pPr>
        <w:pStyle w:val="TOC1"/>
        <w:rPr>
          <w:rFonts w:asciiTheme="minorHAnsi" w:eastAsiaTheme="minorEastAsia" w:hAnsiTheme="minorHAnsi" w:cstheme="minorBidi"/>
          <w:caps w:val="0"/>
          <w:noProof/>
          <w:szCs w:val="22"/>
          <w:lang w:eastAsia="en-AU"/>
        </w:rPr>
      </w:pPr>
      <w:r>
        <w:rPr>
          <w:b/>
        </w:rPr>
        <w:fldChar w:fldCharType="begin"/>
      </w:r>
      <w:r w:rsidR="00722F1B">
        <w:rPr>
          <w:b/>
        </w:rPr>
        <w:instrText xml:space="preserve"> TOC \o "1-3" </w:instrText>
      </w:r>
      <w:r>
        <w:rPr>
          <w:b/>
        </w:rPr>
        <w:fldChar w:fldCharType="separate"/>
      </w:r>
      <w:r w:rsidR="000746C9">
        <w:rPr>
          <w:noProof/>
        </w:rPr>
        <w:t>R23.1</w:t>
      </w:r>
      <w:r w:rsidR="000746C9">
        <w:rPr>
          <w:rFonts w:asciiTheme="minorHAnsi" w:eastAsiaTheme="minorEastAsia" w:hAnsiTheme="minorHAnsi" w:cstheme="minorBidi"/>
          <w:caps w:val="0"/>
          <w:noProof/>
          <w:szCs w:val="22"/>
          <w:lang w:eastAsia="en-AU"/>
        </w:rPr>
        <w:tab/>
      </w:r>
      <w:r w:rsidR="000746C9">
        <w:rPr>
          <w:noProof/>
        </w:rPr>
        <w:t>Scope</w:t>
      </w:r>
      <w:r w:rsidR="000746C9">
        <w:rPr>
          <w:noProof/>
        </w:rPr>
        <w:tab/>
      </w:r>
      <w:r>
        <w:rPr>
          <w:noProof/>
        </w:rPr>
        <w:fldChar w:fldCharType="begin"/>
      </w:r>
      <w:r w:rsidR="000746C9">
        <w:rPr>
          <w:noProof/>
        </w:rPr>
        <w:instrText xml:space="preserve"> PAGEREF _Toc357777200 \h </w:instrText>
      </w:r>
      <w:r>
        <w:rPr>
          <w:noProof/>
        </w:rPr>
      </w:r>
      <w:r>
        <w:rPr>
          <w:noProof/>
        </w:rPr>
        <w:fldChar w:fldCharType="separate"/>
      </w:r>
      <w:r w:rsidR="00C05F2C">
        <w:rPr>
          <w:noProof/>
        </w:rPr>
        <w:t>4</w:t>
      </w:r>
      <w:r>
        <w:rPr>
          <w:noProof/>
        </w:rPr>
        <w:fldChar w:fldCharType="end"/>
      </w:r>
    </w:p>
    <w:p w:rsidR="000746C9" w:rsidRDefault="000746C9">
      <w:pPr>
        <w:pStyle w:val="TOC1"/>
        <w:rPr>
          <w:rFonts w:asciiTheme="minorHAnsi" w:eastAsiaTheme="minorEastAsia" w:hAnsiTheme="minorHAnsi" w:cstheme="minorBidi"/>
          <w:caps w:val="0"/>
          <w:noProof/>
          <w:szCs w:val="22"/>
          <w:lang w:eastAsia="en-AU"/>
        </w:rPr>
      </w:pPr>
      <w:r>
        <w:rPr>
          <w:noProof/>
        </w:rPr>
        <w:t>R23.2</w:t>
      </w:r>
      <w:r>
        <w:rPr>
          <w:rFonts w:asciiTheme="minorHAnsi" w:eastAsiaTheme="minorEastAsia" w:hAnsiTheme="minorHAnsi" w:cstheme="minorBidi"/>
          <w:caps w:val="0"/>
          <w:noProof/>
          <w:szCs w:val="22"/>
          <w:lang w:eastAsia="en-AU"/>
        </w:rPr>
        <w:tab/>
      </w:r>
      <w:r>
        <w:rPr>
          <w:noProof/>
        </w:rPr>
        <w:t>objective</w:t>
      </w:r>
      <w:r>
        <w:rPr>
          <w:noProof/>
        </w:rPr>
        <w:tab/>
      </w:r>
      <w:r w:rsidR="00A30CD3">
        <w:rPr>
          <w:noProof/>
        </w:rPr>
        <w:fldChar w:fldCharType="begin"/>
      </w:r>
      <w:r>
        <w:rPr>
          <w:noProof/>
        </w:rPr>
        <w:instrText xml:space="preserve"> PAGEREF _Toc357777201 \h </w:instrText>
      </w:r>
      <w:r w:rsidR="00A30CD3">
        <w:rPr>
          <w:noProof/>
        </w:rPr>
      </w:r>
      <w:r w:rsidR="00A30CD3">
        <w:rPr>
          <w:noProof/>
        </w:rPr>
        <w:fldChar w:fldCharType="separate"/>
      </w:r>
      <w:r w:rsidR="00C05F2C">
        <w:rPr>
          <w:noProof/>
        </w:rPr>
        <w:t>4</w:t>
      </w:r>
      <w:r w:rsidR="00A30CD3">
        <w:rPr>
          <w:noProof/>
        </w:rPr>
        <w:fldChar w:fldCharType="end"/>
      </w:r>
    </w:p>
    <w:p w:rsidR="000746C9" w:rsidRDefault="000746C9">
      <w:pPr>
        <w:pStyle w:val="TOC1"/>
        <w:rPr>
          <w:rFonts w:asciiTheme="minorHAnsi" w:eastAsiaTheme="minorEastAsia" w:hAnsiTheme="minorHAnsi" w:cstheme="minorBidi"/>
          <w:caps w:val="0"/>
          <w:noProof/>
          <w:szCs w:val="22"/>
          <w:lang w:eastAsia="en-AU"/>
        </w:rPr>
      </w:pPr>
      <w:r>
        <w:rPr>
          <w:noProof/>
        </w:rPr>
        <w:t>r23.3</w:t>
      </w:r>
      <w:r>
        <w:rPr>
          <w:rFonts w:asciiTheme="minorHAnsi" w:eastAsiaTheme="minorEastAsia" w:hAnsiTheme="minorHAnsi" w:cstheme="minorBidi"/>
          <w:caps w:val="0"/>
          <w:noProof/>
          <w:szCs w:val="22"/>
          <w:lang w:eastAsia="en-AU"/>
        </w:rPr>
        <w:tab/>
      </w:r>
      <w:r>
        <w:rPr>
          <w:noProof/>
        </w:rPr>
        <w:t>references and standards</w:t>
      </w:r>
      <w:r>
        <w:rPr>
          <w:noProof/>
        </w:rPr>
        <w:tab/>
      </w:r>
      <w:r w:rsidR="00A30CD3">
        <w:rPr>
          <w:noProof/>
        </w:rPr>
        <w:fldChar w:fldCharType="begin"/>
      </w:r>
      <w:r>
        <w:rPr>
          <w:noProof/>
        </w:rPr>
        <w:instrText xml:space="preserve"> PAGEREF _Toc357777202 \h </w:instrText>
      </w:r>
      <w:r w:rsidR="00A30CD3">
        <w:rPr>
          <w:noProof/>
        </w:rPr>
      </w:r>
      <w:r w:rsidR="00A30CD3">
        <w:rPr>
          <w:noProof/>
        </w:rPr>
        <w:fldChar w:fldCharType="separate"/>
      </w:r>
      <w:r w:rsidR="00C05F2C">
        <w:rPr>
          <w:noProof/>
        </w:rPr>
        <w:t>4</w:t>
      </w:r>
      <w:r w:rsidR="00A30CD3">
        <w:rPr>
          <w:noProof/>
        </w:rPr>
        <w:fldChar w:fldCharType="end"/>
      </w:r>
    </w:p>
    <w:p w:rsidR="000746C9" w:rsidRDefault="000746C9">
      <w:pPr>
        <w:pStyle w:val="TOC1"/>
        <w:rPr>
          <w:rFonts w:asciiTheme="minorHAnsi" w:eastAsiaTheme="minorEastAsia" w:hAnsiTheme="minorHAnsi" w:cstheme="minorBidi"/>
          <w:caps w:val="0"/>
          <w:noProof/>
          <w:szCs w:val="22"/>
          <w:lang w:eastAsia="en-AU"/>
        </w:rPr>
      </w:pPr>
      <w:r>
        <w:rPr>
          <w:noProof/>
        </w:rPr>
        <w:t>r23.4</w:t>
      </w:r>
      <w:r>
        <w:rPr>
          <w:rFonts w:asciiTheme="minorHAnsi" w:eastAsiaTheme="minorEastAsia" w:hAnsiTheme="minorHAnsi" w:cstheme="minorBidi"/>
          <w:caps w:val="0"/>
          <w:noProof/>
          <w:szCs w:val="22"/>
          <w:lang w:eastAsia="en-AU"/>
        </w:rPr>
        <w:tab/>
      </w:r>
      <w:r>
        <w:rPr>
          <w:noProof/>
        </w:rPr>
        <w:t>definitions</w:t>
      </w:r>
      <w:r>
        <w:rPr>
          <w:noProof/>
        </w:rPr>
        <w:tab/>
      </w:r>
      <w:r w:rsidR="00A30CD3">
        <w:rPr>
          <w:noProof/>
        </w:rPr>
        <w:fldChar w:fldCharType="begin"/>
      </w:r>
      <w:r>
        <w:rPr>
          <w:noProof/>
        </w:rPr>
        <w:instrText xml:space="preserve"> PAGEREF _Toc357777203 \h </w:instrText>
      </w:r>
      <w:r w:rsidR="00A30CD3">
        <w:rPr>
          <w:noProof/>
        </w:rPr>
      </w:r>
      <w:r w:rsidR="00A30CD3">
        <w:rPr>
          <w:noProof/>
        </w:rPr>
        <w:fldChar w:fldCharType="separate"/>
      </w:r>
      <w:r w:rsidR="00C05F2C">
        <w:rPr>
          <w:noProof/>
        </w:rPr>
        <w:t>4</w:t>
      </w:r>
      <w:r w:rsidR="00A30CD3">
        <w:rPr>
          <w:noProof/>
        </w:rPr>
        <w:fldChar w:fldCharType="end"/>
      </w:r>
    </w:p>
    <w:p w:rsidR="000746C9" w:rsidRDefault="000746C9">
      <w:pPr>
        <w:pStyle w:val="TOC1"/>
        <w:rPr>
          <w:rFonts w:asciiTheme="minorHAnsi" w:eastAsiaTheme="minorEastAsia" w:hAnsiTheme="minorHAnsi" w:cstheme="minorBidi"/>
          <w:caps w:val="0"/>
          <w:noProof/>
          <w:szCs w:val="22"/>
          <w:lang w:eastAsia="en-AU"/>
        </w:rPr>
      </w:pPr>
      <w:r>
        <w:rPr>
          <w:noProof/>
        </w:rPr>
        <w:t>r23.5</w:t>
      </w:r>
      <w:r>
        <w:rPr>
          <w:rFonts w:asciiTheme="minorHAnsi" w:eastAsiaTheme="minorEastAsia" w:hAnsiTheme="minorHAnsi" w:cstheme="minorBidi"/>
          <w:caps w:val="0"/>
          <w:noProof/>
          <w:szCs w:val="22"/>
          <w:lang w:eastAsia="en-AU"/>
        </w:rPr>
        <w:tab/>
      </w:r>
      <w:r>
        <w:rPr>
          <w:noProof/>
        </w:rPr>
        <w:t>contract management plan</w:t>
      </w:r>
      <w:r>
        <w:rPr>
          <w:noProof/>
        </w:rPr>
        <w:tab/>
      </w:r>
      <w:r w:rsidR="00A30CD3">
        <w:rPr>
          <w:noProof/>
        </w:rPr>
        <w:fldChar w:fldCharType="begin"/>
      </w:r>
      <w:r>
        <w:rPr>
          <w:noProof/>
        </w:rPr>
        <w:instrText xml:space="preserve"> PAGEREF _Toc357777204 \h </w:instrText>
      </w:r>
      <w:r w:rsidR="00A30CD3">
        <w:rPr>
          <w:noProof/>
        </w:rPr>
      </w:r>
      <w:r w:rsidR="00A30CD3">
        <w:rPr>
          <w:noProof/>
        </w:rPr>
        <w:fldChar w:fldCharType="separate"/>
      </w:r>
      <w:r w:rsidR="00C05F2C">
        <w:rPr>
          <w:noProof/>
        </w:rPr>
        <w:t>5</w:t>
      </w:r>
      <w:r w:rsidR="00A30CD3">
        <w:rPr>
          <w:noProof/>
        </w:rPr>
        <w:fldChar w:fldCharType="end"/>
      </w:r>
    </w:p>
    <w:p w:rsidR="000746C9" w:rsidRDefault="000746C9">
      <w:pPr>
        <w:pStyle w:val="TOC1"/>
        <w:rPr>
          <w:rFonts w:asciiTheme="minorHAnsi" w:eastAsiaTheme="minorEastAsia" w:hAnsiTheme="minorHAnsi" w:cstheme="minorBidi"/>
          <w:caps w:val="0"/>
          <w:noProof/>
          <w:szCs w:val="22"/>
          <w:lang w:eastAsia="en-AU"/>
        </w:rPr>
      </w:pPr>
      <w:r>
        <w:rPr>
          <w:noProof/>
        </w:rPr>
        <w:t>r23.6</w:t>
      </w:r>
      <w:r>
        <w:rPr>
          <w:rFonts w:asciiTheme="minorHAnsi" w:eastAsiaTheme="minorEastAsia" w:hAnsiTheme="minorHAnsi" w:cstheme="minorBidi"/>
          <w:caps w:val="0"/>
          <w:noProof/>
          <w:szCs w:val="22"/>
          <w:lang w:eastAsia="en-AU"/>
        </w:rPr>
        <w:tab/>
      </w:r>
      <w:r>
        <w:rPr>
          <w:noProof/>
        </w:rPr>
        <w:t>materials</w:t>
      </w:r>
      <w:r>
        <w:rPr>
          <w:noProof/>
        </w:rPr>
        <w:tab/>
      </w:r>
      <w:r w:rsidR="00A30CD3">
        <w:rPr>
          <w:noProof/>
        </w:rPr>
        <w:fldChar w:fldCharType="begin"/>
      </w:r>
      <w:r>
        <w:rPr>
          <w:noProof/>
        </w:rPr>
        <w:instrText xml:space="preserve"> PAGEREF _Toc357777205 \h </w:instrText>
      </w:r>
      <w:r w:rsidR="00A30CD3">
        <w:rPr>
          <w:noProof/>
        </w:rPr>
      </w:r>
      <w:r w:rsidR="00A30CD3">
        <w:rPr>
          <w:noProof/>
        </w:rPr>
        <w:fldChar w:fldCharType="separate"/>
      </w:r>
      <w:r w:rsidR="00C05F2C">
        <w:rPr>
          <w:noProof/>
        </w:rPr>
        <w:t>5</w:t>
      </w:r>
      <w:r w:rsidR="00A30CD3">
        <w:rPr>
          <w:noProof/>
        </w:rPr>
        <w:fldChar w:fldCharType="end"/>
      </w:r>
    </w:p>
    <w:p w:rsidR="000746C9" w:rsidRDefault="000746C9">
      <w:pPr>
        <w:pStyle w:val="TOC2"/>
        <w:rPr>
          <w:rFonts w:asciiTheme="minorHAnsi" w:eastAsiaTheme="minorEastAsia" w:hAnsiTheme="minorHAnsi" w:cstheme="minorBidi"/>
          <w:i w:val="0"/>
          <w:noProof/>
          <w:sz w:val="22"/>
          <w:szCs w:val="22"/>
          <w:lang w:eastAsia="en-AU"/>
        </w:rPr>
      </w:pPr>
      <w:r>
        <w:rPr>
          <w:noProof/>
        </w:rPr>
        <w:t>R23.6.1</w:t>
      </w:r>
      <w:r>
        <w:rPr>
          <w:rFonts w:asciiTheme="minorHAnsi" w:eastAsiaTheme="minorEastAsia" w:hAnsiTheme="minorHAnsi" w:cstheme="minorBidi"/>
          <w:i w:val="0"/>
          <w:noProof/>
          <w:sz w:val="22"/>
          <w:szCs w:val="22"/>
          <w:lang w:eastAsia="en-AU"/>
        </w:rPr>
        <w:tab/>
      </w:r>
      <w:r>
        <w:rPr>
          <w:rFonts w:asciiTheme="minorHAnsi" w:eastAsiaTheme="minorEastAsia" w:hAnsiTheme="minorHAnsi" w:cstheme="minorBidi"/>
          <w:i w:val="0"/>
          <w:noProof/>
          <w:sz w:val="22"/>
          <w:szCs w:val="22"/>
          <w:lang w:eastAsia="en-AU"/>
        </w:rPr>
        <w:tab/>
      </w:r>
      <w:r>
        <w:rPr>
          <w:noProof/>
        </w:rPr>
        <w:t>General</w:t>
      </w:r>
      <w:r>
        <w:rPr>
          <w:noProof/>
        </w:rPr>
        <w:tab/>
      </w:r>
      <w:r w:rsidR="00A30CD3">
        <w:rPr>
          <w:noProof/>
        </w:rPr>
        <w:fldChar w:fldCharType="begin"/>
      </w:r>
      <w:r>
        <w:rPr>
          <w:noProof/>
        </w:rPr>
        <w:instrText xml:space="preserve"> PAGEREF _Toc357777206 \h </w:instrText>
      </w:r>
      <w:r w:rsidR="00A30CD3">
        <w:rPr>
          <w:noProof/>
        </w:rPr>
      </w:r>
      <w:r w:rsidR="00A30CD3">
        <w:rPr>
          <w:noProof/>
        </w:rPr>
        <w:fldChar w:fldCharType="separate"/>
      </w:r>
      <w:r w:rsidR="00C05F2C">
        <w:rPr>
          <w:noProof/>
        </w:rPr>
        <w:t>5</w:t>
      </w:r>
      <w:r w:rsidR="00A30CD3">
        <w:rPr>
          <w:noProof/>
        </w:rPr>
        <w:fldChar w:fldCharType="end"/>
      </w:r>
    </w:p>
    <w:p w:rsidR="000746C9" w:rsidRDefault="000746C9">
      <w:pPr>
        <w:pStyle w:val="TOC2"/>
        <w:rPr>
          <w:rFonts w:asciiTheme="minorHAnsi" w:eastAsiaTheme="minorEastAsia" w:hAnsiTheme="minorHAnsi" w:cstheme="minorBidi"/>
          <w:i w:val="0"/>
          <w:noProof/>
          <w:sz w:val="22"/>
          <w:szCs w:val="22"/>
          <w:lang w:eastAsia="en-AU"/>
        </w:rPr>
      </w:pPr>
      <w:r>
        <w:rPr>
          <w:noProof/>
        </w:rPr>
        <w:t>R23.6.2</w:t>
      </w:r>
      <w:r>
        <w:rPr>
          <w:rFonts w:asciiTheme="minorHAnsi" w:eastAsiaTheme="minorEastAsia" w:hAnsiTheme="minorHAnsi" w:cstheme="minorBidi"/>
          <w:i w:val="0"/>
          <w:noProof/>
          <w:sz w:val="22"/>
          <w:szCs w:val="22"/>
          <w:lang w:eastAsia="en-AU"/>
        </w:rPr>
        <w:tab/>
      </w:r>
      <w:r>
        <w:rPr>
          <w:rFonts w:asciiTheme="minorHAnsi" w:eastAsiaTheme="minorEastAsia" w:hAnsiTheme="minorHAnsi" w:cstheme="minorBidi"/>
          <w:i w:val="0"/>
          <w:noProof/>
          <w:sz w:val="22"/>
          <w:szCs w:val="22"/>
          <w:lang w:eastAsia="en-AU"/>
        </w:rPr>
        <w:tab/>
      </w:r>
      <w:r>
        <w:rPr>
          <w:noProof/>
        </w:rPr>
        <w:t>Compliance Of Materials And Representative CBR</w:t>
      </w:r>
      <w:r>
        <w:rPr>
          <w:noProof/>
        </w:rPr>
        <w:tab/>
      </w:r>
      <w:r w:rsidR="00A30CD3">
        <w:rPr>
          <w:noProof/>
        </w:rPr>
        <w:fldChar w:fldCharType="begin"/>
      </w:r>
      <w:r>
        <w:rPr>
          <w:noProof/>
        </w:rPr>
        <w:instrText xml:space="preserve"> PAGEREF _Toc357777207 \h </w:instrText>
      </w:r>
      <w:r w:rsidR="00A30CD3">
        <w:rPr>
          <w:noProof/>
        </w:rPr>
      </w:r>
      <w:r w:rsidR="00A30CD3">
        <w:rPr>
          <w:noProof/>
        </w:rPr>
        <w:fldChar w:fldCharType="separate"/>
      </w:r>
      <w:r w:rsidR="00C05F2C">
        <w:rPr>
          <w:noProof/>
        </w:rPr>
        <w:t>6</w:t>
      </w:r>
      <w:r w:rsidR="00A30CD3">
        <w:rPr>
          <w:noProof/>
        </w:rPr>
        <w:fldChar w:fldCharType="end"/>
      </w:r>
    </w:p>
    <w:p w:rsidR="000746C9" w:rsidRDefault="000746C9">
      <w:pPr>
        <w:pStyle w:val="TOC2"/>
        <w:rPr>
          <w:rFonts w:asciiTheme="minorHAnsi" w:eastAsiaTheme="minorEastAsia" w:hAnsiTheme="minorHAnsi" w:cstheme="minorBidi"/>
          <w:i w:val="0"/>
          <w:noProof/>
          <w:sz w:val="22"/>
          <w:szCs w:val="22"/>
          <w:lang w:eastAsia="en-AU"/>
        </w:rPr>
      </w:pPr>
      <w:r>
        <w:rPr>
          <w:noProof/>
        </w:rPr>
        <w:t>R23.6.3</w:t>
      </w:r>
      <w:r>
        <w:rPr>
          <w:rFonts w:asciiTheme="minorHAnsi" w:eastAsiaTheme="minorEastAsia" w:hAnsiTheme="minorHAnsi" w:cstheme="minorBidi"/>
          <w:i w:val="0"/>
          <w:noProof/>
          <w:sz w:val="22"/>
          <w:szCs w:val="22"/>
          <w:lang w:eastAsia="en-AU"/>
        </w:rPr>
        <w:tab/>
      </w:r>
      <w:r>
        <w:rPr>
          <w:rFonts w:asciiTheme="minorHAnsi" w:eastAsiaTheme="minorEastAsia" w:hAnsiTheme="minorHAnsi" w:cstheme="minorBidi"/>
          <w:i w:val="0"/>
          <w:noProof/>
          <w:sz w:val="22"/>
          <w:szCs w:val="22"/>
          <w:lang w:eastAsia="en-AU"/>
        </w:rPr>
        <w:tab/>
      </w:r>
      <w:r>
        <w:rPr>
          <w:noProof/>
        </w:rPr>
        <w:t>Imported Materials for Subgrade Zone</w:t>
      </w:r>
      <w:r>
        <w:rPr>
          <w:noProof/>
        </w:rPr>
        <w:tab/>
      </w:r>
      <w:r w:rsidR="00A30CD3">
        <w:rPr>
          <w:noProof/>
        </w:rPr>
        <w:fldChar w:fldCharType="begin"/>
      </w:r>
      <w:r>
        <w:rPr>
          <w:noProof/>
        </w:rPr>
        <w:instrText xml:space="preserve"> PAGEREF _Toc357777208 \h </w:instrText>
      </w:r>
      <w:r w:rsidR="00A30CD3">
        <w:rPr>
          <w:noProof/>
        </w:rPr>
      </w:r>
      <w:r w:rsidR="00A30CD3">
        <w:rPr>
          <w:noProof/>
        </w:rPr>
        <w:fldChar w:fldCharType="separate"/>
      </w:r>
      <w:r w:rsidR="00C05F2C">
        <w:rPr>
          <w:noProof/>
        </w:rPr>
        <w:t>6</w:t>
      </w:r>
      <w:r w:rsidR="00A30CD3">
        <w:rPr>
          <w:noProof/>
        </w:rPr>
        <w:fldChar w:fldCharType="end"/>
      </w:r>
    </w:p>
    <w:p w:rsidR="000746C9" w:rsidRDefault="000746C9">
      <w:pPr>
        <w:pStyle w:val="TOC2"/>
        <w:rPr>
          <w:rFonts w:asciiTheme="minorHAnsi" w:eastAsiaTheme="minorEastAsia" w:hAnsiTheme="minorHAnsi" w:cstheme="minorBidi"/>
          <w:i w:val="0"/>
          <w:noProof/>
          <w:sz w:val="22"/>
          <w:szCs w:val="22"/>
          <w:lang w:eastAsia="en-AU"/>
        </w:rPr>
      </w:pPr>
      <w:r>
        <w:rPr>
          <w:noProof/>
        </w:rPr>
        <w:t>R23.6.4</w:t>
      </w:r>
      <w:r>
        <w:rPr>
          <w:rFonts w:asciiTheme="minorHAnsi" w:eastAsiaTheme="minorEastAsia" w:hAnsiTheme="minorHAnsi" w:cstheme="minorBidi"/>
          <w:i w:val="0"/>
          <w:noProof/>
          <w:sz w:val="22"/>
          <w:szCs w:val="22"/>
          <w:lang w:eastAsia="en-AU"/>
        </w:rPr>
        <w:tab/>
      </w:r>
      <w:r>
        <w:rPr>
          <w:rFonts w:asciiTheme="minorHAnsi" w:eastAsiaTheme="minorEastAsia" w:hAnsiTheme="minorHAnsi" w:cstheme="minorBidi"/>
          <w:i w:val="0"/>
          <w:noProof/>
          <w:sz w:val="22"/>
          <w:szCs w:val="22"/>
          <w:lang w:eastAsia="en-AU"/>
        </w:rPr>
        <w:tab/>
      </w:r>
      <w:r>
        <w:rPr>
          <w:noProof/>
        </w:rPr>
        <w:t>Subgrade Zone in Excavation and Low Embankment</w:t>
      </w:r>
      <w:r>
        <w:rPr>
          <w:noProof/>
        </w:rPr>
        <w:tab/>
      </w:r>
      <w:r w:rsidR="00A30CD3">
        <w:rPr>
          <w:noProof/>
        </w:rPr>
        <w:fldChar w:fldCharType="begin"/>
      </w:r>
      <w:r>
        <w:rPr>
          <w:noProof/>
        </w:rPr>
        <w:instrText xml:space="preserve"> PAGEREF _Toc357777209 \h </w:instrText>
      </w:r>
      <w:r w:rsidR="00A30CD3">
        <w:rPr>
          <w:noProof/>
        </w:rPr>
      </w:r>
      <w:r w:rsidR="00A30CD3">
        <w:rPr>
          <w:noProof/>
        </w:rPr>
        <w:fldChar w:fldCharType="separate"/>
      </w:r>
      <w:r w:rsidR="00C05F2C">
        <w:rPr>
          <w:noProof/>
        </w:rPr>
        <w:t>7</w:t>
      </w:r>
      <w:r w:rsidR="00A30CD3">
        <w:rPr>
          <w:noProof/>
        </w:rPr>
        <w:fldChar w:fldCharType="end"/>
      </w:r>
    </w:p>
    <w:p w:rsidR="000746C9" w:rsidRDefault="000746C9">
      <w:pPr>
        <w:pStyle w:val="TOC1"/>
        <w:rPr>
          <w:rFonts w:asciiTheme="minorHAnsi" w:eastAsiaTheme="minorEastAsia" w:hAnsiTheme="minorHAnsi" w:cstheme="minorBidi"/>
          <w:caps w:val="0"/>
          <w:noProof/>
          <w:szCs w:val="22"/>
          <w:lang w:eastAsia="en-AU"/>
        </w:rPr>
      </w:pPr>
      <w:r>
        <w:rPr>
          <w:noProof/>
        </w:rPr>
        <w:t>r23.7</w:t>
      </w:r>
      <w:r>
        <w:rPr>
          <w:rFonts w:asciiTheme="minorHAnsi" w:eastAsiaTheme="minorEastAsia" w:hAnsiTheme="minorHAnsi" w:cstheme="minorBidi"/>
          <w:caps w:val="0"/>
          <w:noProof/>
          <w:szCs w:val="22"/>
          <w:lang w:eastAsia="en-AU"/>
        </w:rPr>
        <w:tab/>
      </w:r>
      <w:r>
        <w:rPr>
          <w:noProof/>
        </w:rPr>
        <w:t>field assessment of subgrade zones in excavation</w:t>
      </w:r>
      <w:r>
        <w:rPr>
          <w:noProof/>
        </w:rPr>
        <w:tab/>
      </w:r>
      <w:r w:rsidR="00A30CD3">
        <w:rPr>
          <w:noProof/>
        </w:rPr>
        <w:fldChar w:fldCharType="begin"/>
      </w:r>
      <w:r>
        <w:rPr>
          <w:noProof/>
        </w:rPr>
        <w:instrText xml:space="preserve"> PAGEREF _Toc357777210 \h </w:instrText>
      </w:r>
      <w:r w:rsidR="00A30CD3">
        <w:rPr>
          <w:noProof/>
        </w:rPr>
      </w:r>
      <w:r w:rsidR="00A30CD3">
        <w:rPr>
          <w:noProof/>
        </w:rPr>
        <w:fldChar w:fldCharType="separate"/>
      </w:r>
      <w:r w:rsidR="00C05F2C">
        <w:rPr>
          <w:noProof/>
        </w:rPr>
        <w:t>7</w:t>
      </w:r>
      <w:r w:rsidR="00A30CD3">
        <w:rPr>
          <w:noProof/>
        </w:rPr>
        <w:fldChar w:fldCharType="end"/>
      </w:r>
    </w:p>
    <w:p w:rsidR="000746C9" w:rsidRDefault="000746C9">
      <w:pPr>
        <w:pStyle w:val="TOC2"/>
        <w:rPr>
          <w:rFonts w:asciiTheme="minorHAnsi" w:eastAsiaTheme="minorEastAsia" w:hAnsiTheme="minorHAnsi" w:cstheme="minorBidi"/>
          <w:i w:val="0"/>
          <w:noProof/>
          <w:sz w:val="22"/>
          <w:szCs w:val="22"/>
          <w:lang w:eastAsia="en-AU"/>
        </w:rPr>
      </w:pPr>
      <w:r>
        <w:rPr>
          <w:noProof/>
        </w:rPr>
        <w:t>R23.7.1</w:t>
      </w:r>
      <w:r>
        <w:rPr>
          <w:rFonts w:asciiTheme="minorHAnsi" w:eastAsiaTheme="minorEastAsia" w:hAnsiTheme="minorHAnsi" w:cstheme="minorBidi"/>
          <w:i w:val="0"/>
          <w:noProof/>
          <w:sz w:val="22"/>
          <w:szCs w:val="22"/>
          <w:lang w:eastAsia="en-AU"/>
        </w:rPr>
        <w:tab/>
      </w:r>
      <w:r>
        <w:rPr>
          <w:rFonts w:asciiTheme="minorHAnsi" w:eastAsiaTheme="minorEastAsia" w:hAnsiTheme="minorHAnsi" w:cstheme="minorBidi"/>
          <w:i w:val="0"/>
          <w:noProof/>
          <w:sz w:val="22"/>
          <w:szCs w:val="22"/>
          <w:lang w:eastAsia="en-AU"/>
        </w:rPr>
        <w:tab/>
      </w:r>
      <w:r>
        <w:rPr>
          <w:noProof/>
        </w:rPr>
        <w:t>General</w:t>
      </w:r>
      <w:r>
        <w:rPr>
          <w:noProof/>
        </w:rPr>
        <w:tab/>
      </w:r>
      <w:r w:rsidR="00A30CD3">
        <w:rPr>
          <w:noProof/>
        </w:rPr>
        <w:fldChar w:fldCharType="begin"/>
      </w:r>
      <w:r>
        <w:rPr>
          <w:noProof/>
        </w:rPr>
        <w:instrText xml:space="preserve"> PAGEREF _Toc357777211 \h </w:instrText>
      </w:r>
      <w:r w:rsidR="00A30CD3">
        <w:rPr>
          <w:noProof/>
        </w:rPr>
      </w:r>
      <w:r w:rsidR="00A30CD3">
        <w:rPr>
          <w:noProof/>
        </w:rPr>
        <w:fldChar w:fldCharType="separate"/>
      </w:r>
      <w:r w:rsidR="00C05F2C">
        <w:rPr>
          <w:noProof/>
        </w:rPr>
        <w:t>7</w:t>
      </w:r>
      <w:r w:rsidR="00A30CD3">
        <w:rPr>
          <w:noProof/>
        </w:rPr>
        <w:fldChar w:fldCharType="end"/>
      </w:r>
    </w:p>
    <w:p w:rsidR="000746C9" w:rsidRDefault="000746C9">
      <w:pPr>
        <w:pStyle w:val="TOC2"/>
        <w:rPr>
          <w:rFonts w:asciiTheme="minorHAnsi" w:eastAsiaTheme="minorEastAsia" w:hAnsiTheme="minorHAnsi" w:cstheme="minorBidi"/>
          <w:i w:val="0"/>
          <w:noProof/>
          <w:sz w:val="22"/>
          <w:szCs w:val="22"/>
          <w:lang w:eastAsia="en-AU"/>
        </w:rPr>
      </w:pPr>
      <w:r>
        <w:rPr>
          <w:noProof/>
        </w:rPr>
        <w:t>R23.7.2</w:t>
      </w:r>
      <w:r>
        <w:rPr>
          <w:rFonts w:asciiTheme="minorHAnsi" w:eastAsiaTheme="minorEastAsia" w:hAnsiTheme="minorHAnsi" w:cstheme="minorBidi"/>
          <w:i w:val="0"/>
          <w:noProof/>
          <w:sz w:val="22"/>
          <w:szCs w:val="22"/>
          <w:lang w:eastAsia="en-AU"/>
        </w:rPr>
        <w:tab/>
      </w:r>
      <w:r>
        <w:rPr>
          <w:rFonts w:asciiTheme="minorHAnsi" w:eastAsiaTheme="minorEastAsia" w:hAnsiTheme="minorHAnsi" w:cstheme="minorBidi"/>
          <w:i w:val="0"/>
          <w:noProof/>
          <w:sz w:val="22"/>
          <w:szCs w:val="22"/>
          <w:lang w:eastAsia="en-AU"/>
        </w:rPr>
        <w:tab/>
      </w:r>
      <w:r>
        <w:rPr>
          <w:noProof/>
        </w:rPr>
        <w:t>Assessment of Insitu Material by Penetrometer</w:t>
      </w:r>
      <w:r>
        <w:rPr>
          <w:noProof/>
        </w:rPr>
        <w:tab/>
      </w:r>
      <w:r w:rsidR="00A30CD3">
        <w:rPr>
          <w:noProof/>
        </w:rPr>
        <w:fldChar w:fldCharType="begin"/>
      </w:r>
      <w:r>
        <w:rPr>
          <w:noProof/>
        </w:rPr>
        <w:instrText xml:space="preserve"> PAGEREF _Toc357777212 \h </w:instrText>
      </w:r>
      <w:r w:rsidR="00A30CD3">
        <w:rPr>
          <w:noProof/>
        </w:rPr>
      </w:r>
      <w:r w:rsidR="00A30CD3">
        <w:rPr>
          <w:noProof/>
        </w:rPr>
        <w:fldChar w:fldCharType="separate"/>
      </w:r>
      <w:r w:rsidR="00C05F2C">
        <w:rPr>
          <w:noProof/>
        </w:rPr>
        <w:t>7</w:t>
      </w:r>
      <w:r w:rsidR="00A30CD3">
        <w:rPr>
          <w:noProof/>
        </w:rPr>
        <w:fldChar w:fldCharType="end"/>
      </w:r>
    </w:p>
    <w:p w:rsidR="000746C9" w:rsidRDefault="000746C9">
      <w:pPr>
        <w:pStyle w:val="TOC2"/>
        <w:rPr>
          <w:rFonts w:asciiTheme="minorHAnsi" w:eastAsiaTheme="minorEastAsia" w:hAnsiTheme="minorHAnsi" w:cstheme="minorBidi"/>
          <w:i w:val="0"/>
          <w:noProof/>
          <w:sz w:val="22"/>
          <w:szCs w:val="22"/>
          <w:lang w:eastAsia="en-AU"/>
        </w:rPr>
      </w:pPr>
      <w:r>
        <w:rPr>
          <w:noProof/>
        </w:rPr>
        <w:t>R23.7.3</w:t>
      </w:r>
      <w:r>
        <w:rPr>
          <w:rFonts w:asciiTheme="minorHAnsi" w:eastAsiaTheme="minorEastAsia" w:hAnsiTheme="minorHAnsi" w:cstheme="minorBidi"/>
          <w:i w:val="0"/>
          <w:noProof/>
          <w:sz w:val="22"/>
          <w:szCs w:val="22"/>
          <w:lang w:eastAsia="en-AU"/>
        </w:rPr>
        <w:tab/>
      </w:r>
      <w:r>
        <w:rPr>
          <w:rFonts w:asciiTheme="minorHAnsi" w:eastAsiaTheme="minorEastAsia" w:hAnsiTheme="minorHAnsi" w:cstheme="minorBidi"/>
          <w:i w:val="0"/>
          <w:noProof/>
          <w:sz w:val="22"/>
          <w:szCs w:val="22"/>
          <w:lang w:eastAsia="en-AU"/>
        </w:rPr>
        <w:tab/>
      </w:r>
      <w:r>
        <w:rPr>
          <w:noProof/>
        </w:rPr>
        <w:t>Assessment of Insitu Material by Proof Rolling</w:t>
      </w:r>
      <w:r>
        <w:rPr>
          <w:noProof/>
        </w:rPr>
        <w:tab/>
      </w:r>
      <w:r w:rsidR="00A30CD3">
        <w:rPr>
          <w:noProof/>
        </w:rPr>
        <w:fldChar w:fldCharType="begin"/>
      </w:r>
      <w:r>
        <w:rPr>
          <w:noProof/>
        </w:rPr>
        <w:instrText xml:space="preserve"> PAGEREF _Toc357777213 \h </w:instrText>
      </w:r>
      <w:r w:rsidR="00A30CD3">
        <w:rPr>
          <w:noProof/>
        </w:rPr>
      </w:r>
      <w:r w:rsidR="00A30CD3">
        <w:rPr>
          <w:noProof/>
        </w:rPr>
        <w:fldChar w:fldCharType="separate"/>
      </w:r>
      <w:r w:rsidR="00C05F2C">
        <w:rPr>
          <w:noProof/>
        </w:rPr>
        <w:t>8</w:t>
      </w:r>
      <w:r w:rsidR="00A30CD3">
        <w:rPr>
          <w:noProof/>
        </w:rPr>
        <w:fldChar w:fldCharType="end"/>
      </w:r>
    </w:p>
    <w:p w:rsidR="000746C9" w:rsidRDefault="000746C9">
      <w:pPr>
        <w:pStyle w:val="TOC1"/>
        <w:rPr>
          <w:rFonts w:asciiTheme="minorHAnsi" w:eastAsiaTheme="minorEastAsia" w:hAnsiTheme="minorHAnsi" w:cstheme="minorBidi"/>
          <w:caps w:val="0"/>
          <w:noProof/>
          <w:szCs w:val="22"/>
          <w:lang w:eastAsia="en-AU"/>
        </w:rPr>
      </w:pPr>
      <w:r>
        <w:rPr>
          <w:noProof/>
        </w:rPr>
        <w:t>r23.8</w:t>
      </w:r>
      <w:r>
        <w:rPr>
          <w:rFonts w:asciiTheme="minorHAnsi" w:eastAsiaTheme="minorEastAsia" w:hAnsiTheme="minorHAnsi" w:cstheme="minorBidi"/>
          <w:caps w:val="0"/>
          <w:noProof/>
          <w:szCs w:val="22"/>
          <w:lang w:eastAsia="en-AU"/>
        </w:rPr>
        <w:tab/>
      </w:r>
      <w:r>
        <w:rPr>
          <w:noProof/>
        </w:rPr>
        <w:t>construction</w:t>
      </w:r>
      <w:r>
        <w:rPr>
          <w:noProof/>
        </w:rPr>
        <w:tab/>
      </w:r>
      <w:r w:rsidR="00A30CD3">
        <w:rPr>
          <w:noProof/>
        </w:rPr>
        <w:fldChar w:fldCharType="begin"/>
      </w:r>
      <w:r>
        <w:rPr>
          <w:noProof/>
        </w:rPr>
        <w:instrText xml:space="preserve"> PAGEREF _Toc357777214 \h </w:instrText>
      </w:r>
      <w:r w:rsidR="00A30CD3">
        <w:rPr>
          <w:noProof/>
        </w:rPr>
      </w:r>
      <w:r w:rsidR="00A30CD3">
        <w:rPr>
          <w:noProof/>
        </w:rPr>
        <w:fldChar w:fldCharType="separate"/>
      </w:r>
      <w:r w:rsidR="00C05F2C">
        <w:rPr>
          <w:noProof/>
        </w:rPr>
        <w:t>8</w:t>
      </w:r>
      <w:r w:rsidR="00A30CD3">
        <w:rPr>
          <w:noProof/>
        </w:rPr>
        <w:fldChar w:fldCharType="end"/>
      </w:r>
    </w:p>
    <w:p w:rsidR="000746C9" w:rsidRDefault="000746C9">
      <w:pPr>
        <w:pStyle w:val="TOC2"/>
        <w:rPr>
          <w:rFonts w:asciiTheme="minorHAnsi" w:eastAsiaTheme="minorEastAsia" w:hAnsiTheme="minorHAnsi" w:cstheme="minorBidi"/>
          <w:i w:val="0"/>
          <w:noProof/>
          <w:sz w:val="22"/>
          <w:szCs w:val="22"/>
          <w:lang w:eastAsia="en-AU"/>
        </w:rPr>
      </w:pPr>
      <w:r>
        <w:rPr>
          <w:noProof/>
        </w:rPr>
        <w:t>R23.8.1</w:t>
      </w:r>
      <w:r>
        <w:rPr>
          <w:rFonts w:asciiTheme="minorHAnsi" w:eastAsiaTheme="minorEastAsia" w:hAnsiTheme="minorHAnsi" w:cstheme="minorBidi"/>
          <w:i w:val="0"/>
          <w:noProof/>
          <w:sz w:val="22"/>
          <w:szCs w:val="22"/>
          <w:lang w:eastAsia="en-AU"/>
        </w:rPr>
        <w:tab/>
      </w:r>
      <w:r>
        <w:rPr>
          <w:rFonts w:asciiTheme="minorHAnsi" w:eastAsiaTheme="minorEastAsia" w:hAnsiTheme="minorHAnsi" w:cstheme="minorBidi"/>
          <w:i w:val="0"/>
          <w:noProof/>
          <w:sz w:val="22"/>
          <w:szCs w:val="22"/>
          <w:lang w:eastAsia="en-AU"/>
        </w:rPr>
        <w:tab/>
      </w:r>
      <w:r>
        <w:rPr>
          <w:noProof/>
        </w:rPr>
        <w:t>General</w:t>
      </w:r>
      <w:r>
        <w:rPr>
          <w:noProof/>
        </w:rPr>
        <w:tab/>
      </w:r>
      <w:r w:rsidR="00A30CD3">
        <w:rPr>
          <w:noProof/>
        </w:rPr>
        <w:fldChar w:fldCharType="begin"/>
      </w:r>
      <w:r>
        <w:rPr>
          <w:noProof/>
        </w:rPr>
        <w:instrText xml:space="preserve"> PAGEREF _Toc357777215 \h </w:instrText>
      </w:r>
      <w:r w:rsidR="00A30CD3">
        <w:rPr>
          <w:noProof/>
        </w:rPr>
      </w:r>
      <w:r w:rsidR="00A30CD3">
        <w:rPr>
          <w:noProof/>
        </w:rPr>
        <w:fldChar w:fldCharType="separate"/>
      </w:r>
      <w:r w:rsidR="00C05F2C">
        <w:rPr>
          <w:noProof/>
        </w:rPr>
        <w:t>8</w:t>
      </w:r>
      <w:r w:rsidR="00A30CD3">
        <w:rPr>
          <w:noProof/>
        </w:rPr>
        <w:fldChar w:fldCharType="end"/>
      </w:r>
    </w:p>
    <w:p w:rsidR="000746C9" w:rsidRDefault="000746C9">
      <w:pPr>
        <w:pStyle w:val="TOC2"/>
        <w:rPr>
          <w:rFonts w:asciiTheme="minorHAnsi" w:eastAsiaTheme="minorEastAsia" w:hAnsiTheme="minorHAnsi" w:cstheme="minorBidi"/>
          <w:i w:val="0"/>
          <w:noProof/>
          <w:sz w:val="22"/>
          <w:szCs w:val="22"/>
          <w:lang w:eastAsia="en-AU"/>
        </w:rPr>
      </w:pPr>
      <w:r>
        <w:rPr>
          <w:noProof/>
        </w:rPr>
        <w:t>R23.8.2</w:t>
      </w:r>
      <w:r>
        <w:rPr>
          <w:rFonts w:asciiTheme="minorHAnsi" w:eastAsiaTheme="minorEastAsia" w:hAnsiTheme="minorHAnsi" w:cstheme="minorBidi"/>
          <w:i w:val="0"/>
          <w:noProof/>
          <w:sz w:val="22"/>
          <w:szCs w:val="22"/>
          <w:lang w:eastAsia="en-AU"/>
        </w:rPr>
        <w:tab/>
      </w:r>
      <w:r>
        <w:rPr>
          <w:rFonts w:asciiTheme="minorHAnsi" w:eastAsiaTheme="minorEastAsia" w:hAnsiTheme="minorHAnsi" w:cstheme="minorBidi"/>
          <w:i w:val="0"/>
          <w:noProof/>
          <w:sz w:val="22"/>
          <w:szCs w:val="22"/>
          <w:lang w:eastAsia="en-AU"/>
        </w:rPr>
        <w:tab/>
      </w:r>
      <w:r>
        <w:rPr>
          <w:noProof/>
        </w:rPr>
        <w:t>Excavation in Materials other than Rock</w:t>
      </w:r>
      <w:r>
        <w:rPr>
          <w:noProof/>
        </w:rPr>
        <w:tab/>
      </w:r>
      <w:r w:rsidR="00A30CD3">
        <w:rPr>
          <w:noProof/>
        </w:rPr>
        <w:fldChar w:fldCharType="begin"/>
      </w:r>
      <w:r>
        <w:rPr>
          <w:noProof/>
        </w:rPr>
        <w:instrText xml:space="preserve"> PAGEREF _Toc357777216 \h </w:instrText>
      </w:r>
      <w:r w:rsidR="00A30CD3">
        <w:rPr>
          <w:noProof/>
        </w:rPr>
      </w:r>
      <w:r w:rsidR="00A30CD3">
        <w:rPr>
          <w:noProof/>
        </w:rPr>
        <w:fldChar w:fldCharType="separate"/>
      </w:r>
      <w:r w:rsidR="00C05F2C">
        <w:rPr>
          <w:noProof/>
        </w:rPr>
        <w:t>8</w:t>
      </w:r>
      <w:r w:rsidR="00A30CD3">
        <w:rPr>
          <w:noProof/>
        </w:rPr>
        <w:fldChar w:fldCharType="end"/>
      </w:r>
    </w:p>
    <w:p w:rsidR="000746C9" w:rsidRDefault="000746C9">
      <w:pPr>
        <w:pStyle w:val="TOC2"/>
        <w:rPr>
          <w:rFonts w:asciiTheme="minorHAnsi" w:eastAsiaTheme="minorEastAsia" w:hAnsiTheme="minorHAnsi" w:cstheme="minorBidi"/>
          <w:i w:val="0"/>
          <w:noProof/>
          <w:sz w:val="22"/>
          <w:szCs w:val="22"/>
          <w:lang w:eastAsia="en-AU"/>
        </w:rPr>
      </w:pPr>
      <w:r>
        <w:rPr>
          <w:noProof/>
        </w:rPr>
        <w:t>R23.8.3</w:t>
      </w:r>
      <w:r>
        <w:rPr>
          <w:rFonts w:asciiTheme="minorHAnsi" w:eastAsiaTheme="minorEastAsia" w:hAnsiTheme="minorHAnsi" w:cstheme="minorBidi"/>
          <w:i w:val="0"/>
          <w:noProof/>
          <w:sz w:val="22"/>
          <w:szCs w:val="22"/>
          <w:lang w:eastAsia="en-AU"/>
        </w:rPr>
        <w:tab/>
      </w:r>
      <w:r>
        <w:rPr>
          <w:rFonts w:asciiTheme="minorHAnsi" w:eastAsiaTheme="minorEastAsia" w:hAnsiTheme="minorHAnsi" w:cstheme="minorBidi"/>
          <w:i w:val="0"/>
          <w:noProof/>
          <w:sz w:val="22"/>
          <w:szCs w:val="22"/>
          <w:lang w:eastAsia="en-AU"/>
        </w:rPr>
        <w:tab/>
      </w:r>
      <w:r>
        <w:rPr>
          <w:noProof/>
        </w:rPr>
        <w:t>Excavation in Rock</w:t>
      </w:r>
      <w:r>
        <w:rPr>
          <w:noProof/>
        </w:rPr>
        <w:tab/>
      </w:r>
      <w:r w:rsidR="00A30CD3">
        <w:rPr>
          <w:noProof/>
        </w:rPr>
        <w:fldChar w:fldCharType="begin"/>
      </w:r>
      <w:r>
        <w:rPr>
          <w:noProof/>
        </w:rPr>
        <w:instrText xml:space="preserve"> PAGEREF _Toc357777217 \h </w:instrText>
      </w:r>
      <w:r w:rsidR="00A30CD3">
        <w:rPr>
          <w:noProof/>
        </w:rPr>
      </w:r>
      <w:r w:rsidR="00A30CD3">
        <w:rPr>
          <w:noProof/>
        </w:rPr>
        <w:fldChar w:fldCharType="separate"/>
      </w:r>
      <w:r w:rsidR="00C05F2C">
        <w:rPr>
          <w:noProof/>
        </w:rPr>
        <w:t>9</w:t>
      </w:r>
      <w:r w:rsidR="00A30CD3">
        <w:rPr>
          <w:noProof/>
        </w:rPr>
        <w:fldChar w:fldCharType="end"/>
      </w:r>
    </w:p>
    <w:p w:rsidR="000746C9" w:rsidRDefault="000746C9">
      <w:pPr>
        <w:pStyle w:val="TOC2"/>
        <w:rPr>
          <w:rFonts w:asciiTheme="minorHAnsi" w:eastAsiaTheme="minorEastAsia" w:hAnsiTheme="minorHAnsi" w:cstheme="minorBidi"/>
          <w:i w:val="0"/>
          <w:noProof/>
          <w:sz w:val="22"/>
          <w:szCs w:val="22"/>
          <w:lang w:eastAsia="en-AU"/>
        </w:rPr>
      </w:pPr>
      <w:r>
        <w:rPr>
          <w:noProof/>
        </w:rPr>
        <w:t>R23.8.4</w:t>
      </w:r>
      <w:r>
        <w:rPr>
          <w:rFonts w:asciiTheme="minorHAnsi" w:eastAsiaTheme="minorEastAsia" w:hAnsiTheme="minorHAnsi" w:cstheme="minorBidi"/>
          <w:i w:val="0"/>
          <w:noProof/>
          <w:sz w:val="22"/>
          <w:szCs w:val="22"/>
          <w:lang w:eastAsia="en-AU"/>
        </w:rPr>
        <w:tab/>
      </w:r>
      <w:r>
        <w:rPr>
          <w:rFonts w:asciiTheme="minorHAnsi" w:eastAsiaTheme="minorEastAsia" w:hAnsiTheme="minorHAnsi" w:cstheme="minorBidi"/>
          <w:i w:val="0"/>
          <w:noProof/>
          <w:sz w:val="22"/>
          <w:szCs w:val="22"/>
          <w:lang w:eastAsia="en-AU"/>
        </w:rPr>
        <w:tab/>
      </w:r>
      <w:r>
        <w:rPr>
          <w:noProof/>
        </w:rPr>
        <w:t>Low Embankments</w:t>
      </w:r>
      <w:r>
        <w:rPr>
          <w:noProof/>
        </w:rPr>
        <w:tab/>
      </w:r>
      <w:r w:rsidR="00A30CD3">
        <w:rPr>
          <w:noProof/>
        </w:rPr>
        <w:fldChar w:fldCharType="begin"/>
      </w:r>
      <w:r>
        <w:rPr>
          <w:noProof/>
        </w:rPr>
        <w:instrText xml:space="preserve"> PAGEREF _Toc357777218 \h </w:instrText>
      </w:r>
      <w:r w:rsidR="00A30CD3">
        <w:rPr>
          <w:noProof/>
        </w:rPr>
      </w:r>
      <w:r w:rsidR="00A30CD3">
        <w:rPr>
          <w:noProof/>
        </w:rPr>
        <w:fldChar w:fldCharType="separate"/>
      </w:r>
      <w:r w:rsidR="00C05F2C">
        <w:rPr>
          <w:noProof/>
        </w:rPr>
        <w:t>9</w:t>
      </w:r>
      <w:r w:rsidR="00A30CD3">
        <w:rPr>
          <w:noProof/>
        </w:rPr>
        <w:fldChar w:fldCharType="end"/>
      </w:r>
    </w:p>
    <w:p w:rsidR="000746C9" w:rsidRDefault="000746C9">
      <w:pPr>
        <w:pStyle w:val="TOC2"/>
        <w:rPr>
          <w:rFonts w:asciiTheme="minorHAnsi" w:eastAsiaTheme="minorEastAsia" w:hAnsiTheme="minorHAnsi" w:cstheme="minorBidi"/>
          <w:i w:val="0"/>
          <w:noProof/>
          <w:sz w:val="22"/>
          <w:szCs w:val="22"/>
          <w:lang w:eastAsia="en-AU"/>
        </w:rPr>
      </w:pPr>
      <w:r>
        <w:rPr>
          <w:noProof/>
        </w:rPr>
        <w:t>R23.8.5</w:t>
      </w:r>
      <w:r>
        <w:rPr>
          <w:rFonts w:asciiTheme="minorHAnsi" w:eastAsiaTheme="minorEastAsia" w:hAnsiTheme="minorHAnsi" w:cstheme="minorBidi"/>
          <w:i w:val="0"/>
          <w:noProof/>
          <w:sz w:val="22"/>
          <w:szCs w:val="22"/>
          <w:lang w:eastAsia="en-AU"/>
        </w:rPr>
        <w:tab/>
      </w:r>
      <w:r>
        <w:rPr>
          <w:rFonts w:asciiTheme="minorHAnsi" w:eastAsiaTheme="minorEastAsia" w:hAnsiTheme="minorHAnsi" w:cstheme="minorBidi"/>
          <w:i w:val="0"/>
          <w:noProof/>
          <w:sz w:val="22"/>
          <w:szCs w:val="22"/>
          <w:lang w:eastAsia="en-AU"/>
        </w:rPr>
        <w:tab/>
      </w:r>
      <w:r>
        <w:rPr>
          <w:noProof/>
        </w:rPr>
        <w:t>Compaction of Imported Materials</w:t>
      </w:r>
      <w:r>
        <w:rPr>
          <w:noProof/>
        </w:rPr>
        <w:tab/>
      </w:r>
      <w:r w:rsidR="00A30CD3">
        <w:rPr>
          <w:noProof/>
        </w:rPr>
        <w:fldChar w:fldCharType="begin"/>
      </w:r>
      <w:r>
        <w:rPr>
          <w:noProof/>
        </w:rPr>
        <w:instrText xml:space="preserve"> PAGEREF _Toc357777219 \h </w:instrText>
      </w:r>
      <w:r w:rsidR="00A30CD3">
        <w:rPr>
          <w:noProof/>
        </w:rPr>
      </w:r>
      <w:r w:rsidR="00A30CD3">
        <w:rPr>
          <w:noProof/>
        </w:rPr>
        <w:fldChar w:fldCharType="separate"/>
      </w:r>
      <w:r w:rsidR="00C05F2C">
        <w:rPr>
          <w:noProof/>
        </w:rPr>
        <w:t>9</w:t>
      </w:r>
      <w:r w:rsidR="00A30CD3">
        <w:rPr>
          <w:noProof/>
        </w:rPr>
        <w:fldChar w:fldCharType="end"/>
      </w:r>
    </w:p>
    <w:p w:rsidR="000746C9" w:rsidRDefault="000746C9">
      <w:pPr>
        <w:pStyle w:val="TOC2"/>
        <w:rPr>
          <w:rFonts w:asciiTheme="minorHAnsi" w:eastAsiaTheme="minorEastAsia" w:hAnsiTheme="minorHAnsi" w:cstheme="minorBidi"/>
          <w:i w:val="0"/>
          <w:noProof/>
          <w:sz w:val="22"/>
          <w:szCs w:val="22"/>
          <w:lang w:eastAsia="en-AU"/>
        </w:rPr>
      </w:pPr>
      <w:r>
        <w:rPr>
          <w:noProof/>
        </w:rPr>
        <w:t>R23.8.6</w:t>
      </w:r>
      <w:r>
        <w:rPr>
          <w:rFonts w:asciiTheme="minorHAnsi" w:eastAsiaTheme="minorEastAsia" w:hAnsiTheme="minorHAnsi" w:cstheme="minorBidi"/>
          <w:i w:val="0"/>
          <w:noProof/>
          <w:sz w:val="22"/>
          <w:szCs w:val="22"/>
          <w:lang w:eastAsia="en-AU"/>
        </w:rPr>
        <w:tab/>
      </w:r>
      <w:r>
        <w:rPr>
          <w:rFonts w:asciiTheme="minorHAnsi" w:eastAsiaTheme="minorEastAsia" w:hAnsiTheme="minorHAnsi" w:cstheme="minorBidi"/>
          <w:i w:val="0"/>
          <w:noProof/>
          <w:sz w:val="22"/>
          <w:szCs w:val="22"/>
          <w:lang w:eastAsia="en-AU"/>
        </w:rPr>
        <w:tab/>
      </w:r>
      <w:r>
        <w:rPr>
          <w:noProof/>
        </w:rPr>
        <w:t>Protection of the Prepared Subgrade Zone</w:t>
      </w:r>
      <w:r>
        <w:rPr>
          <w:noProof/>
        </w:rPr>
        <w:tab/>
      </w:r>
      <w:r w:rsidR="00A30CD3">
        <w:rPr>
          <w:noProof/>
        </w:rPr>
        <w:fldChar w:fldCharType="begin"/>
      </w:r>
      <w:r>
        <w:rPr>
          <w:noProof/>
        </w:rPr>
        <w:instrText xml:space="preserve"> PAGEREF _Toc357777220 \h </w:instrText>
      </w:r>
      <w:r w:rsidR="00A30CD3">
        <w:rPr>
          <w:noProof/>
        </w:rPr>
      </w:r>
      <w:r w:rsidR="00A30CD3">
        <w:rPr>
          <w:noProof/>
        </w:rPr>
        <w:fldChar w:fldCharType="separate"/>
      </w:r>
      <w:r w:rsidR="00C05F2C">
        <w:rPr>
          <w:noProof/>
        </w:rPr>
        <w:t>9</w:t>
      </w:r>
      <w:r w:rsidR="00A30CD3">
        <w:rPr>
          <w:noProof/>
        </w:rPr>
        <w:fldChar w:fldCharType="end"/>
      </w:r>
    </w:p>
    <w:p w:rsidR="000746C9" w:rsidRDefault="000746C9">
      <w:pPr>
        <w:pStyle w:val="TOC2"/>
        <w:rPr>
          <w:rFonts w:asciiTheme="minorHAnsi" w:eastAsiaTheme="minorEastAsia" w:hAnsiTheme="minorHAnsi" w:cstheme="minorBidi"/>
          <w:i w:val="0"/>
          <w:noProof/>
          <w:sz w:val="22"/>
          <w:szCs w:val="22"/>
          <w:lang w:eastAsia="en-AU"/>
        </w:rPr>
      </w:pPr>
      <w:r>
        <w:rPr>
          <w:noProof/>
        </w:rPr>
        <w:t>R23.8.7</w:t>
      </w:r>
      <w:r>
        <w:rPr>
          <w:rFonts w:asciiTheme="minorHAnsi" w:eastAsiaTheme="minorEastAsia" w:hAnsiTheme="minorHAnsi" w:cstheme="minorBidi"/>
          <w:i w:val="0"/>
          <w:noProof/>
          <w:sz w:val="22"/>
          <w:szCs w:val="22"/>
          <w:lang w:eastAsia="en-AU"/>
        </w:rPr>
        <w:tab/>
      </w:r>
      <w:r>
        <w:rPr>
          <w:rFonts w:asciiTheme="minorHAnsi" w:eastAsiaTheme="minorEastAsia" w:hAnsiTheme="minorHAnsi" w:cstheme="minorBidi"/>
          <w:i w:val="0"/>
          <w:noProof/>
          <w:sz w:val="22"/>
          <w:szCs w:val="22"/>
          <w:lang w:eastAsia="en-AU"/>
        </w:rPr>
        <w:tab/>
      </w:r>
      <w:r>
        <w:rPr>
          <w:noProof/>
        </w:rPr>
        <w:t>Levels and Tolerances</w:t>
      </w:r>
      <w:r>
        <w:rPr>
          <w:noProof/>
        </w:rPr>
        <w:tab/>
      </w:r>
      <w:r w:rsidR="00A30CD3">
        <w:rPr>
          <w:noProof/>
        </w:rPr>
        <w:fldChar w:fldCharType="begin"/>
      </w:r>
      <w:r>
        <w:rPr>
          <w:noProof/>
        </w:rPr>
        <w:instrText xml:space="preserve"> PAGEREF _Toc357777221 \h </w:instrText>
      </w:r>
      <w:r w:rsidR="00A30CD3">
        <w:rPr>
          <w:noProof/>
        </w:rPr>
      </w:r>
      <w:r w:rsidR="00A30CD3">
        <w:rPr>
          <w:noProof/>
        </w:rPr>
        <w:fldChar w:fldCharType="separate"/>
      </w:r>
      <w:r w:rsidR="00C05F2C">
        <w:rPr>
          <w:noProof/>
        </w:rPr>
        <w:t>9</w:t>
      </w:r>
      <w:r w:rsidR="00A30CD3">
        <w:rPr>
          <w:noProof/>
        </w:rPr>
        <w:fldChar w:fldCharType="end"/>
      </w:r>
    </w:p>
    <w:p w:rsidR="000746C9" w:rsidRDefault="000746C9">
      <w:pPr>
        <w:pStyle w:val="TOC2"/>
        <w:rPr>
          <w:rFonts w:asciiTheme="minorHAnsi" w:eastAsiaTheme="minorEastAsia" w:hAnsiTheme="minorHAnsi" w:cstheme="minorBidi"/>
          <w:i w:val="0"/>
          <w:noProof/>
          <w:sz w:val="22"/>
          <w:szCs w:val="22"/>
          <w:lang w:eastAsia="en-AU"/>
        </w:rPr>
      </w:pPr>
      <w:r>
        <w:rPr>
          <w:noProof/>
        </w:rPr>
        <w:t>R23.8.8</w:t>
      </w:r>
      <w:r>
        <w:rPr>
          <w:rFonts w:asciiTheme="minorHAnsi" w:eastAsiaTheme="minorEastAsia" w:hAnsiTheme="minorHAnsi" w:cstheme="minorBidi"/>
          <w:i w:val="0"/>
          <w:noProof/>
          <w:sz w:val="22"/>
          <w:szCs w:val="22"/>
          <w:lang w:eastAsia="en-AU"/>
        </w:rPr>
        <w:tab/>
      </w:r>
      <w:r>
        <w:rPr>
          <w:rFonts w:asciiTheme="minorHAnsi" w:eastAsiaTheme="minorEastAsia" w:hAnsiTheme="minorHAnsi" w:cstheme="minorBidi"/>
          <w:i w:val="0"/>
          <w:noProof/>
          <w:sz w:val="22"/>
          <w:szCs w:val="22"/>
          <w:lang w:eastAsia="en-AU"/>
        </w:rPr>
        <w:tab/>
      </w:r>
      <w:r>
        <w:rPr>
          <w:noProof/>
        </w:rPr>
        <w:t>Testing for Compaction and Compaction Moisture Content</w:t>
      </w:r>
      <w:r>
        <w:rPr>
          <w:noProof/>
        </w:rPr>
        <w:tab/>
      </w:r>
      <w:r w:rsidR="00A30CD3">
        <w:rPr>
          <w:noProof/>
        </w:rPr>
        <w:fldChar w:fldCharType="begin"/>
      </w:r>
      <w:r>
        <w:rPr>
          <w:noProof/>
        </w:rPr>
        <w:instrText xml:space="preserve"> PAGEREF _Toc357777222 \h </w:instrText>
      </w:r>
      <w:r w:rsidR="00A30CD3">
        <w:rPr>
          <w:noProof/>
        </w:rPr>
      </w:r>
      <w:r w:rsidR="00A30CD3">
        <w:rPr>
          <w:noProof/>
        </w:rPr>
        <w:fldChar w:fldCharType="separate"/>
      </w:r>
      <w:r w:rsidR="00C05F2C">
        <w:rPr>
          <w:noProof/>
        </w:rPr>
        <w:t>9</w:t>
      </w:r>
      <w:r w:rsidR="00A30CD3">
        <w:rPr>
          <w:noProof/>
        </w:rPr>
        <w:fldChar w:fldCharType="end"/>
      </w:r>
    </w:p>
    <w:p w:rsidR="000746C9" w:rsidRDefault="000746C9">
      <w:pPr>
        <w:pStyle w:val="TOC2"/>
        <w:rPr>
          <w:rFonts w:asciiTheme="minorHAnsi" w:eastAsiaTheme="minorEastAsia" w:hAnsiTheme="minorHAnsi" w:cstheme="minorBidi"/>
          <w:i w:val="0"/>
          <w:noProof/>
          <w:sz w:val="22"/>
          <w:szCs w:val="22"/>
          <w:lang w:eastAsia="en-AU"/>
        </w:rPr>
      </w:pPr>
      <w:r>
        <w:rPr>
          <w:noProof/>
        </w:rPr>
        <w:t>R23.8.9</w:t>
      </w:r>
      <w:r>
        <w:rPr>
          <w:rFonts w:asciiTheme="minorHAnsi" w:eastAsiaTheme="minorEastAsia" w:hAnsiTheme="minorHAnsi" w:cstheme="minorBidi"/>
          <w:i w:val="0"/>
          <w:noProof/>
          <w:sz w:val="22"/>
          <w:szCs w:val="22"/>
          <w:lang w:eastAsia="en-AU"/>
        </w:rPr>
        <w:tab/>
      </w:r>
      <w:r>
        <w:rPr>
          <w:rFonts w:asciiTheme="minorHAnsi" w:eastAsiaTheme="minorEastAsia" w:hAnsiTheme="minorHAnsi" w:cstheme="minorBidi"/>
          <w:i w:val="0"/>
          <w:noProof/>
          <w:sz w:val="22"/>
          <w:szCs w:val="22"/>
          <w:lang w:eastAsia="en-AU"/>
        </w:rPr>
        <w:tab/>
      </w:r>
      <w:r>
        <w:rPr>
          <w:noProof/>
        </w:rPr>
        <w:t>Non-Complying Material and Work</w:t>
      </w:r>
      <w:r>
        <w:rPr>
          <w:noProof/>
        </w:rPr>
        <w:tab/>
      </w:r>
      <w:r w:rsidR="00A30CD3">
        <w:rPr>
          <w:noProof/>
        </w:rPr>
        <w:fldChar w:fldCharType="begin"/>
      </w:r>
      <w:r>
        <w:rPr>
          <w:noProof/>
        </w:rPr>
        <w:instrText xml:space="preserve"> PAGEREF _Toc357777223 \h </w:instrText>
      </w:r>
      <w:r w:rsidR="00A30CD3">
        <w:rPr>
          <w:noProof/>
        </w:rPr>
      </w:r>
      <w:r w:rsidR="00A30CD3">
        <w:rPr>
          <w:noProof/>
        </w:rPr>
        <w:fldChar w:fldCharType="separate"/>
      </w:r>
      <w:r w:rsidR="00C05F2C">
        <w:rPr>
          <w:noProof/>
        </w:rPr>
        <w:t>9</w:t>
      </w:r>
      <w:r w:rsidR="00A30CD3">
        <w:rPr>
          <w:noProof/>
        </w:rPr>
        <w:fldChar w:fldCharType="end"/>
      </w:r>
    </w:p>
    <w:p w:rsidR="000746C9" w:rsidRDefault="000746C9">
      <w:pPr>
        <w:pStyle w:val="TOC1"/>
        <w:rPr>
          <w:rFonts w:asciiTheme="minorHAnsi" w:eastAsiaTheme="minorEastAsia" w:hAnsiTheme="minorHAnsi" w:cstheme="minorBidi"/>
          <w:caps w:val="0"/>
          <w:noProof/>
          <w:szCs w:val="22"/>
          <w:lang w:eastAsia="en-AU"/>
        </w:rPr>
      </w:pPr>
      <w:r>
        <w:rPr>
          <w:noProof/>
        </w:rPr>
        <w:t>r23.9</w:t>
      </w:r>
      <w:r>
        <w:rPr>
          <w:rFonts w:asciiTheme="minorHAnsi" w:eastAsiaTheme="minorEastAsia" w:hAnsiTheme="minorHAnsi" w:cstheme="minorBidi"/>
          <w:caps w:val="0"/>
          <w:noProof/>
          <w:szCs w:val="22"/>
          <w:lang w:eastAsia="en-AU"/>
        </w:rPr>
        <w:tab/>
      </w:r>
      <w:r>
        <w:rPr>
          <w:noProof/>
        </w:rPr>
        <w:t>evidence of compliance and records</w:t>
      </w:r>
      <w:r>
        <w:rPr>
          <w:noProof/>
        </w:rPr>
        <w:tab/>
      </w:r>
      <w:r w:rsidR="00A30CD3">
        <w:rPr>
          <w:noProof/>
        </w:rPr>
        <w:fldChar w:fldCharType="begin"/>
      </w:r>
      <w:r>
        <w:rPr>
          <w:noProof/>
        </w:rPr>
        <w:instrText xml:space="preserve"> PAGEREF _Toc357777224 \h </w:instrText>
      </w:r>
      <w:r w:rsidR="00A30CD3">
        <w:rPr>
          <w:noProof/>
        </w:rPr>
      </w:r>
      <w:r w:rsidR="00A30CD3">
        <w:rPr>
          <w:noProof/>
        </w:rPr>
        <w:fldChar w:fldCharType="separate"/>
      </w:r>
      <w:r w:rsidR="00C05F2C">
        <w:rPr>
          <w:noProof/>
        </w:rPr>
        <w:t>10</w:t>
      </w:r>
      <w:r w:rsidR="00A30CD3">
        <w:rPr>
          <w:noProof/>
        </w:rPr>
        <w:fldChar w:fldCharType="end"/>
      </w:r>
    </w:p>
    <w:p w:rsidR="000746C9" w:rsidRDefault="000746C9">
      <w:pPr>
        <w:pStyle w:val="TOC1"/>
        <w:rPr>
          <w:rFonts w:asciiTheme="minorHAnsi" w:eastAsiaTheme="minorEastAsia" w:hAnsiTheme="minorHAnsi" w:cstheme="minorBidi"/>
          <w:caps w:val="0"/>
          <w:noProof/>
          <w:szCs w:val="22"/>
          <w:lang w:eastAsia="en-AU"/>
        </w:rPr>
      </w:pPr>
      <w:r>
        <w:rPr>
          <w:noProof/>
        </w:rPr>
        <w:t>r23.10</w:t>
      </w:r>
      <w:r>
        <w:rPr>
          <w:rFonts w:asciiTheme="minorHAnsi" w:eastAsiaTheme="minorEastAsia" w:hAnsiTheme="minorHAnsi" w:cstheme="minorBidi"/>
          <w:caps w:val="0"/>
          <w:noProof/>
          <w:szCs w:val="22"/>
          <w:lang w:eastAsia="en-AU"/>
        </w:rPr>
        <w:tab/>
      </w:r>
      <w:r>
        <w:rPr>
          <w:noProof/>
        </w:rPr>
        <w:t>measurement and payment</w:t>
      </w:r>
      <w:r>
        <w:rPr>
          <w:noProof/>
        </w:rPr>
        <w:tab/>
      </w:r>
      <w:r w:rsidR="00A30CD3">
        <w:rPr>
          <w:noProof/>
        </w:rPr>
        <w:fldChar w:fldCharType="begin"/>
      </w:r>
      <w:r>
        <w:rPr>
          <w:noProof/>
        </w:rPr>
        <w:instrText xml:space="preserve"> PAGEREF _Toc357777225 \h </w:instrText>
      </w:r>
      <w:r w:rsidR="00A30CD3">
        <w:rPr>
          <w:noProof/>
        </w:rPr>
      </w:r>
      <w:r w:rsidR="00A30CD3">
        <w:rPr>
          <w:noProof/>
        </w:rPr>
        <w:fldChar w:fldCharType="separate"/>
      </w:r>
      <w:r w:rsidR="00C05F2C">
        <w:rPr>
          <w:noProof/>
        </w:rPr>
        <w:t>10</w:t>
      </w:r>
      <w:r w:rsidR="00A30CD3">
        <w:rPr>
          <w:noProof/>
        </w:rPr>
        <w:fldChar w:fldCharType="end"/>
      </w:r>
    </w:p>
    <w:p w:rsidR="000746C9" w:rsidRDefault="000746C9">
      <w:pPr>
        <w:pStyle w:val="TOC1"/>
        <w:rPr>
          <w:rFonts w:asciiTheme="minorHAnsi" w:eastAsiaTheme="minorEastAsia" w:hAnsiTheme="minorHAnsi" w:cstheme="minorBidi"/>
          <w:caps w:val="0"/>
          <w:noProof/>
          <w:szCs w:val="22"/>
          <w:lang w:eastAsia="en-AU"/>
        </w:rPr>
      </w:pPr>
      <w:r>
        <w:rPr>
          <w:noProof/>
        </w:rPr>
        <w:t>r23.11</w:t>
      </w:r>
      <w:r>
        <w:rPr>
          <w:rFonts w:asciiTheme="minorHAnsi" w:eastAsiaTheme="minorEastAsia" w:hAnsiTheme="minorHAnsi" w:cstheme="minorBidi"/>
          <w:caps w:val="0"/>
          <w:noProof/>
          <w:szCs w:val="22"/>
          <w:lang w:eastAsia="en-AU"/>
        </w:rPr>
        <w:tab/>
      </w:r>
      <w:r>
        <w:rPr>
          <w:noProof/>
        </w:rPr>
        <w:t>hold points</w:t>
      </w:r>
      <w:r>
        <w:rPr>
          <w:noProof/>
        </w:rPr>
        <w:tab/>
      </w:r>
      <w:r w:rsidR="00A30CD3">
        <w:rPr>
          <w:noProof/>
        </w:rPr>
        <w:fldChar w:fldCharType="begin"/>
      </w:r>
      <w:r>
        <w:rPr>
          <w:noProof/>
        </w:rPr>
        <w:instrText xml:space="preserve"> PAGEREF _Toc357777226 \h </w:instrText>
      </w:r>
      <w:r w:rsidR="00A30CD3">
        <w:rPr>
          <w:noProof/>
        </w:rPr>
      </w:r>
      <w:r w:rsidR="00A30CD3">
        <w:rPr>
          <w:noProof/>
        </w:rPr>
        <w:fldChar w:fldCharType="separate"/>
      </w:r>
      <w:r w:rsidR="00C05F2C">
        <w:rPr>
          <w:noProof/>
        </w:rPr>
        <w:t>10</w:t>
      </w:r>
      <w:r w:rsidR="00A30CD3">
        <w:rPr>
          <w:noProof/>
        </w:rPr>
        <w:fldChar w:fldCharType="end"/>
      </w:r>
    </w:p>
    <w:p w:rsidR="000746C9" w:rsidRDefault="000746C9">
      <w:pPr>
        <w:pStyle w:val="TOC1"/>
        <w:rPr>
          <w:noProof/>
        </w:rPr>
      </w:pPr>
      <w:r>
        <w:rPr>
          <w:noProof/>
        </w:rPr>
        <w:t xml:space="preserve">Appendix R23.A – </w:t>
      </w:r>
    </w:p>
    <w:p w:rsidR="000746C9" w:rsidRDefault="000746C9">
      <w:pPr>
        <w:pStyle w:val="TOC1"/>
        <w:rPr>
          <w:rFonts w:asciiTheme="minorHAnsi" w:eastAsiaTheme="minorEastAsia" w:hAnsiTheme="minorHAnsi" w:cstheme="minorBidi"/>
          <w:caps w:val="0"/>
          <w:noProof/>
          <w:szCs w:val="22"/>
          <w:lang w:eastAsia="en-AU"/>
        </w:rPr>
      </w:pPr>
      <w:r>
        <w:rPr>
          <w:noProof/>
        </w:rPr>
        <w:t>Estimate of the Insitu CBR using a Farnell Cone Penetrometer</w:t>
      </w:r>
      <w:r>
        <w:rPr>
          <w:noProof/>
        </w:rPr>
        <w:tab/>
      </w:r>
      <w:r w:rsidR="00A30CD3">
        <w:rPr>
          <w:noProof/>
        </w:rPr>
        <w:fldChar w:fldCharType="begin"/>
      </w:r>
      <w:r>
        <w:rPr>
          <w:noProof/>
        </w:rPr>
        <w:instrText xml:space="preserve"> PAGEREF _Toc357777227 \h </w:instrText>
      </w:r>
      <w:r w:rsidR="00A30CD3">
        <w:rPr>
          <w:noProof/>
        </w:rPr>
      </w:r>
      <w:r w:rsidR="00A30CD3">
        <w:rPr>
          <w:noProof/>
        </w:rPr>
        <w:fldChar w:fldCharType="separate"/>
      </w:r>
      <w:r w:rsidR="00C05F2C">
        <w:rPr>
          <w:noProof/>
        </w:rPr>
        <w:t>12</w:t>
      </w:r>
      <w:r w:rsidR="00A30CD3">
        <w:rPr>
          <w:noProof/>
        </w:rPr>
        <w:fldChar w:fldCharType="end"/>
      </w:r>
    </w:p>
    <w:p w:rsidR="000746C9" w:rsidRDefault="000746C9">
      <w:pPr>
        <w:pStyle w:val="TOC2"/>
        <w:rPr>
          <w:rFonts w:asciiTheme="minorHAnsi" w:eastAsiaTheme="minorEastAsia" w:hAnsiTheme="minorHAnsi" w:cstheme="minorBidi"/>
          <w:i w:val="0"/>
          <w:noProof/>
          <w:sz w:val="22"/>
          <w:szCs w:val="22"/>
          <w:lang w:eastAsia="en-AU"/>
        </w:rPr>
      </w:pPr>
      <w:r>
        <w:rPr>
          <w:noProof/>
        </w:rPr>
        <w:t>R23.A.1</w:t>
      </w:r>
      <w:r>
        <w:rPr>
          <w:rFonts w:asciiTheme="minorHAnsi" w:eastAsiaTheme="minorEastAsia" w:hAnsiTheme="minorHAnsi" w:cstheme="minorBidi"/>
          <w:i w:val="0"/>
          <w:noProof/>
          <w:sz w:val="22"/>
          <w:szCs w:val="22"/>
          <w:lang w:eastAsia="en-AU"/>
        </w:rPr>
        <w:tab/>
      </w:r>
      <w:r>
        <w:rPr>
          <w:rFonts w:asciiTheme="minorHAnsi" w:eastAsiaTheme="minorEastAsia" w:hAnsiTheme="minorHAnsi" w:cstheme="minorBidi"/>
          <w:i w:val="0"/>
          <w:noProof/>
          <w:sz w:val="22"/>
          <w:szCs w:val="22"/>
          <w:lang w:eastAsia="en-AU"/>
        </w:rPr>
        <w:tab/>
      </w:r>
      <w:r>
        <w:rPr>
          <w:noProof/>
        </w:rPr>
        <w:t>Scope</w:t>
      </w:r>
      <w:r>
        <w:rPr>
          <w:noProof/>
        </w:rPr>
        <w:tab/>
      </w:r>
      <w:r w:rsidR="00A30CD3">
        <w:rPr>
          <w:noProof/>
        </w:rPr>
        <w:fldChar w:fldCharType="begin"/>
      </w:r>
      <w:r>
        <w:rPr>
          <w:noProof/>
        </w:rPr>
        <w:instrText xml:space="preserve"> PAGEREF _Toc357777228 \h </w:instrText>
      </w:r>
      <w:r w:rsidR="00A30CD3">
        <w:rPr>
          <w:noProof/>
        </w:rPr>
      </w:r>
      <w:r w:rsidR="00A30CD3">
        <w:rPr>
          <w:noProof/>
        </w:rPr>
        <w:fldChar w:fldCharType="separate"/>
      </w:r>
      <w:r w:rsidR="00C05F2C">
        <w:rPr>
          <w:noProof/>
        </w:rPr>
        <w:t>12</w:t>
      </w:r>
      <w:r w:rsidR="00A30CD3">
        <w:rPr>
          <w:noProof/>
        </w:rPr>
        <w:fldChar w:fldCharType="end"/>
      </w:r>
    </w:p>
    <w:p w:rsidR="000746C9" w:rsidRDefault="000746C9">
      <w:pPr>
        <w:pStyle w:val="TOC2"/>
        <w:rPr>
          <w:rFonts w:asciiTheme="minorHAnsi" w:eastAsiaTheme="minorEastAsia" w:hAnsiTheme="minorHAnsi" w:cstheme="minorBidi"/>
          <w:i w:val="0"/>
          <w:noProof/>
          <w:sz w:val="22"/>
          <w:szCs w:val="22"/>
          <w:lang w:eastAsia="en-AU"/>
        </w:rPr>
      </w:pPr>
      <w:r>
        <w:rPr>
          <w:noProof/>
        </w:rPr>
        <w:t>R23.A.2</w:t>
      </w:r>
      <w:r>
        <w:rPr>
          <w:rFonts w:asciiTheme="minorHAnsi" w:eastAsiaTheme="minorEastAsia" w:hAnsiTheme="minorHAnsi" w:cstheme="minorBidi"/>
          <w:i w:val="0"/>
          <w:noProof/>
          <w:sz w:val="22"/>
          <w:szCs w:val="22"/>
          <w:lang w:eastAsia="en-AU"/>
        </w:rPr>
        <w:tab/>
      </w:r>
      <w:r>
        <w:rPr>
          <w:rFonts w:asciiTheme="minorHAnsi" w:eastAsiaTheme="minorEastAsia" w:hAnsiTheme="minorHAnsi" w:cstheme="minorBidi"/>
          <w:i w:val="0"/>
          <w:noProof/>
          <w:sz w:val="22"/>
          <w:szCs w:val="22"/>
          <w:lang w:eastAsia="en-AU"/>
        </w:rPr>
        <w:tab/>
      </w:r>
      <w:r>
        <w:rPr>
          <w:noProof/>
        </w:rPr>
        <w:t>Equipment</w:t>
      </w:r>
      <w:r>
        <w:rPr>
          <w:noProof/>
        </w:rPr>
        <w:tab/>
      </w:r>
      <w:r w:rsidR="00A30CD3">
        <w:rPr>
          <w:noProof/>
        </w:rPr>
        <w:fldChar w:fldCharType="begin"/>
      </w:r>
      <w:r>
        <w:rPr>
          <w:noProof/>
        </w:rPr>
        <w:instrText xml:space="preserve"> PAGEREF _Toc357777229 \h </w:instrText>
      </w:r>
      <w:r w:rsidR="00A30CD3">
        <w:rPr>
          <w:noProof/>
        </w:rPr>
      </w:r>
      <w:r w:rsidR="00A30CD3">
        <w:rPr>
          <w:noProof/>
        </w:rPr>
        <w:fldChar w:fldCharType="separate"/>
      </w:r>
      <w:r w:rsidR="00C05F2C">
        <w:rPr>
          <w:noProof/>
        </w:rPr>
        <w:t>12</w:t>
      </w:r>
      <w:r w:rsidR="00A30CD3">
        <w:rPr>
          <w:noProof/>
        </w:rPr>
        <w:fldChar w:fldCharType="end"/>
      </w:r>
    </w:p>
    <w:p w:rsidR="000746C9" w:rsidRDefault="000746C9">
      <w:pPr>
        <w:pStyle w:val="TOC2"/>
        <w:rPr>
          <w:rFonts w:asciiTheme="minorHAnsi" w:eastAsiaTheme="minorEastAsia" w:hAnsiTheme="minorHAnsi" w:cstheme="minorBidi"/>
          <w:i w:val="0"/>
          <w:noProof/>
          <w:sz w:val="22"/>
          <w:szCs w:val="22"/>
          <w:lang w:eastAsia="en-AU"/>
        </w:rPr>
      </w:pPr>
      <w:r>
        <w:rPr>
          <w:noProof/>
        </w:rPr>
        <w:t>R23.A.3</w:t>
      </w:r>
      <w:r>
        <w:rPr>
          <w:rFonts w:asciiTheme="minorHAnsi" w:eastAsiaTheme="minorEastAsia" w:hAnsiTheme="minorHAnsi" w:cstheme="minorBidi"/>
          <w:i w:val="0"/>
          <w:noProof/>
          <w:sz w:val="22"/>
          <w:szCs w:val="22"/>
          <w:lang w:eastAsia="en-AU"/>
        </w:rPr>
        <w:tab/>
      </w:r>
      <w:r>
        <w:rPr>
          <w:rFonts w:asciiTheme="minorHAnsi" w:eastAsiaTheme="minorEastAsia" w:hAnsiTheme="minorHAnsi" w:cstheme="minorBidi"/>
          <w:i w:val="0"/>
          <w:noProof/>
          <w:sz w:val="22"/>
          <w:szCs w:val="22"/>
          <w:lang w:eastAsia="en-AU"/>
        </w:rPr>
        <w:tab/>
      </w:r>
      <w:r>
        <w:rPr>
          <w:noProof/>
        </w:rPr>
        <w:t>Method</w:t>
      </w:r>
      <w:r>
        <w:rPr>
          <w:noProof/>
        </w:rPr>
        <w:tab/>
      </w:r>
      <w:r w:rsidR="00A30CD3">
        <w:rPr>
          <w:noProof/>
        </w:rPr>
        <w:fldChar w:fldCharType="begin"/>
      </w:r>
      <w:r>
        <w:rPr>
          <w:noProof/>
        </w:rPr>
        <w:instrText xml:space="preserve"> PAGEREF _Toc357777230 \h </w:instrText>
      </w:r>
      <w:r w:rsidR="00A30CD3">
        <w:rPr>
          <w:noProof/>
        </w:rPr>
      </w:r>
      <w:r w:rsidR="00A30CD3">
        <w:rPr>
          <w:noProof/>
        </w:rPr>
        <w:fldChar w:fldCharType="separate"/>
      </w:r>
      <w:r w:rsidR="00C05F2C">
        <w:rPr>
          <w:noProof/>
        </w:rPr>
        <w:t>12</w:t>
      </w:r>
      <w:r w:rsidR="00A30CD3">
        <w:rPr>
          <w:noProof/>
        </w:rPr>
        <w:fldChar w:fldCharType="end"/>
      </w:r>
    </w:p>
    <w:p w:rsidR="000746C9" w:rsidRDefault="000746C9">
      <w:pPr>
        <w:pStyle w:val="TOC2"/>
        <w:rPr>
          <w:rFonts w:asciiTheme="minorHAnsi" w:eastAsiaTheme="minorEastAsia" w:hAnsiTheme="minorHAnsi" w:cstheme="minorBidi"/>
          <w:i w:val="0"/>
          <w:noProof/>
          <w:sz w:val="22"/>
          <w:szCs w:val="22"/>
          <w:lang w:eastAsia="en-AU"/>
        </w:rPr>
      </w:pPr>
      <w:r>
        <w:rPr>
          <w:noProof/>
        </w:rPr>
        <w:t xml:space="preserve">R23.A.4 </w:t>
      </w:r>
      <w:r>
        <w:rPr>
          <w:rFonts w:asciiTheme="minorHAnsi" w:eastAsiaTheme="minorEastAsia" w:hAnsiTheme="minorHAnsi" w:cstheme="minorBidi"/>
          <w:i w:val="0"/>
          <w:noProof/>
          <w:sz w:val="22"/>
          <w:szCs w:val="22"/>
          <w:lang w:eastAsia="en-AU"/>
        </w:rPr>
        <w:tab/>
      </w:r>
      <w:r>
        <w:rPr>
          <w:noProof/>
        </w:rPr>
        <w:t>Representative Insitu CBR</w:t>
      </w:r>
      <w:r>
        <w:rPr>
          <w:noProof/>
        </w:rPr>
        <w:tab/>
      </w:r>
      <w:r w:rsidR="00A30CD3">
        <w:rPr>
          <w:noProof/>
        </w:rPr>
        <w:fldChar w:fldCharType="begin"/>
      </w:r>
      <w:r>
        <w:rPr>
          <w:noProof/>
        </w:rPr>
        <w:instrText xml:space="preserve"> PAGEREF _Toc357777231 \h </w:instrText>
      </w:r>
      <w:r w:rsidR="00A30CD3">
        <w:rPr>
          <w:noProof/>
        </w:rPr>
      </w:r>
      <w:r w:rsidR="00A30CD3">
        <w:rPr>
          <w:noProof/>
        </w:rPr>
        <w:fldChar w:fldCharType="separate"/>
      </w:r>
      <w:r w:rsidR="00C05F2C">
        <w:rPr>
          <w:noProof/>
        </w:rPr>
        <w:t>12</w:t>
      </w:r>
      <w:r w:rsidR="00A30CD3">
        <w:rPr>
          <w:noProof/>
        </w:rPr>
        <w:fldChar w:fldCharType="end"/>
      </w:r>
    </w:p>
    <w:p w:rsidR="000746C9" w:rsidRDefault="000746C9">
      <w:pPr>
        <w:pStyle w:val="TOC2"/>
        <w:rPr>
          <w:rFonts w:asciiTheme="minorHAnsi" w:eastAsiaTheme="minorEastAsia" w:hAnsiTheme="minorHAnsi" w:cstheme="minorBidi"/>
          <w:i w:val="0"/>
          <w:noProof/>
          <w:sz w:val="22"/>
          <w:szCs w:val="22"/>
          <w:lang w:eastAsia="en-AU"/>
        </w:rPr>
      </w:pPr>
      <w:r>
        <w:rPr>
          <w:noProof/>
        </w:rPr>
        <w:t>R23.A.5</w:t>
      </w:r>
      <w:r>
        <w:rPr>
          <w:rFonts w:asciiTheme="minorHAnsi" w:eastAsiaTheme="minorEastAsia" w:hAnsiTheme="minorHAnsi" w:cstheme="minorBidi"/>
          <w:i w:val="0"/>
          <w:noProof/>
          <w:sz w:val="22"/>
          <w:szCs w:val="22"/>
          <w:lang w:eastAsia="en-AU"/>
        </w:rPr>
        <w:tab/>
      </w:r>
      <w:r>
        <w:rPr>
          <w:rFonts w:asciiTheme="minorHAnsi" w:eastAsiaTheme="minorEastAsia" w:hAnsiTheme="minorHAnsi" w:cstheme="minorBidi"/>
          <w:i w:val="0"/>
          <w:noProof/>
          <w:sz w:val="22"/>
          <w:szCs w:val="22"/>
          <w:lang w:eastAsia="en-AU"/>
        </w:rPr>
        <w:tab/>
      </w:r>
      <w:r>
        <w:rPr>
          <w:noProof/>
        </w:rPr>
        <w:t>Report</w:t>
      </w:r>
      <w:r>
        <w:rPr>
          <w:noProof/>
        </w:rPr>
        <w:tab/>
      </w:r>
      <w:r w:rsidR="00A30CD3">
        <w:rPr>
          <w:noProof/>
        </w:rPr>
        <w:fldChar w:fldCharType="begin"/>
      </w:r>
      <w:r>
        <w:rPr>
          <w:noProof/>
        </w:rPr>
        <w:instrText xml:space="preserve"> PAGEREF _Toc357777232 \h </w:instrText>
      </w:r>
      <w:r w:rsidR="00A30CD3">
        <w:rPr>
          <w:noProof/>
        </w:rPr>
      </w:r>
      <w:r w:rsidR="00A30CD3">
        <w:rPr>
          <w:noProof/>
        </w:rPr>
        <w:fldChar w:fldCharType="separate"/>
      </w:r>
      <w:r w:rsidR="00C05F2C">
        <w:rPr>
          <w:noProof/>
        </w:rPr>
        <w:t>12</w:t>
      </w:r>
      <w:r w:rsidR="00A30CD3">
        <w:rPr>
          <w:noProof/>
        </w:rPr>
        <w:fldChar w:fldCharType="end"/>
      </w:r>
    </w:p>
    <w:p w:rsidR="000746C9" w:rsidRDefault="000746C9">
      <w:pPr>
        <w:pStyle w:val="TOC1"/>
        <w:rPr>
          <w:noProof/>
        </w:rPr>
      </w:pPr>
      <w:r>
        <w:rPr>
          <w:noProof/>
        </w:rPr>
        <w:t>Appendix R23.B</w:t>
      </w:r>
      <w:r>
        <w:rPr>
          <w:rFonts w:asciiTheme="minorHAnsi" w:eastAsiaTheme="minorEastAsia" w:hAnsiTheme="minorHAnsi" w:cstheme="minorBidi"/>
          <w:caps w:val="0"/>
          <w:noProof/>
          <w:szCs w:val="22"/>
          <w:lang w:eastAsia="en-AU"/>
        </w:rPr>
        <w:t xml:space="preserve"> </w:t>
      </w:r>
      <w:r>
        <w:rPr>
          <w:noProof/>
        </w:rPr>
        <w:t xml:space="preserve">– </w:t>
      </w:r>
    </w:p>
    <w:p w:rsidR="000746C9" w:rsidRDefault="000746C9">
      <w:pPr>
        <w:pStyle w:val="TOC1"/>
        <w:rPr>
          <w:rFonts w:asciiTheme="minorHAnsi" w:eastAsiaTheme="minorEastAsia" w:hAnsiTheme="minorHAnsi" w:cstheme="minorBidi"/>
          <w:caps w:val="0"/>
          <w:noProof/>
          <w:szCs w:val="22"/>
          <w:lang w:eastAsia="en-AU"/>
        </w:rPr>
      </w:pPr>
      <w:r>
        <w:rPr>
          <w:noProof/>
        </w:rPr>
        <w:t>Estimate of insitu CBR with a 9 kg Dynamic Cone Penetrometer</w:t>
      </w:r>
      <w:r>
        <w:rPr>
          <w:noProof/>
        </w:rPr>
        <w:tab/>
      </w:r>
      <w:r w:rsidR="00A30CD3">
        <w:rPr>
          <w:noProof/>
        </w:rPr>
        <w:fldChar w:fldCharType="begin"/>
      </w:r>
      <w:r>
        <w:rPr>
          <w:noProof/>
        </w:rPr>
        <w:instrText xml:space="preserve"> PAGEREF _Toc357777233 \h </w:instrText>
      </w:r>
      <w:r w:rsidR="00A30CD3">
        <w:rPr>
          <w:noProof/>
        </w:rPr>
      </w:r>
      <w:r w:rsidR="00A30CD3">
        <w:rPr>
          <w:noProof/>
        </w:rPr>
        <w:fldChar w:fldCharType="separate"/>
      </w:r>
      <w:r w:rsidR="00C05F2C">
        <w:rPr>
          <w:noProof/>
        </w:rPr>
        <w:t>14</w:t>
      </w:r>
      <w:r w:rsidR="00A30CD3">
        <w:rPr>
          <w:noProof/>
        </w:rPr>
        <w:fldChar w:fldCharType="end"/>
      </w:r>
    </w:p>
    <w:p w:rsidR="000746C9" w:rsidRDefault="000746C9">
      <w:pPr>
        <w:pStyle w:val="TOC2"/>
        <w:rPr>
          <w:rFonts w:asciiTheme="minorHAnsi" w:eastAsiaTheme="minorEastAsia" w:hAnsiTheme="minorHAnsi" w:cstheme="minorBidi"/>
          <w:i w:val="0"/>
          <w:noProof/>
          <w:sz w:val="22"/>
          <w:szCs w:val="22"/>
          <w:lang w:eastAsia="en-AU"/>
        </w:rPr>
      </w:pPr>
      <w:r>
        <w:rPr>
          <w:noProof/>
        </w:rPr>
        <w:t>R23.B.1</w:t>
      </w:r>
      <w:r>
        <w:rPr>
          <w:rFonts w:asciiTheme="minorHAnsi" w:eastAsiaTheme="minorEastAsia" w:hAnsiTheme="minorHAnsi" w:cstheme="minorBidi"/>
          <w:i w:val="0"/>
          <w:noProof/>
          <w:sz w:val="22"/>
          <w:szCs w:val="22"/>
          <w:lang w:eastAsia="en-AU"/>
        </w:rPr>
        <w:tab/>
      </w:r>
      <w:r>
        <w:rPr>
          <w:rFonts w:asciiTheme="minorHAnsi" w:eastAsiaTheme="minorEastAsia" w:hAnsiTheme="minorHAnsi" w:cstheme="minorBidi"/>
          <w:i w:val="0"/>
          <w:noProof/>
          <w:sz w:val="22"/>
          <w:szCs w:val="22"/>
          <w:lang w:eastAsia="en-AU"/>
        </w:rPr>
        <w:tab/>
      </w:r>
      <w:r>
        <w:rPr>
          <w:noProof/>
        </w:rPr>
        <w:t>Scope</w:t>
      </w:r>
      <w:r>
        <w:rPr>
          <w:noProof/>
        </w:rPr>
        <w:tab/>
      </w:r>
      <w:r w:rsidR="00A30CD3">
        <w:rPr>
          <w:noProof/>
        </w:rPr>
        <w:fldChar w:fldCharType="begin"/>
      </w:r>
      <w:r>
        <w:rPr>
          <w:noProof/>
        </w:rPr>
        <w:instrText xml:space="preserve"> PAGEREF _Toc357777234 \h </w:instrText>
      </w:r>
      <w:r w:rsidR="00A30CD3">
        <w:rPr>
          <w:noProof/>
        </w:rPr>
      </w:r>
      <w:r w:rsidR="00A30CD3">
        <w:rPr>
          <w:noProof/>
        </w:rPr>
        <w:fldChar w:fldCharType="separate"/>
      </w:r>
      <w:r w:rsidR="00C05F2C">
        <w:rPr>
          <w:noProof/>
        </w:rPr>
        <w:t>14</w:t>
      </w:r>
      <w:r w:rsidR="00A30CD3">
        <w:rPr>
          <w:noProof/>
        </w:rPr>
        <w:fldChar w:fldCharType="end"/>
      </w:r>
    </w:p>
    <w:p w:rsidR="000746C9" w:rsidRDefault="000746C9">
      <w:pPr>
        <w:pStyle w:val="TOC2"/>
        <w:rPr>
          <w:rFonts w:asciiTheme="minorHAnsi" w:eastAsiaTheme="minorEastAsia" w:hAnsiTheme="minorHAnsi" w:cstheme="minorBidi"/>
          <w:i w:val="0"/>
          <w:noProof/>
          <w:sz w:val="22"/>
          <w:szCs w:val="22"/>
          <w:lang w:eastAsia="en-AU"/>
        </w:rPr>
      </w:pPr>
      <w:r>
        <w:rPr>
          <w:noProof/>
        </w:rPr>
        <w:t>R23.B.2</w:t>
      </w:r>
      <w:r>
        <w:rPr>
          <w:rFonts w:asciiTheme="minorHAnsi" w:eastAsiaTheme="minorEastAsia" w:hAnsiTheme="minorHAnsi" w:cstheme="minorBidi"/>
          <w:i w:val="0"/>
          <w:noProof/>
          <w:sz w:val="22"/>
          <w:szCs w:val="22"/>
          <w:lang w:eastAsia="en-AU"/>
        </w:rPr>
        <w:tab/>
      </w:r>
      <w:r>
        <w:rPr>
          <w:rFonts w:asciiTheme="minorHAnsi" w:eastAsiaTheme="minorEastAsia" w:hAnsiTheme="minorHAnsi" w:cstheme="minorBidi"/>
          <w:i w:val="0"/>
          <w:noProof/>
          <w:sz w:val="22"/>
          <w:szCs w:val="22"/>
          <w:lang w:eastAsia="en-AU"/>
        </w:rPr>
        <w:tab/>
      </w:r>
      <w:r>
        <w:rPr>
          <w:noProof/>
        </w:rPr>
        <w:t>Apparatus</w:t>
      </w:r>
      <w:r>
        <w:rPr>
          <w:noProof/>
        </w:rPr>
        <w:tab/>
      </w:r>
      <w:r w:rsidR="00A30CD3">
        <w:rPr>
          <w:noProof/>
        </w:rPr>
        <w:fldChar w:fldCharType="begin"/>
      </w:r>
      <w:r>
        <w:rPr>
          <w:noProof/>
        </w:rPr>
        <w:instrText xml:space="preserve"> PAGEREF _Toc357777235 \h </w:instrText>
      </w:r>
      <w:r w:rsidR="00A30CD3">
        <w:rPr>
          <w:noProof/>
        </w:rPr>
      </w:r>
      <w:r w:rsidR="00A30CD3">
        <w:rPr>
          <w:noProof/>
        </w:rPr>
        <w:fldChar w:fldCharType="separate"/>
      </w:r>
      <w:r w:rsidR="00C05F2C">
        <w:rPr>
          <w:noProof/>
        </w:rPr>
        <w:t>14</w:t>
      </w:r>
      <w:r w:rsidR="00A30CD3">
        <w:rPr>
          <w:noProof/>
        </w:rPr>
        <w:fldChar w:fldCharType="end"/>
      </w:r>
    </w:p>
    <w:p w:rsidR="000746C9" w:rsidRDefault="000746C9">
      <w:pPr>
        <w:pStyle w:val="TOC2"/>
        <w:rPr>
          <w:rFonts w:asciiTheme="minorHAnsi" w:eastAsiaTheme="minorEastAsia" w:hAnsiTheme="minorHAnsi" w:cstheme="minorBidi"/>
          <w:i w:val="0"/>
          <w:noProof/>
          <w:sz w:val="22"/>
          <w:szCs w:val="22"/>
          <w:lang w:eastAsia="en-AU"/>
        </w:rPr>
      </w:pPr>
      <w:r>
        <w:rPr>
          <w:noProof/>
        </w:rPr>
        <w:t>R23.B.3</w:t>
      </w:r>
      <w:r>
        <w:rPr>
          <w:rFonts w:asciiTheme="minorHAnsi" w:eastAsiaTheme="minorEastAsia" w:hAnsiTheme="minorHAnsi" w:cstheme="minorBidi"/>
          <w:i w:val="0"/>
          <w:noProof/>
          <w:sz w:val="22"/>
          <w:szCs w:val="22"/>
          <w:lang w:eastAsia="en-AU"/>
        </w:rPr>
        <w:tab/>
      </w:r>
      <w:r>
        <w:rPr>
          <w:rFonts w:asciiTheme="minorHAnsi" w:eastAsiaTheme="minorEastAsia" w:hAnsiTheme="minorHAnsi" w:cstheme="minorBidi"/>
          <w:i w:val="0"/>
          <w:noProof/>
          <w:sz w:val="22"/>
          <w:szCs w:val="22"/>
          <w:lang w:eastAsia="en-AU"/>
        </w:rPr>
        <w:tab/>
      </w:r>
      <w:r>
        <w:rPr>
          <w:noProof/>
        </w:rPr>
        <w:t>Procedure</w:t>
      </w:r>
      <w:r>
        <w:rPr>
          <w:noProof/>
        </w:rPr>
        <w:tab/>
      </w:r>
      <w:r w:rsidR="00A30CD3">
        <w:rPr>
          <w:noProof/>
        </w:rPr>
        <w:fldChar w:fldCharType="begin"/>
      </w:r>
      <w:r>
        <w:rPr>
          <w:noProof/>
        </w:rPr>
        <w:instrText xml:space="preserve"> PAGEREF _Toc357777236 \h </w:instrText>
      </w:r>
      <w:r w:rsidR="00A30CD3">
        <w:rPr>
          <w:noProof/>
        </w:rPr>
      </w:r>
      <w:r w:rsidR="00A30CD3">
        <w:rPr>
          <w:noProof/>
        </w:rPr>
        <w:fldChar w:fldCharType="separate"/>
      </w:r>
      <w:r w:rsidR="00C05F2C">
        <w:rPr>
          <w:noProof/>
        </w:rPr>
        <w:t>14</w:t>
      </w:r>
      <w:r w:rsidR="00A30CD3">
        <w:rPr>
          <w:noProof/>
        </w:rPr>
        <w:fldChar w:fldCharType="end"/>
      </w:r>
    </w:p>
    <w:p w:rsidR="000746C9" w:rsidRDefault="000746C9">
      <w:pPr>
        <w:pStyle w:val="TOC2"/>
        <w:rPr>
          <w:rFonts w:asciiTheme="minorHAnsi" w:eastAsiaTheme="minorEastAsia" w:hAnsiTheme="minorHAnsi" w:cstheme="minorBidi"/>
          <w:i w:val="0"/>
          <w:noProof/>
          <w:sz w:val="22"/>
          <w:szCs w:val="22"/>
          <w:lang w:eastAsia="en-AU"/>
        </w:rPr>
      </w:pPr>
      <w:r>
        <w:rPr>
          <w:noProof/>
        </w:rPr>
        <w:t xml:space="preserve">R23.B.4 </w:t>
      </w:r>
      <w:r>
        <w:rPr>
          <w:rFonts w:asciiTheme="minorHAnsi" w:eastAsiaTheme="minorEastAsia" w:hAnsiTheme="minorHAnsi" w:cstheme="minorBidi"/>
          <w:i w:val="0"/>
          <w:noProof/>
          <w:sz w:val="22"/>
          <w:szCs w:val="22"/>
          <w:lang w:eastAsia="en-AU"/>
        </w:rPr>
        <w:tab/>
      </w:r>
      <w:r>
        <w:rPr>
          <w:noProof/>
        </w:rPr>
        <w:t>Representative CBR</w:t>
      </w:r>
      <w:r>
        <w:rPr>
          <w:noProof/>
        </w:rPr>
        <w:tab/>
      </w:r>
      <w:r w:rsidR="00A30CD3">
        <w:rPr>
          <w:noProof/>
        </w:rPr>
        <w:fldChar w:fldCharType="begin"/>
      </w:r>
      <w:r>
        <w:rPr>
          <w:noProof/>
        </w:rPr>
        <w:instrText xml:space="preserve"> PAGEREF _Toc357777237 \h </w:instrText>
      </w:r>
      <w:r w:rsidR="00A30CD3">
        <w:rPr>
          <w:noProof/>
        </w:rPr>
      </w:r>
      <w:r w:rsidR="00A30CD3">
        <w:rPr>
          <w:noProof/>
        </w:rPr>
        <w:fldChar w:fldCharType="separate"/>
      </w:r>
      <w:r w:rsidR="00C05F2C">
        <w:rPr>
          <w:noProof/>
        </w:rPr>
        <w:t>14</w:t>
      </w:r>
      <w:r w:rsidR="00A30CD3">
        <w:rPr>
          <w:noProof/>
        </w:rPr>
        <w:fldChar w:fldCharType="end"/>
      </w:r>
    </w:p>
    <w:p w:rsidR="000746C9" w:rsidRDefault="000746C9">
      <w:pPr>
        <w:pStyle w:val="TOC2"/>
        <w:rPr>
          <w:rFonts w:asciiTheme="minorHAnsi" w:eastAsiaTheme="minorEastAsia" w:hAnsiTheme="minorHAnsi" w:cstheme="minorBidi"/>
          <w:i w:val="0"/>
          <w:noProof/>
          <w:sz w:val="22"/>
          <w:szCs w:val="22"/>
          <w:lang w:eastAsia="en-AU"/>
        </w:rPr>
      </w:pPr>
      <w:r>
        <w:rPr>
          <w:noProof/>
        </w:rPr>
        <w:t>R23.B.5</w:t>
      </w:r>
      <w:r>
        <w:rPr>
          <w:rFonts w:asciiTheme="minorHAnsi" w:eastAsiaTheme="minorEastAsia" w:hAnsiTheme="minorHAnsi" w:cstheme="minorBidi"/>
          <w:i w:val="0"/>
          <w:noProof/>
          <w:sz w:val="22"/>
          <w:szCs w:val="22"/>
          <w:lang w:eastAsia="en-AU"/>
        </w:rPr>
        <w:tab/>
      </w:r>
      <w:r>
        <w:rPr>
          <w:rFonts w:asciiTheme="minorHAnsi" w:eastAsiaTheme="minorEastAsia" w:hAnsiTheme="minorHAnsi" w:cstheme="minorBidi"/>
          <w:i w:val="0"/>
          <w:noProof/>
          <w:sz w:val="22"/>
          <w:szCs w:val="22"/>
          <w:lang w:eastAsia="en-AU"/>
        </w:rPr>
        <w:tab/>
      </w:r>
      <w:r>
        <w:rPr>
          <w:noProof/>
        </w:rPr>
        <w:t>Report</w:t>
      </w:r>
      <w:r>
        <w:rPr>
          <w:noProof/>
        </w:rPr>
        <w:tab/>
      </w:r>
      <w:r w:rsidR="00A30CD3">
        <w:rPr>
          <w:noProof/>
        </w:rPr>
        <w:fldChar w:fldCharType="begin"/>
      </w:r>
      <w:r>
        <w:rPr>
          <w:noProof/>
        </w:rPr>
        <w:instrText xml:space="preserve"> PAGEREF _Toc357777238 \h </w:instrText>
      </w:r>
      <w:r w:rsidR="00A30CD3">
        <w:rPr>
          <w:noProof/>
        </w:rPr>
      </w:r>
      <w:r w:rsidR="00A30CD3">
        <w:rPr>
          <w:noProof/>
        </w:rPr>
        <w:fldChar w:fldCharType="separate"/>
      </w:r>
      <w:r w:rsidR="00C05F2C">
        <w:rPr>
          <w:noProof/>
        </w:rPr>
        <w:t>14</w:t>
      </w:r>
      <w:r w:rsidR="00A30CD3">
        <w:rPr>
          <w:noProof/>
        </w:rPr>
        <w:fldChar w:fldCharType="end"/>
      </w:r>
    </w:p>
    <w:p w:rsidR="000746C9" w:rsidRDefault="000746C9">
      <w:pPr>
        <w:pStyle w:val="TOC1"/>
        <w:rPr>
          <w:rFonts w:asciiTheme="minorHAnsi" w:eastAsiaTheme="minorEastAsia" w:hAnsiTheme="minorHAnsi" w:cstheme="minorBidi"/>
          <w:caps w:val="0"/>
          <w:noProof/>
          <w:szCs w:val="22"/>
          <w:lang w:eastAsia="en-AU"/>
        </w:rPr>
      </w:pPr>
      <w:r>
        <w:rPr>
          <w:noProof/>
        </w:rPr>
        <w:t>Appendix R23.C – Unified Soil Classification System</w:t>
      </w:r>
      <w:r>
        <w:rPr>
          <w:noProof/>
        </w:rPr>
        <w:tab/>
      </w:r>
      <w:r w:rsidR="00A30CD3">
        <w:rPr>
          <w:noProof/>
        </w:rPr>
        <w:fldChar w:fldCharType="begin"/>
      </w:r>
      <w:r>
        <w:rPr>
          <w:noProof/>
        </w:rPr>
        <w:instrText xml:space="preserve"> PAGEREF _Toc357777239 \h </w:instrText>
      </w:r>
      <w:r w:rsidR="00A30CD3">
        <w:rPr>
          <w:noProof/>
        </w:rPr>
      </w:r>
      <w:r w:rsidR="00A30CD3">
        <w:rPr>
          <w:noProof/>
        </w:rPr>
        <w:fldChar w:fldCharType="separate"/>
      </w:r>
      <w:r w:rsidR="00C05F2C">
        <w:rPr>
          <w:noProof/>
        </w:rPr>
        <w:t>15</w:t>
      </w:r>
      <w:r w:rsidR="00A30CD3">
        <w:rPr>
          <w:noProof/>
        </w:rPr>
        <w:fldChar w:fldCharType="end"/>
      </w:r>
    </w:p>
    <w:p w:rsidR="001E5254" w:rsidRDefault="00A30CD3" w:rsidP="008445DF">
      <w:pPr>
        <w:pStyle w:val="Heading1"/>
      </w:pPr>
      <w:r>
        <w:rPr>
          <w:b w:val="0"/>
        </w:rPr>
        <w:fldChar w:fldCharType="end"/>
      </w:r>
    </w:p>
    <w:p w:rsidR="00FD7DD5" w:rsidRDefault="00FD7DD5" w:rsidP="00EB542B"/>
    <w:p w:rsidR="00F66AAD" w:rsidRDefault="00F66AAD" w:rsidP="00EB542B"/>
    <w:p w:rsidR="00592679" w:rsidRDefault="00592679" w:rsidP="00EB542B"/>
    <w:p w:rsidR="00DF07CA" w:rsidRDefault="00DF07CA" w:rsidP="00EB542B"/>
    <w:p w:rsidR="00965E63" w:rsidRPr="00FD7DD5" w:rsidRDefault="00965E63" w:rsidP="00EB542B"/>
    <w:p w:rsidR="00592679" w:rsidRDefault="00592679" w:rsidP="00592679">
      <w:pPr>
        <w:pStyle w:val="Heading1"/>
      </w:pPr>
      <w:bookmarkStart w:id="1" w:name="_Toc287006281"/>
      <w:bookmarkStart w:id="2" w:name="_Toc357777200"/>
      <w:r>
        <w:lastRenderedPageBreak/>
        <w:t>R23.1</w:t>
      </w:r>
      <w:r>
        <w:tab/>
        <w:t>Scope</w:t>
      </w:r>
      <w:bookmarkEnd w:id="1"/>
      <w:bookmarkEnd w:id="2"/>
    </w:p>
    <w:p w:rsidR="00592679" w:rsidRDefault="00592679" w:rsidP="00592679">
      <w:pPr>
        <w:contextualSpacing/>
      </w:pPr>
      <w:r>
        <w:t>This specification sets out the requirements for the subgrade zone in excavations and on embankments.  It applies to new roadwork construction and to works on existing road pavements where the works involve the exposure of, or the construction of, the subgrade zone and pavement.</w:t>
      </w:r>
    </w:p>
    <w:p w:rsidR="00592679" w:rsidRDefault="00592679" w:rsidP="00592679">
      <w:pPr>
        <w:contextualSpacing/>
      </w:pPr>
    </w:p>
    <w:p w:rsidR="00592679" w:rsidRDefault="00592679" w:rsidP="00592679">
      <w:pPr>
        <w:contextualSpacing/>
      </w:pPr>
      <w:r>
        <w:t>The provisions of this specification cover:</w:t>
      </w:r>
    </w:p>
    <w:p w:rsidR="00592679" w:rsidRDefault="00592679" w:rsidP="00C60DBA">
      <w:pPr>
        <w:pStyle w:val="ListParagraph"/>
        <w:numPr>
          <w:ilvl w:val="0"/>
          <w:numId w:val="1"/>
        </w:numPr>
        <w:ind w:left="851" w:hanging="284"/>
      </w:pPr>
      <w:r>
        <w:t>the quality requirements of imported materials used to construct the subgrade zone on embankments, and in cut and the exposed subgrade under an existing road pavement where excavation and replacement of the subgrade is judged to be required</w:t>
      </w:r>
    </w:p>
    <w:p w:rsidR="00592679" w:rsidRDefault="00592679" w:rsidP="00C60DBA">
      <w:pPr>
        <w:pStyle w:val="ListParagraph"/>
        <w:numPr>
          <w:ilvl w:val="0"/>
          <w:numId w:val="1"/>
        </w:numPr>
        <w:ind w:left="851" w:hanging="284"/>
      </w:pPr>
      <w:r>
        <w:t>methods of assessment of the condition and compliance of exposed subgrade zone materials in cut and below existing pavements, including the representative Insitu CBR and proof rolling procedures</w:t>
      </w:r>
    </w:p>
    <w:p w:rsidR="00592679" w:rsidRDefault="00592679" w:rsidP="00C60DBA">
      <w:pPr>
        <w:pStyle w:val="ListParagraph"/>
        <w:numPr>
          <w:ilvl w:val="0"/>
          <w:numId w:val="1"/>
        </w:numPr>
        <w:ind w:left="851" w:hanging="284"/>
      </w:pPr>
      <w:r>
        <w:t>construction of the subgrade zone including remedial treatments for exposed subgrade zones in cut, compaction, dimensions and shape tolerances</w:t>
      </w:r>
    </w:p>
    <w:p w:rsidR="00592679" w:rsidRDefault="00592679" w:rsidP="00C60DBA">
      <w:pPr>
        <w:pStyle w:val="ListParagraph"/>
        <w:numPr>
          <w:ilvl w:val="0"/>
          <w:numId w:val="1"/>
        </w:numPr>
        <w:ind w:left="851" w:hanging="284"/>
      </w:pPr>
      <w:r>
        <w:t>evidence of compliance</w:t>
      </w:r>
    </w:p>
    <w:p w:rsidR="00592679" w:rsidRDefault="00592679" w:rsidP="00C60DBA">
      <w:pPr>
        <w:pStyle w:val="ListParagraph"/>
        <w:numPr>
          <w:ilvl w:val="0"/>
          <w:numId w:val="1"/>
        </w:numPr>
        <w:ind w:left="851" w:hanging="284"/>
      </w:pPr>
      <w:r>
        <w:t>measurement and payment</w:t>
      </w:r>
    </w:p>
    <w:p w:rsidR="00592679" w:rsidRDefault="00592679" w:rsidP="00C60DBA">
      <w:pPr>
        <w:pStyle w:val="ListParagraph"/>
        <w:numPr>
          <w:ilvl w:val="0"/>
          <w:numId w:val="1"/>
        </w:numPr>
        <w:ind w:left="851" w:hanging="284"/>
      </w:pPr>
      <w:r>
        <w:t>hold points.</w:t>
      </w:r>
    </w:p>
    <w:p w:rsidR="00592679" w:rsidRDefault="00592679" w:rsidP="00592679">
      <w:pPr>
        <w:contextualSpacing/>
      </w:pPr>
    </w:p>
    <w:p w:rsidR="00592679" w:rsidRDefault="00592679" w:rsidP="00592679">
      <w:pPr>
        <w:pStyle w:val="Heading1"/>
      </w:pPr>
      <w:bookmarkStart w:id="3" w:name="_Toc287006282"/>
      <w:bookmarkStart w:id="4" w:name="_Toc357777201"/>
      <w:r>
        <w:t>R23.2</w:t>
      </w:r>
      <w:r>
        <w:tab/>
        <w:t>objective</w:t>
      </w:r>
      <w:bookmarkEnd w:id="3"/>
      <w:bookmarkEnd w:id="4"/>
    </w:p>
    <w:p w:rsidR="00592679" w:rsidRDefault="00592679" w:rsidP="00592679">
      <w:pPr>
        <w:contextualSpacing/>
      </w:pPr>
      <w:r>
        <w:t>The objective is to provide a subgrade zone that meets or exceeds the requirements of the pavement design to assist in achieving a stable, durable pavement.</w:t>
      </w:r>
    </w:p>
    <w:p w:rsidR="00592679" w:rsidRDefault="00592679" w:rsidP="00592679">
      <w:pPr>
        <w:contextualSpacing/>
      </w:pPr>
    </w:p>
    <w:p w:rsidR="00592679" w:rsidRDefault="00592679" w:rsidP="00592679">
      <w:pPr>
        <w:pStyle w:val="Heading1"/>
      </w:pPr>
      <w:bookmarkStart w:id="5" w:name="_Toc287006283"/>
      <w:bookmarkStart w:id="6" w:name="_Toc357777202"/>
      <w:r>
        <w:t>r23.3</w:t>
      </w:r>
      <w:r>
        <w:tab/>
        <w:t>references and standards</w:t>
      </w:r>
      <w:bookmarkEnd w:id="5"/>
      <w:bookmarkEnd w:id="6"/>
    </w:p>
    <w:p w:rsidR="00592679" w:rsidRPr="00305B1F" w:rsidRDefault="00592679" w:rsidP="00592679">
      <w:pPr>
        <w:contextualSpacing/>
        <w:rPr>
          <w:color w:val="000000" w:themeColor="text1"/>
          <w:spacing w:val="-2"/>
        </w:rPr>
      </w:pPr>
      <w:r>
        <w:rPr>
          <w:bCs/>
          <w:color w:val="000000" w:themeColor="text1"/>
          <w:lang w:val="en-GB"/>
        </w:rPr>
        <w:t>Subgrade construction</w:t>
      </w:r>
      <w:r w:rsidRPr="00305B1F">
        <w:rPr>
          <w:bCs/>
          <w:color w:val="000000" w:themeColor="text1"/>
          <w:lang w:val="en-GB"/>
        </w:rPr>
        <w:t xml:space="preserve"> shall be compatible with the provisions of all DIER standard specifications for Design, Construction and Maintenance in particular</w:t>
      </w:r>
      <w:r w:rsidRPr="00305B1F">
        <w:rPr>
          <w:color w:val="000000" w:themeColor="text1"/>
          <w:spacing w:val="-2"/>
        </w:rPr>
        <w:t>:</w:t>
      </w:r>
    </w:p>
    <w:p w:rsidR="00592679" w:rsidRPr="00C60DBA" w:rsidRDefault="00592679" w:rsidP="00C60DBA">
      <w:pPr>
        <w:pStyle w:val="ListParagraph"/>
        <w:numPr>
          <w:ilvl w:val="0"/>
          <w:numId w:val="2"/>
        </w:numPr>
        <w:ind w:left="851" w:hanging="284"/>
        <w:rPr>
          <w:color w:val="000000" w:themeColor="text1"/>
          <w:spacing w:val="-2"/>
        </w:rPr>
      </w:pPr>
      <w:r w:rsidRPr="00C60DBA">
        <w:rPr>
          <w:color w:val="000000" w:themeColor="text1"/>
          <w:spacing w:val="-2"/>
        </w:rPr>
        <w:t>G1 - General Provision</w:t>
      </w:r>
    </w:p>
    <w:p w:rsidR="00592679" w:rsidRPr="00C60DBA" w:rsidRDefault="00F21174" w:rsidP="00C60DBA">
      <w:pPr>
        <w:pStyle w:val="ListParagraph"/>
        <w:numPr>
          <w:ilvl w:val="0"/>
          <w:numId w:val="2"/>
        </w:numPr>
        <w:ind w:left="851" w:hanging="284"/>
        <w:rPr>
          <w:color w:val="000000" w:themeColor="text1"/>
          <w:spacing w:val="-2"/>
        </w:rPr>
      </w:pPr>
      <w:r>
        <w:rPr>
          <w:color w:val="000000" w:themeColor="text1"/>
          <w:spacing w:val="-2"/>
        </w:rPr>
        <w:t xml:space="preserve">G2 - </w:t>
      </w:r>
      <w:r w:rsidR="00592679" w:rsidRPr="00C60DBA">
        <w:rPr>
          <w:color w:val="000000" w:themeColor="text1"/>
          <w:spacing w:val="-2"/>
        </w:rPr>
        <w:t>Contract Management Plan</w:t>
      </w:r>
    </w:p>
    <w:p w:rsidR="00592679" w:rsidRDefault="00592679" w:rsidP="00C60DBA">
      <w:pPr>
        <w:pStyle w:val="ListParagraph"/>
        <w:numPr>
          <w:ilvl w:val="0"/>
          <w:numId w:val="2"/>
        </w:numPr>
        <w:ind w:left="851" w:hanging="284"/>
        <w:rPr>
          <w:color w:val="000000" w:themeColor="text1"/>
          <w:spacing w:val="-2"/>
        </w:rPr>
      </w:pPr>
      <w:r w:rsidRPr="00C60DBA">
        <w:rPr>
          <w:color w:val="000000" w:themeColor="text1"/>
          <w:spacing w:val="-2"/>
        </w:rPr>
        <w:t>G3 - Traffic Management</w:t>
      </w:r>
    </w:p>
    <w:p w:rsidR="005F138E" w:rsidRPr="009273DE" w:rsidRDefault="005F138E" w:rsidP="00C60DBA">
      <w:pPr>
        <w:pStyle w:val="ListParagraph"/>
        <w:numPr>
          <w:ilvl w:val="0"/>
          <w:numId w:val="2"/>
        </w:numPr>
        <w:ind w:left="851" w:hanging="284"/>
        <w:rPr>
          <w:spacing w:val="-2"/>
        </w:rPr>
      </w:pPr>
      <w:r w:rsidRPr="009273DE">
        <w:rPr>
          <w:spacing w:val="-2"/>
        </w:rPr>
        <w:t>G4 - Compaction Assessment</w:t>
      </w:r>
    </w:p>
    <w:p w:rsidR="00592679" w:rsidRPr="00C60DBA" w:rsidRDefault="00592679" w:rsidP="00C60DBA">
      <w:pPr>
        <w:pStyle w:val="ListParagraph"/>
        <w:numPr>
          <w:ilvl w:val="0"/>
          <w:numId w:val="2"/>
        </w:numPr>
        <w:ind w:left="851" w:hanging="284"/>
        <w:rPr>
          <w:color w:val="000000" w:themeColor="text1"/>
          <w:spacing w:val="-2"/>
        </w:rPr>
      </w:pPr>
      <w:r w:rsidRPr="00C60DBA">
        <w:rPr>
          <w:color w:val="000000" w:themeColor="text1"/>
          <w:spacing w:val="-2"/>
        </w:rPr>
        <w:t xml:space="preserve">G6 - </w:t>
      </w:r>
      <w:r>
        <w:t>Production of Aggregate and Rock Products</w:t>
      </w:r>
    </w:p>
    <w:p w:rsidR="00592679" w:rsidRPr="00C60DBA" w:rsidRDefault="00592679" w:rsidP="00C60DBA">
      <w:pPr>
        <w:pStyle w:val="ListParagraph"/>
        <w:numPr>
          <w:ilvl w:val="0"/>
          <w:numId w:val="2"/>
        </w:numPr>
        <w:ind w:left="851" w:hanging="284"/>
        <w:rPr>
          <w:color w:val="000000" w:themeColor="text1"/>
          <w:spacing w:val="-2"/>
        </w:rPr>
      </w:pPr>
      <w:r w:rsidRPr="00C60DBA">
        <w:rPr>
          <w:color w:val="000000" w:themeColor="text1"/>
          <w:spacing w:val="-2"/>
        </w:rPr>
        <w:t>G9 - Product Quality</w:t>
      </w:r>
    </w:p>
    <w:p w:rsidR="00592679" w:rsidRPr="00C60DBA" w:rsidRDefault="00592679" w:rsidP="00C60DBA">
      <w:pPr>
        <w:pStyle w:val="ListParagraph"/>
        <w:numPr>
          <w:ilvl w:val="0"/>
          <w:numId w:val="2"/>
        </w:numPr>
        <w:ind w:left="851" w:hanging="284"/>
        <w:rPr>
          <w:color w:val="000000" w:themeColor="text1"/>
          <w:spacing w:val="-2"/>
        </w:rPr>
      </w:pPr>
      <w:r w:rsidRPr="00C60DBA">
        <w:rPr>
          <w:color w:val="000000" w:themeColor="text1"/>
          <w:spacing w:val="-2"/>
        </w:rPr>
        <w:t>G8 - Construction Survey</w:t>
      </w:r>
    </w:p>
    <w:p w:rsidR="00592679" w:rsidRPr="00C60DBA" w:rsidRDefault="00592679" w:rsidP="00C60DBA">
      <w:pPr>
        <w:pStyle w:val="ListParagraph"/>
        <w:numPr>
          <w:ilvl w:val="0"/>
          <w:numId w:val="2"/>
        </w:numPr>
        <w:ind w:left="851" w:hanging="284"/>
        <w:rPr>
          <w:color w:val="000000" w:themeColor="text1"/>
          <w:spacing w:val="-2"/>
        </w:rPr>
      </w:pPr>
      <w:r w:rsidRPr="00C60DBA">
        <w:rPr>
          <w:color w:val="000000" w:themeColor="text1"/>
          <w:spacing w:val="-2"/>
        </w:rPr>
        <w:t>R22 - Earthworks</w:t>
      </w:r>
    </w:p>
    <w:p w:rsidR="00592679" w:rsidRDefault="00592679" w:rsidP="00592679">
      <w:pPr>
        <w:contextualSpacing/>
      </w:pPr>
    </w:p>
    <w:p w:rsidR="00592679" w:rsidRDefault="00592679" w:rsidP="00592679">
      <w:pPr>
        <w:contextualSpacing/>
      </w:pPr>
      <w:r>
        <w:t>Subgrade construction shall also be compatible with a number of Australian Standards and Austroads Guides:</w:t>
      </w:r>
    </w:p>
    <w:p w:rsidR="00F9262A" w:rsidRPr="009A1EDC" w:rsidRDefault="00F9262A" w:rsidP="00592679">
      <w:pPr>
        <w:contextualSpacing/>
      </w:pPr>
    </w:p>
    <w:p w:rsidR="00592679" w:rsidRPr="00E543A8" w:rsidRDefault="00592679" w:rsidP="00592679">
      <w:pPr>
        <w:contextualSpacing/>
        <w:rPr>
          <w:i/>
        </w:rPr>
      </w:pPr>
      <w:r w:rsidRPr="00E543A8">
        <w:rPr>
          <w:i/>
        </w:rPr>
        <w:t>Australian Standards</w:t>
      </w:r>
    </w:p>
    <w:p w:rsidR="00592679" w:rsidRPr="00392F6F" w:rsidRDefault="00592679" w:rsidP="00C60DBA">
      <w:pPr>
        <w:pStyle w:val="ListParagraph"/>
        <w:numPr>
          <w:ilvl w:val="0"/>
          <w:numId w:val="3"/>
        </w:numPr>
        <w:ind w:left="851" w:hanging="284"/>
      </w:pPr>
      <w:r w:rsidRPr="00392F6F">
        <w:t>AS 1348 – Road and Traffic Engineering – Glossary of Terms</w:t>
      </w:r>
    </w:p>
    <w:p w:rsidR="00592679" w:rsidRPr="000253D5" w:rsidRDefault="00592679" w:rsidP="00C60DBA">
      <w:pPr>
        <w:pStyle w:val="ListParagraph"/>
        <w:numPr>
          <w:ilvl w:val="0"/>
          <w:numId w:val="3"/>
        </w:numPr>
        <w:ind w:left="851" w:hanging="284"/>
      </w:pPr>
      <w:r w:rsidRPr="00392F6F">
        <w:t xml:space="preserve">AS </w:t>
      </w:r>
      <w:r>
        <w:t>1289.6</w:t>
      </w:r>
      <w:r w:rsidRPr="00392F6F">
        <w:t xml:space="preserve"> – </w:t>
      </w:r>
      <w:r>
        <w:t>Methods for Testing Soils for Engineering Purposes.</w:t>
      </w:r>
    </w:p>
    <w:p w:rsidR="00592679" w:rsidRDefault="00592679" w:rsidP="00592679">
      <w:pPr>
        <w:contextualSpacing/>
        <w:rPr>
          <w:i/>
        </w:rPr>
      </w:pPr>
    </w:p>
    <w:p w:rsidR="00592679" w:rsidRPr="00E543A8" w:rsidRDefault="00592679" w:rsidP="00592679">
      <w:pPr>
        <w:contextualSpacing/>
        <w:rPr>
          <w:i/>
        </w:rPr>
      </w:pPr>
      <w:r w:rsidRPr="00E543A8">
        <w:rPr>
          <w:i/>
        </w:rPr>
        <w:t>Austroads Guide to Pavement Technology</w:t>
      </w:r>
    </w:p>
    <w:p w:rsidR="00592679" w:rsidRDefault="00592679" w:rsidP="00C60DBA">
      <w:pPr>
        <w:pStyle w:val="ListParagraph"/>
        <w:numPr>
          <w:ilvl w:val="0"/>
          <w:numId w:val="4"/>
        </w:numPr>
        <w:ind w:left="851" w:hanging="284"/>
      </w:pPr>
      <w:r>
        <w:t>Part 2 – Pavement Structural Design</w:t>
      </w:r>
    </w:p>
    <w:p w:rsidR="00592679" w:rsidRDefault="00592679" w:rsidP="00C60DBA">
      <w:pPr>
        <w:pStyle w:val="ListParagraph"/>
        <w:numPr>
          <w:ilvl w:val="0"/>
          <w:numId w:val="4"/>
        </w:numPr>
        <w:ind w:left="851" w:hanging="284"/>
      </w:pPr>
      <w:r>
        <w:t>Part 4 – Pavement Materials</w:t>
      </w:r>
    </w:p>
    <w:p w:rsidR="00592679" w:rsidRDefault="00592679" w:rsidP="00C60DBA">
      <w:pPr>
        <w:pStyle w:val="ListParagraph"/>
        <w:numPr>
          <w:ilvl w:val="0"/>
          <w:numId w:val="4"/>
        </w:numPr>
        <w:ind w:left="851" w:hanging="284"/>
      </w:pPr>
      <w:r w:rsidRPr="009273DE">
        <w:t>Part 4</w:t>
      </w:r>
      <w:r w:rsidR="005F138E" w:rsidRPr="009273DE">
        <w:t>I</w:t>
      </w:r>
      <w:r w:rsidRPr="009273DE">
        <w:t xml:space="preserve"> – Earthworks</w:t>
      </w:r>
      <w:r>
        <w:t xml:space="preserve"> Materials</w:t>
      </w:r>
    </w:p>
    <w:p w:rsidR="00592679" w:rsidRPr="00392F6F" w:rsidRDefault="00592679" w:rsidP="00C60DBA">
      <w:pPr>
        <w:pStyle w:val="ListParagraph"/>
        <w:numPr>
          <w:ilvl w:val="0"/>
          <w:numId w:val="4"/>
        </w:numPr>
        <w:ind w:left="851" w:hanging="284"/>
      </w:pPr>
      <w:r w:rsidRPr="00392F6F">
        <w:t xml:space="preserve">Part </w:t>
      </w:r>
      <w:r>
        <w:t>5</w:t>
      </w:r>
      <w:r w:rsidRPr="00392F6F">
        <w:t xml:space="preserve"> – </w:t>
      </w:r>
      <w:r>
        <w:t>Pavement Evaluation and Treatment Design.</w:t>
      </w:r>
    </w:p>
    <w:p w:rsidR="00592679" w:rsidRDefault="00592679" w:rsidP="00592679">
      <w:pPr>
        <w:contextualSpacing/>
      </w:pPr>
      <w:bookmarkStart w:id="7" w:name="_Toc287006284"/>
    </w:p>
    <w:p w:rsidR="00592679" w:rsidRDefault="00592679" w:rsidP="00592679">
      <w:pPr>
        <w:pStyle w:val="Heading1"/>
      </w:pPr>
      <w:bookmarkStart w:id="8" w:name="_Toc357777203"/>
      <w:r>
        <w:t>r23.4</w:t>
      </w:r>
      <w:r>
        <w:tab/>
        <w:t>definitions</w:t>
      </w:r>
      <w:bookmarkEnd w:id="7"/>
      <w:bookmarkEnd w:id="8"/>
    </w:p>
    <w:p w:rsidR="00592679" w:rsidRDefault="00592679" w:rsidP="00592679">
      <w:pPr>
        <w:contextualSpacing/>
      </w:pPr>
      <w:r>
        <w:t xml:space="preserve">Further to the documents referred to in </w:t>
      </w:r>
      <w:r w:rsidRPr="00D150CC">
        <w:rPr>
          <w:i/>
        </w:rPr>
        <w:t>Clause R23.3 References and Standards</w:t>
      </w:r>
      <w:r>
        <w:t xml:space="preserve"> the following definitions shall apply:</w:t>
      </w:r>
    </w:p>
    <w:p w:rsidR="00592679" w:rsidRDefault="00592679" w:rsidP="00592679">
      <w:pPr>
        <w:contextualSpacing/>
      </w:pPr>
    </w:p>
    <w:p w:rsidR="00592679" w:rsidRDefault="00592679" w:rsidP="00592679">
      <w:pPr>
        <w:contextualSpacing/>
      </w:pPr>
      <w:r w:rsidRPr="00D150CC">
        <w:rPr>
          <w:i/>
        </w:rPr>
        <w:t>Formation</w:t>
      </w:r>
      <w:r>
        <w:t xml:space="preserve"> - the surface of the finished earthworks, excluding cut and fill batters.</w:t>
      </w:r>
    </w:p>
    <w:p w:rsidR="00C60DBA" w:rsidRPr="009273DE" w:rsidRDefault="005F138E" w:rsidP="009273DE">
      <w:pPr>
        <w:ind w:left="567"/>
        <w:contextualSpacing/>
        <w:rPr>
          <w:i/>
        </w:rPr>
      </w:pPr>
      <w:r w:rsidRPr="009273DE">
        <w:rPr>
          <w:i/>
          <w:u w:val="single"/>
        </w:rPr>
        <w:t>Note:</w:t>
      </w:r>
      <w:r w:rsidRPr="009273DE">
        <w:rPr>
          <w:i/>
        </w:rPr>
        <w:t xml:space="preserve"> the location of the formation relative to the subgrade is different for pavements constructed in cut and fill.</w:t>
      </w:r>
    </w:p>
    <w:p w:rsidR="00C60DBA" w:rsidRDefault="00C60DBA" w:rsidP="00592679">
      <w:pPr>
        <w:contextualSpacing/>
      </w:pPr>
    </w:p>
    <w:p w:rsidR="00592679" w:rsidRDefault="00592679" w:rsidP="00592679">
      <w:pPr>
        <w:contextualSpacing/>
      </w:pPr>
      <w:r w:rsidRPr="00D150CC">
        <w:rPr>
          <w:i/>
        </w:rPr>
        <w:t>Subgrade</w:t>
      </w:r>
      <w:r>
        <w:t xml:space="preserve"> – the </w:t>
      </w:r>
      <w:r w:rsidRPr="009273DE">
        <w:t xml:space="preserve">trimmed </w:t>
      </w:r>
      <w:r w:rsidR="005F138E" w:rsidRPr="009273DE">
        <w:t xml:space="preserve">or </w:t>
      </w:r>
      <w:r w:rsidRPr="009273DE">
        <w:t>prepared</w:t>
      </w:r>
      <w:r>
        <w:t xml:space="preserve"> portion of the formation on which the pavement is constructed.</w:t>
      </w:r>
    </w:p>
    <w:p w:rsidR="00C60DBA" w:rsidRDefault="00C60DBA" w:rsidP="00592679">
      <w:pPr>
        <w:contextualSpacing/>
      </w:pPr>
    </w:p>
    <w:p w:rsidR="00592679" w:rsidRPr="009273DE" w:rsidRDefault="00592679" w:rsidP="00592679">
      <w:pPr>
        <w:contextualSpacing/>
      </w:pPr>
      <w:r w:rsidRPr="009273DE">
        <w:rPr>
          <w:i/>
        </w:rPr>
        <w:t>Subgrade Zone</w:t>
      </w:r>
      <w:r w:rsidRPr="009273DE">
        <w:t xml:space="preserve"> – </w:t>
      </w:r>
      <w:r w:rsidR="005F138E" w:rsidRPr="009273DE">
        <w:t xml:space="preserve">In a cutting, the subgrade zone </w:t>
      </w:r>
      <w:r w:rsidRPr="009273DE">
        <w:t xml:space="preserve">is the layer </w:t>
      </w:r>
      <w:r w:rsidRPr="009273DE">
        <w:rPr>
          <w:bCs/>
        </w:rPr>
        <w:t xml:space="preserve">200 </w:t>
      </w:r>
      <w:r w:rsidRPr="009273DE">
        <w:t xml:space="preserve">mm below </w:t>
      </w:r>
      <w:r w:rsidR="005F138E" w:rsidRPr="009273DE">
        <w:t xml:space="preserve">the </w:t>
      </w:r>
      <w:r w:rsidRPr="009273DE">
        <w:t>formation.</w:t>
      </w:r>
      <w:r w:rsidR="005F138E" w:rsidRPr="009273DE">
        <w:t xml:space="preserve">  In a fill, the subgrade zone is the nominal 200mm layer above the formation.  Refer to Figure R23.1.</w:t>
      </w:r>
    </w:p>
    <w:p w:rsidR="00C60DBA" w:rsidRDefault="00C60DBA" w:rsidP="00592679">
      <w:pPr>
        <w:contextualSpacing/>
      </w:pPr>
    </w:p>
    <w:p w:rsidR="00592679" w:rsidRDefault="00592679" w:rsidP="00592679">
      <w:pPr>
        <w:contextualSpacing/>
      </w:pPr>
      <w:r w:rsidRPr="00D150CC">
        <w:rPr>
          <w:i/>
        </w:rPr>
        <w:t>Unsuitable material</w:t>
      </w:r>
      <w:r>
        <w:t xml:space="preserve"> – material that is soft, excessively wet, unstable or otherwise not suitable for the specified purpose.</w:t>
      </w:r>
    </w:p>
    <w:p w:rsidR="00C60DBA" w:rsidRDefault="00C60DBA" w:rsidP="00592679">
      <w:pPr>
        <w:contextualSpacing/>
      </w:pPr>
    </w:p>
    <w:p w:rsidR="00592679" w:rsidRDefault="00592679" w:rsidP="00592679">
      <w:pPr>
        <w:contextualSpacing/>
      </w:pPr>
      <w:r w:rsidRPr="00D150CC">
        <w:rPr>
          <w:i/>
        </w:rPr>
        <w:t>Lot</w:t>
      </w:r>
      <w:r>
        <w:t xml:space="preserve"> - a uniform piece of work brought to completion at the same time, using identical materials and construction practices.  Cuts and fills shall not be included in the same lot.</w:t>
      </w:r>
    </w:p>
    <w:p w:rsidR="00C60DBA" w:rsidRDefault="00C60DBA" w:rsidP="00592679">
      <w:pPr>
        <w:contextualSpacing/>
      </w:pPr>
    </w:p>
    <w:p w:rsidR="00592679" w:rsidRDefault="00592679" w:rsidP="00592679">
      <w:pPr>
        <w:contextualSpacing/>
      </w:pPr>
      <w:r>
        <w:rPr>
          <w:i/>
        </w:rPr>
        <w:t>Representative CBR</w:t>
      </w:r>
      <w:r w:rsidRPr="00820822">
        <w:t>-</w:t>
      </w:r>
      <w:r>
        <w:t xml:space="preserve"> A value determined in accordance with this specification which is used to assess compliance with this specification.</w:t>
      </w:r>
    </w:p>
    <w:p w:rsidR="00C60DBA" w:rsidRDefault="00C60DBA" w:rsidP="00592679">
      <w:pPr>
        <w:contextualSpacing/>
      </w:pPr>
    </w:p>
    <w:p w:rsidR="00592679" w:rsidRDefault="00592679" w:rsidP="00592679">
      <w:pPr>
        <w:contextualSpacing/>
      </w:pPr>
      <w:r w:rsidRPr="00D150CC">
        <w:rPr>
          <w:i/>
        </w:rPr>
        <w:t>Rock</w:t>
      </w:r>
      <w:r>
        <w:t xml:space="preserve"> – as detailed in </w:t>
      </w:r>
      <w:r w:rsidRPr="00411E47">
        <w:rPr>
          <w:i/>
        </w:rPr>
        <w:t xml:space="preserve">Standard Specification Clause </w:t>
      </w:r>
      <w:r w:rsidR="005F138E" w:rsidRPr="009273DE">
        <w:rPr>
          <w:i/>
        </w:rPr>
        <w:t>R22.8.2</w:t>
      </w:r>
      <w:r w:rsidR="005F138E">
        <w:rPr>
          <w:i/>
          <w:color w:val="FF0000"/>
        </w:rPr>
        <w:t xml:space="preserve"> </w:t>
      </w:r>
      <w:r w:rsidRPr="0015389A">
        <w:rPr>
          <w:i/>
        </w:rPr>
        <w:t>Classification of Material</w:t>
      </w:r>
      <w:r>
        <w:t xml:space="preserve"> to be Excavated.</w:t>
      </w:r>
    </w:p>
    <w:p w:rsidR="00592679" w:rsidRDefault="00592679" w:rsidP="00592679">
      <w:pPr>
        <w:contextualSpacing/>
      </w:pPr>
    </w:p>
    <w:p w:rsidR="00592679" w:rsidRPr="005F138E" w:rsidRDefault="00592679" w:rsidP="005F138E">
      <w:pPr>
        <w:pStyle w:val="Heading4"/>
        <w:jc w:val="center"/>
        <w:rPr>
          <w:i/>
        </w:rPr>
      </w:pPr>
      <w:r w:rsidRPr="00F9262A">
        <w:rPr>
          <w:i/>
        </w:rPr>
        <w:t xml:space="preserve">Figure R23.1 </w:t>
      </w:r>
      <w:r w:rsidR="00F9262A">
        <w:rPr>
          <w:i/>
        </w:rPr>
        <w:t xml:space="preserve">– </w:t>
      </w:r>
      <w:r w:rsidRPr="00F9262A">
        <w:rPr>
          <w:i/>
          <w:lang w:val="en-US"/>
        </w:rPr>
        <w:t xml:space="preserve">Typical </w:t>
      </w:r>
      <w:r w:rsidRPr="00F9262A">
        <w:rPr>
          <w:i/>
        </w:rPr>
        <w:t>Subgrade Zone and Pavement Widening</w:t>
      </w:r>
      <w:bookmarkStart w:id="9" w:name="_Toc287006285"/>
    </w:p>
    <w:p w:rsidR="00592679" w:rsidRDefault="005F138E" w:rsidP="00592679">
      <w:pPr>
        <w:contextualSpacing/>
      </w:pPr>
      <w:r w:rsidRPr="005F138E">
        <w:rPr>
          <w:noProof/>
          <w:lang w:eastAsia="en-AU"/>
        </w:rPr>
        <w:drawing>
          <wp:inline distT="0" distB="0" distL="0" distR="0">
            <wp:extent cx="6120765" cy="3435874"/>
            <wp:effectExtent l="19050" t="0" r="0" b="0"/>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srcRect/>
                    <a:stretch>
                      <a:fillRect/>
                    </a:stretch>
                  </pic:blipFill>
                  <pic:spPr bwMode="auto">
                    <a:xfrm>
                      <a:off x="0" y="0"/>
                      <a:ext cx="6120765" cy="3435874"/>
                    </a:xfrm>
                    <a:prstGeom prst="rect">
                      <a:avLst/>
                    </a:prstGeom>
                    <a:noFill/>
                    <a:ln w="9525">
                      <a:noFill/>
                      <a:miter lim="800000"/>
                      <a:headEnd/>
                      <a:tailEnd/>
                    </a:ln>
                  </pic:spPr>
                </pic:pic>
              </a:graphicData>
            </a:graphic>
          </wp:inline>
        </w:drawing>
      </w:r>
    </w:p>
    <w:p w:rsidR="00592679" w:rsidRDefault="00592679" w:rsidP="00592679">
      <w:pPr>
        <w:contextualSpacing/>
      </w:pPr>
    </w:p>
    <w:p w:rsidR="00592679" w:rsidRDefault="00592679" w:rsidP="00592679">
      <w:pPr>
        <w:pStyle w:val="Heading1"/>
      </w:pPr>
      <w:bookmarkStart w:id="10" w:name="_Toc357777204"/>
      <w:r>
        <w:t>r23.5</w:t>
      </w:r>
      <w:r>
        <w:tab/>
        <w:t>contract management plan</w:t>
      </w:r>
      <w:bookmarkEnd w:id="10"/>
      <w:r>
        <w:t xml:space="preserve"> </w:t>
      </w:r>
      <w:bookmarkEnd w:id="9"/>
    </w:p>
    <w:p w:rsidR="00592679" w:rsidRDefault="00592679" w:rsidP="00592679">
      <w:pPr>
        <w:contextualSpacing/>
      </w:pPr>
      <w:r>
        <w:t xml:space="preserve">Further to </w:t>
      </w:r>
      <w:r w:rsidRPr="005F7035">
        <w:rPr>
          <w:i/>
        </w:rPr>
        <w:t xml:space="preserve">Standard Specification </w:t>
      </w:r>
      <w:r>
        <w:rPr>
          <w:i/>
        </w:rPr>
        <w:t>G</w:t>
      </w:r>
      <w:r w:rsidRPr="005F7035">
        <w:rPr>
          <w:i/>
        </w:rPr>
        <w:t>2 Contract Management Plan,</w:t>
      </w:r>
      <w:r>
        <w:t xml:space="preserve"> the Contractor’s Contract Management Plan (CMP) shall include:</w:t>
      </w:r>
    </w:p>
    <w:p w:rsidR="00592679" w:rsidRDefault="00592679" w:rsidP="00C60DBA">
      <w:pPr>
        <w:pStyle w:val="ListParagraph"/>
        <w:numPr>
          <w:ilvl w:val="0"/>
          <w:numId w:val="5"/>
        </w:numPr>
        <w:ind w:left="851" w:hanging="284"/>
      </w:pPr>
      <w:r w:rsidRPr="00C60DBA">
        <w:rPr>
          <w:color w:val="000000"/>
        </w:rPr>
        <w:t xml:space="preserve">details of </w:t>
      </w:r>
      <w:r>
        <w:t>the equipment, rolling and inspection procedures to be used for proof rolling</w:t>
      </w:r>
    </w:p>
    <w:p w:rsidR="00592679" w:rsidRPr="0090654B" w:rsidRDefault="00592679" w:rsidP="00C60DBA">
      <w:pPr>
        <w:pStyle w:val="ListParagraph"/>
        <w:numPr>
          <w:ilvl w:val="0"/>
          <w:numId w:val="5"/>
        </w:numPr>
        <w:ind w:left="851" w:hanging="284"/>
      </w:pPr>
      <w:r>
        <w:t>c</w:t>
      </w:r>
      <w:r w:rsidRPr="0090654B">
        <w:t>ross references between lot numbers allocated and the unique product number.</w:t>
      </w:r>
    </w:p>
    <w:p w:rsidR="00592679" w:rsidRDefault="00592679" w:rsidP="00592679">
      <w:pPr>
        <w:contextualSpacing/>
      </w:pPr>
    </w:p>
    <w:p w:rsidR="00592679" w:rsidRDefault="00592679" w:rsidP="00592679">
      <w:pPr>
        <w:pStyle w:val="Heading1"/>
      </w:pPr>
      <w:bookmarkStart w:id="11" w:name="_Toc287006286"/>
      <w:bookmarkStart w:id="12" w:name="_Toc357777205"/>
      <w:r>
        <w:t>r23.6</w:t>
      </w:r>
      <w:r>
        <w:tab/>
        <w:t>materials</w:t>
      </w:r>
      <w:bookmarkEnd w:id="11"/>
      <w:bookmarkEnd w:id="12"/>
    </w:p>
    <w:p w:rsidR="00592679" w:rsidRDefault="00592679" w:rsidP="007855D8">
      <w:pPr>
        <w:pStyle w:val="Heading2"/>
      </w:pPr>
      <w:bookmarkStart w:id="13" w:name="_Toc287006287"/>
      <w:bookmarkStart w:id="14" w:name="_Toc357777206"/>
      <w:r>
        <w:t>R23.6.1</w:t>
      </w:r>
      <w:r>
        <w:tab/>
        <w:t>General</w:t>
      </w:r>
      <w:bookmarkEnd w:id="13"/>
      <w:bookmarkEnd w:id="14"/>
    </w:p>
    <w:p w:rsidR="00592679" w:rsidRDefault="00592679" w:rsidP="00592679">
      <w:pPr>
        <w:contextualSpacing/>
      </w:pPr>
      <w:r>
        <w:t>Materials for the subgrade zone shall:</w:t>
      </w:r>
    </w:p>
    <w:p w:rsidR="00592679" w:rsidRDefault="00592679" w:rsidP="00C60DBA">
      <w:pPr>
        <w:pStyle w:val="ListParagraph"/>
        <w:numPr>
          <w:ilvl w:val="0"/>
          <w:numId w:val="6"/>
        </w:numPr>
        <w:ind w:left="851" w:hanging="284"/>
      </w:pPr>
      <w:r>
        <w:t>be free of unsuitable materials, vegetative and other deleterious matter</w:t>
      </w:r>
    </w:p>
    <w:p w:rsidR="00592679" w:rsidRDefault="00592679" w:rsidP="00C60DBA">
      <w:pPr>
        <w:pStyle w:val="ListParagraph"/>
        <w:numPr>
          <w:ilvl w:val="0"/>
          <w:numId w:val="6"/>
        </w:numPr>
        <w:ind w:left="851" w:hanging="284"/>
      </w:pPr>
      <w:r>
        <w:t>have an assigned California Bearing Ratio (CBR) not less than that required by the Project Specification.</w:t>
      </w:r>
    </w:p>
    <w:p w:rsidR="00592679" w:rsidRDefault="00592679" w:rsidP="00592679">
      <w:pPr>
        <w:contextualSpacing/>
      </w:pPr>
    </w:p>
    <w:p w:rsidR="00592679" w:rsidRDefault="00592679" w:rsidP="007855D8">
      <w:pPr>
        <w:pStyle w:val="Heading2"/>
      </w:pPr>
      <w:bookmarkStart w:id="15" w:name="_Toc287006288"/>
      <w:bookmarkStart w:id="16" w:name="_Toc357777207"/>
      <w:r>
        <w:t>R23.6.2</w:t>
      </w:r>
      <w:r>
        <w:tab/>
        <w:t>Compliance Of Materials And Representative CBR</w:t>
      </w:r>
      <w:bookmarkEnd w:id="15"/>
      <w:bookmarkEnd w:id="16"/>
    </w:p>
    <w:p w:rsidR="00592679" w:rsidRPr="009273DE" w:rsidRDefault="00592679" w:rsidP="00592679">
      <w:pPr>
        <w:contextualSpacing/>
      </w:pPr>
      <w:r>
        <w:t xml:space="preserve">Unless specified elsewhere in this specification, compliance of materials and </w:t>
      </w:r>
      <w:r w:rsidRPr="009273DE">
        <w:t xml:space="preserve">the </w:t>
      </w:r>
      <w:r w:rsidR="005F138E" w:rsidRPr="009273DE">
        <w:t>R</w:t>
      </w:r>
      <w:r w:rsidRPr="009273DE">
        <w:t xml:space="preserve">epresentative CBR will be based on the soaked CBR determined by laboratory test </w:t>
      </w:r>
      <w:r w:rsidRPr="009273DE">
        <w:rPr>
          <w:i/>
        </w:rPr>
        <w:t>AS 1289.6.1.1</w:t>
      </w:r>
      <w:r w:rsidRPr="009273DE">
        <w:t>.  The CBR test shall be performed on samples compacted to a Dry Density Ratio of 100% (standard compaction) at a moisture content within ±10% of Optimum Moisture Content (OMC) and after a 4 day soak.</w:t>
      </w:r>
    </w:p>
    <w:p w:rsidR="005F138E" w:rsidRPr="009273DE" w:rsidRDefault="005F138E" w:rsidP="00592679">
      <w:pPr>
        <w:contextualSpacing/>
      </w:pPr>
    </w:p>
    <w:p w:rsidR="005F138E" w:rsidRPr="009273DE" w:rsidRDefault="005F138E" w:rsidP="00592679">
      <w:pPr>
        <w:contextualSpacing/>
      </w:pPr>
      <w:r w:rsidRPr="009273DE">
        <w:t>Laboratory testing shall be undertaken at the rate of 1 test for every 1000m</w:t>
      </w:r>
      <w:r w:rsidRPr="009273DE">
        <w:rPr>
          <w:vertAlign w:val="superscript"/>
        </w:rPr>
        <w:t>2</w:t>
      </w:r>
      <w:r w:rsidRPr="009273DE">
        <w:t xml:space="preserve"> of subgrade.</w:t>
      </w:r>
    </w:p>
    <w:p w:rsidR="00592679" w:rsidRDefault="00592679" w:rsidP="00592679">
      <w:pPr>
        <w:contextualSpacing/>
      </w:pPr>
    </w:p>
    <w:p w:rsidR="00592679" w:rsidRDefault="00592679" w:rsidP="00592679">
      <w:pPr>
        <w:contextualSpacing/>
      </w:pPr>
      <w:r>
        <w:t>Material passing the 53mm sieve but retained on the 19mm sieve may be replaced by material passing the 19mm sieve but retained on the 4.75mm sieve, provided that the amount replaced on a dry weight basis, shall not exceed:</w:t>
      </w:r>
    </w:p>
    <w:p w:rsidR="00592679" w:rsidRDefault="00592679" w:rsidP="00C60DBA">
      <w:pPr>
        <w:pStyle w:val="ListParagraph"/>
        <w:numPr>
          <w:ilvl w:val="0"/>
          <w:numId w:val="7"/>
        </w:numPr>
        <w:ind w:left="851" w:hanging="284"/>
      </w:pPr>
      <w:r>
        <w:t>the amount passing the 53mm sieve but retained on the 19mm sieve</w:t>
      </w:r>
    </w:p>
    <w:p w:rsidR="00592679" w:rsidRDefault="00592679" w:rsidP="00C60DBA">
      <w:pPr>
        <w:pStyle w:val="ListParagraph"/>
        <w:numPr>
          <w:ilvl w:val="0"/>
          <w:numId w:val="7"/>
        </w:numPr>
        <w:ind w:left="851" w:hanging="284"/>
      </w:pPr>
      <w:r>
        <w:t>25% of the portion passing the 19mm sieve.</w:t>
      </w:r>
    </w:p>
    <w:p w:rsidR="00592679" w:rsidRDefault="00592679" w:rsidP="00592679">
      <w:pPr>
        <w:contextualSpacing/>
      </w:pPr>
    </w:p>
    <w:p w:rsidR="00592679" w:rsidRDefault="00592679" w:rsidP="00592679">
      <w:pPr>
        <w:contextualSpacing/>
        <w:rPr>
          <w:b/>
          <w:i/>
        </w:rPr>
      </w:pPr>
      <w:r>
        <w:t xml:space="preserve">Materials with more than 20% retained on the 37.5mm sieve are not required to be tested by the soaked CBR test method.  </w:t>
      </w:r>
      <w:r w:rsidRPr="008E684E">
        <w:t xml:space="preserve">The </w:t>
      </w:r>
      <w:r w:rsidR="005F138E" w:rsidRPr="008E684E">
        <w:t>R</w:t>
      </w:r>
      <w:r w:rsidRPr="008E684E">
        <w:t>epresentative</w:t>
      </w:r>
      <w:r>
        <w:t xml:space="preserve"> CBR shall be estimated from </w:t>
      </w:r>
      <w:r w:rsidRPr="0015389A">
        <w:rPr>
          <w:i/>
        </w:rPr>
        <w:t>Table R23.1</w:t>
      </w:r>
      <w:r w:rsidR="0015389A" w:rsidRPr="0015389A">
        <w:rPr>
          <w:i/>
        </w:rPr>
        <w:t xml:space="preserve"> – </w:t>
      </w:r>
      <w:r w:rsidRPr="0015389A">
        <w:rPr>
          <w:i/>
        </w:rPr>
        <w:t>Subgrade Zone</w:t>
      </w:r>
      <w:r w:rsidR="0015389A" w:rsidRPr="0015389A">
        <w:rPr>
          <w:i/>
        </w:rPr>
        <w:t xml:space="preserve"> </w:t>
      </w:r>
      <w:r w:rsidRPr="0015389A">
        <w:rPr>
          <w:i/>
        </w:rPr>
        <w:t>- Representative CBR Values</w:t>
      </w:r>
      <w:r>
        <w:rPr>
          <w:b/>
          <w:i/>
        </w:rPr>
        <w:t>.</w:t>
      </w:r>
    </w:p>
    <w:p w:rsidR="00F9262A" w:rsidRDefault="00F9262A" w:rsidP="00592679">
      <w:pPr>
        <w:contextualSpacing/>
      </w:pPr>
    </w:p>
    <w:p w:rsidR="00592679" w:rsidRPr="00F9262A" w:rsidRDefault="00592679" w:rsidP="00F9262A">
      <w:pPr>
        <w:pStyle w:val="Heading4"/>
        <w:jc w:val="center"/>
        <w:rPr>
          <w:i/>
        </w:rPr>
      </w:pPr>
      <w:r w:rsidRPr="00F9262A">
        <w:rPr>
          <w:i/>
        </w:rPr>
        <w:t>Table R23.1</w:t>
      </w:r>
      <w:r w:rsidR="00F9262A">
        <w:rPr>
          <w:i/>
        </w:rPr>
        <w:t xml:space="preserve"> – </w:t>
      </w:r>
      <w:r w:rsidRPr="00F9262A">
        <w:rPr>
          <w:i/>
        </w:rPr>
        <w:t>Subgrade Zone</w:t>
      </w:r>
      <w:r w:rsidR="00F9262A">
        <w:rPr>
          <w:i/>
        </w:rPr>
        <w:t xml:space="preserve"> </w:t>
      </w:r>
      <w:r w:rsidRPr="00F9262A">
        <w:rPr>
          <w:i/>
        </w:rPr>
        <w:t>- Representative CBR Values</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01"/>
        <w:gridCol w:w="2001"/>
        <w:gridCol w:w="2001"/>
        <w:gridCol w:w="2002"/>
      </w:tblGrid>
      <w:tr w:rsidR="00592679" w:rsidTr="004A7CD3">
        <w:trPr>
          <w:cantSplit/>
        </w:trPr>
        <w:tc>
          <w:tcPr>
            <w:tcW w:w="6003" w:type="dxa"/>
            <w:gridSpan w:val="3"/>
            <w:vAlign w:val="center"/>
          </w:tcPr>
          <w:p w:rsidR="00592679" w:rsidRDefault="00592679" w:rsidP="004A7CD3">
            <w:pPr>
              <w:pStyle w:val="Heading4"/>
              <w:spacing w:after="0"/>
              <w:jc w:val="center"/>
            </w:pPr>
            <w:r>
              <w:t>Property</w:t>
            </w:r>
          </w:p>
        </w:tc>
        <w:tc>
          <w:tcPr>
            <w:tcW w:w="2002" w:type="dxa"/>
            <w:vMerge w:val="restart"/>
            <w:vAlign w:val="center"/>
          </w:tcPr>
          <w:p w:rsidR="00592679" w:rsidRDefault="00592679" w:rsidP="004A7CD3">
            <w:pPr>
              <w:pStyle w:val="Heading4"/>
              <w:spacing w:after="0"/>
              <w:jc w:val="center"/>
            </w:pPr>
            <w:r>
              <w:t>Assigned CBR</w:t>
            </w:r>
          </w:p>
        </w:tc>
      </w:tr>
      <w:tr w:rsidR="00592679" w:rsidTr="004A7CD3">
        <w:trPr>
          <w:cantSplit/>
        </w:trPr>
        <w:tc>
          <w:tcPr>
            <w:tcW w:w="2001" w:type="dxa"/>
            <w:vAlign w:val="center"/>
          </w:tcPr>
          <w:p w:rsidR="00592679" w:rsidRDefault="00592679" w:rsidP="004A7CD3">
            <w:pPr>
              <w:pStyle w:val="Heading4"/>
              <w:spacing w:after="0"/>
              <w:jc w:val="center"/>
            </w:pPr>
            <w:r>
              <w:t>% passing 2.36 mm sieve</w:t>
            </w:r>
          </w:p>
        </w:tc>
        <w:tc>
          <w:tcPr>
            <w:tcW w:w="2001" w:type="dxa"/>
            <w:vAlign w:val="center"/>
          </w:tcPr>
          <w:p w:rsidR="00592679" w:rsidRDefault="00592679" w:rsidP="004A7CD3">
            <w:pPr>
              <w:pStyle w:val="Heading4"/>
              <w:spacing w:after="0"/>
              <w:jc w:val="center"/>
            </w:pPr>
            <w:r>
              <w:t>% passing 19 mm sieve</w:t>
            </w:r>
          </w:p>
        </w:tc>
        <w:tc>
          <w:tcPr>
            <w:tcW w:w="2001" w:type="dxa"/>
            <w:vAlign w:val="center"/>
          </w:tcPr>
          <w:p w:rsidR="00592679" w:rsidRDefault="00592679" w:rsidP="004A7CD3">
            <w:pPr>
              <w:pStyle w:val="Heading4"/>
              <w:spacing w:after="0"/>
              <w:jc w:val="center"/>
            </w:pPr>
            <w:r>
              <w:t>Liquid limit</w:t>
            </w:r>
          </w:p>
        </w:tc>
        <w:tc>
          <w:tcPr>
            <w:tcW w:w="2002" w:type="dxa"/>
            <w:vMerge/>
            <w:vAlign w:val="center"/>
          </w:tcPr>
          <w:p w:rsidR="00592679" w:rsidRDefault="00592679" w:rsidP="004A7CD3">
            <w:pPr>
              <w:pStyle w:val="Heading4"/>
              <w:spacing w:after="0"/>
              <w:jc w:val="center"/>
            </w:pPr>
          </w:p>
        </w:tc>
      </w:tr>
      <w:tr w:rsidR="00592679" w:rsidTr="00EF6E43">
        <w:tc>
          <w:tcPr>
            <w:tcW w:w="2001" w:type="dxa"/>
            <w:vAlign w:val="center"/>
          </w:tcPr>
          <w:p w:rsidR="00592679" w:rsidRDefault="00592679" w:rsidP="00EF6E43">
            <w:pPr>
              <w:spacing w:after="0"/>
              <w:contextualSpacing/>
              <w:jc w:val="center"/>
            </w:pPr>
            <w:r>
              <w:t>&gt;35</w:t>
            </w:r>
          </w:p>
        </w:tc>
        <w:tc>
          <w:tcPr>
            <w:tcW w:w="2001" w:type="dxa"/>
            <w:vAlign w:val="center"/>
          </w:tcPr>
          <w:p w:rsidR="00592679" w:rsidRDefault="00592679" w:rsidP="00EF6E43">
            <w:pPr>
              <w:spacing w:after="0"/>
              <w:contextualSpacing/>
              <w:jc w:val="center"/>
            </w:pPr>
            <w:r>
              <w:t>&lt; 70</w:t>
            </w:r>
          </w:p>
        </w:tc>
        <w:tc>
          <w:tcPr>
            <w:tcW w:w="2001" w:type="dxa"/>
            <w:vAlign w:val="center"/>
          </w:tcPr>
          <w:p w:rsidR="00592679" w:rsidRDefault="00592679" w:rsidP="00EF6E43">
            <w:pPr>
              <w:spacing w:after="0"/>
              <w:contextualSpacing/>
              <w:jc w:val="center"/>
            </w:pPr>
            <w:r>
              <w:t>&lt;55</w:t>
            </w:r>
          </w:p>
        </w:tc>
        <w:tc>
          <w:tcPr>
            <w:tcW w:w="2002" w:type="dxa"/>
            <w:vAlign w:val="center"/>
          </w:tcPr>
          <w:p w:rsidR="00592679" w:rsidRDefault="00592679" w:rsidP="00EF6E43">
            <w:pPr>
              <w:spacing w:after="0"/>
              <w:contextualSpacing/>
              <w:jc w:val="center"/>
            </w:pPr>
            <w:r>
              <w:t>8</w:t>
            </w:r>
          </w:p>
        </w:tc>
      </w:tr>
      <w:tr w:rsidR="00592679" w:rsidTr="00EF6E43">
        <w:tc>
          <w:tcPr>
            <w:tcW w:w="2001" w:type="dxa"/>
            <w:vAlign w:val="center"/>
          </w:tcPr>
          <w:p w:rsidR="00592679" w:rsidRDefault="00592679" w:rsidP="00EF6E43">
            <w:pPr>
              <w:spacing w:after="0"/>
              <w:contextualSpacing/>
              <w:jc w:val="center"/>
            </w:pPr>
            <w:r>
              <w:t>&lt;35</w:t>
            </w:r>
          </w:p>
        </w:tc>
        <w:tc>
          <w:tcPr>
            <w:tcW w:w="2001" w:type="dxa"/>
            <w:vAlign w:val="center"/>
          </w:tcPr>
          <w:p w:rsidR="00592679" w:rsidRDefault="00592679" w:rsidP="00EF6E43">
            <w:pPr>
              <w:spacing w:after="0"/>
              <w:contextualSpacing/>
              <w:jc w:val="center"/>
            </w:pPr>
            <w:r>
              <w:t>&lt; 70</w:t>
            </w:r>
          </w:p>
        </w:tc>
        <w:tc>
          <w:tcPr>
            <w:tcW w:w="2001" w:type="dxa"/>
            <w:vAlign w:val="center"/>
          </w:tcPr>
          <w:p w:rsidR="00592679" w:rsidRDefault="00592679" w:rsidP="00EF6E43">
            <w:pPr>
              <w:spacing w:after="0"/>
              <w:contextualSpacing/>
              <w:jc w:val="center"/>
            </w:pPr>
            <w:r>
              <w:t>&lt;55</w:t>
            </w:r>
          </w:p>
        </w:tc>
        <w:tc>
          <w:tcPr>
            <w:tcW w:w="2002" w:type="dxa"/>
            <w:vAlign w:val="center"/>
          </w:tcPr>
          <w:p w:rsidR="00592679" w:rsidRDefault="00592679" w:rsidP="00EF6E43">
            <w:pPr>
              <w:spacing w:after="0"/>
              <w:contextualSpacing/>
              <w:jc w:val="center"/>
            </w:pPr>
            <w:r>
              <w:t>10</w:t>
            </w:r>
          </w:p>
        </w:tc>
      </w:tr>
      <w:tr w:rsidR="00592679" w:rsidTr="00EF6E43">
        <w:tc>
          <w:tcPr>
            <w:tcW w:w="2001" w:type="dxa"/>
            <w:vAlign w:val="center"/>
          </w:tcPr>
          <w:p w:rsidR="00592679" w:rsidRDefault="00592679" w:rsidP="00EF6E43">
            <w:pPr>
              <w:spacing w:after="0"/>
              <w:contextualSpacing/>
              <w:jc w:val="center"/>
            </w:pPr>
            <w:r>
              <w:t>&lt; 10</w:t>
            </w:r>
          </w:p>
        </w:tc>
        <w:tc>
          <w:tcPr>
            <w:tcW w:w="2001" w:type="dxa"/>
            <w:vAlign w:val="center"/>
          </w:tcPr>
          <w:p w:rsidR="00592679" w:rsidRDefault="00592679" w:rsidP="00EF6E43">
            <w:pPr>
              <w:spacing w:after="0"/>
              <w:contextualSpacing/>
              <w:jc w:val="center"/>
            </w:pPr>
            <w:r>
              <w:t>&lt; 40</w:t>
            </w:r>
          </w:p>
        </w:tc>
        <w:tc>
          <w:tcPr>
            <w:tcW w:w="2001" w:type="dxa"/>
            <w:vAlign w:val="center"/>
          </w:tcPr>
          <w:p w:rsidR="00592679" w:rsidRDefault="00592679" w:rsidP="00EF6E43">
            <w:pPr>
              <w:spacing w:after="0"/>
              <w:contextualSpacing/>
              <w:jc w:val="center"/>
            </w:pPr>
            <w:r>
              <w:t>No requirement</w:t>
            </w:r>
          </w:p>
        </w:tc>
        <w:tc>
          <w:tcPr>
            <w:tcW w:w="2002" w:type="dxa"/>
            <w:vAlign w:val="center"/>
          </w:tcPr>
          <w:p w:rsidR="00592679" w:rsidRDefault="00592679" w:rsidP="00EF6E43">
            <w:pPr>
              <w:spacing w:after="0"/>
              <w:contextualSpacing/>
              <w:jc w:val="center"/>
            </w:pPr>
            <w:r>
              <w:t>15</w:t>
            </w:r>
          </w:p>
        </w:tc>
      </w:tr>
    </w:tbl>
    <w:p w:rsidR="00592679" w:rsidRDefault="00592679" w:rsidP="00592679">
      <w:pPr>
        <w:contextualSpacing/>
      </w:pPr>
    </w:p>
    <w:p w:rsidR="00592679" w:rsidRDefault="00592679" w:rsidP="00592679">
      <w:pPr>
        <w:contextualSpacing/>
      </w:pPr>
      <w:r>
        <w:t>The</w:t>
      </w:r>
      <w:r w:rsidRPr="009273DE">
        <w:t xml:space="preserve"> </w:t>
      </w:r>
      <w:r w:rsidR="005F138E" w:rsidRPr="009273DE">
        <w:t>R</w:t>
      </w:r>
      <w:r w:rsidRPr="009273DE">
        <w:t>epresentative</w:t>
      </w:r>
      <w:r>
        <w:t xml:space="preserve"> CBR of materials complying with Subbase 2 of </w:t>
      </w:r>
      <w:r w:rsidRPr="007A5E98">
        <w:rPr>
          <w:i/>
        </w:rPr>
        <w:t>Standard Specification R40 Pavement Base and Subbase</w:t>
      </w:r>
      <w:r>
        <w:t xml:space="preserve"> is 15.</w:t>
      </w:r>
    </w:p>
    <w:p w:rsidR="00592679" w:rsidRDefault="00592679" w:rsidP="00592679">
      <w:pPr>
        <w:contextualSpacing/>
      </w:pPr>
    </w:p>
    <w:p w:rsidR="00592679" w:rsidRDefault="00592679" w:rsidP="007855D8">
      <w:pPr>
        <w:pStyle w:val="Heading2"/>
      </w:pPr>
      <w:bookmarkStart w:id="17" w:name="_Toc287006289"/>
      <w:bookmarkStart w:id="18" w:name="_Toc357777208"/>
      <w:r>
        <w:t>R23.6.3</w:t>
      </w:r>
      <w:r>
        <w:tab/>
        <w:t>Imported Materials for Subgrade Zone</w:t>
      </w:r>
      <w:bookmarkEnd w:id="17"/>
      <w:bookmarkEnd w:id="18"/>
    </w:p>
    <w:p w:rsidR="00592679" w:rsidRDefault="00592679" w:rsidP="00592679">
      <w:pPr>
        <w:contextualSpacing/>
      </w:pPr>
      <w:r>
        <w:t>The following applies to materials imported onto the project from an external source or from a source within the project.  Materials not complying with this specification shall not be imported.</w:t>
      </w:r>
      <w:r w:rsidRPr="00B90156">
        <w:t xml:space="preserve"> </w:t>
      </w:r>
    </w:p>
    <w:p w:rsidR="00592679" w:rsidRDefault="00592679" w:rsidP="00592679">
      <w:pPr>
        <w:contextualSpacing/>
      </w:pPr>
    </w:p>
    <w:p w:rsidR="00592679" w:rsidRDefault="00592679" w:rsidP="00592679">
      <w:pPr>
        <w:contextualSpacing/>
      </w:pPr>
      <w:r>
        <w:t>The maximum particle size of imported material after breakdown in place shall not exceed 100 mm.</w:t>
      </w:r>
    </w:p>
    <w:p w:rsidR="00592679" w:rsidRDefault="00592679" w:rsidP="00592679">
      <w:pPr>
        <w:contextualSpacing/>
      </w:pPr>
    </w:p>
    <w:p w:rsidR="00592679" w:rsidRDefault="00592679" w:rsidP="00592679">
      <w:pPr>
        <w:contextualSpacing/>
      </w:pPr>
      <w:r>
        <w:t>The</w:t>
      </w:r>
      <w:r w:rsidRPr="009273DE">
        <w:t xml:space="preserve"> </w:t>
      </w:r>
      <w:r w:rsidR="005F138E" w:rsidRPr="009273DE">
        <w:t>R</w:t>
      </w:r>
      <w:r w:rsidRPr="009273DE">
        <w:t>epresentative</w:t>
      </w:r>
      <w:r>
        <w:t xml:space="preserve"> soaked CBR of imported materials shall equal or exceed the minimum CBR defined in the project specification.  If not defined in the project specification or elsewhere in this specification, the soaked CBR shall be equal to or exceed 5%.  </w:t>
      </w:r>
    </w:p>
    <w:p w:rsidR="00592679" w:rsidRDefault="00592679" w:rsidP="00592679">
      <w:pPr>
        <w:contextualSpacing/>
      </w:pPr>
    </w:p>
    <w:p w:rsidR="00592679" w:rsidRDefault="00592679" w:rsidP="00592679">
      <w:pPr>
        <w:contextualSpacing/>
      </w:pPr>
      <w:r>
        <w:t>Imported materials with the following properties shall be accepted as having a soaked CBR of 5%, when:</w:t>
      </w:r>
    </w:p>
    <w:p w:rsidR="00592679" w:rsidRDefault="00592679" w:rsidP="00C60DBA">
      <w:pPr>
        <w:pStyle w:val="ListParagraph"/>
        <w:numPr>
          <w:ilvl w:val="0"/>
          <w:numId w:val="8"/>
        </w:numPr>
        <w:ind w:left="851" w:hanging="284"/>
      </w:pPr>
      <w:r>
        <w:t>the product of the PI and % passing the 0.425mm sieve is less than or equals 1200, provided that the PI does not exceed 30 and the percentage passing the 0.075mm sieve does not exceed 40%</w:t>
      </w:r>
    </w:p>
    <w:p w:rsidR="00592679" w:rsidRDefault="00592679" w:rsidP="00C60DBA">
      <w:pPr>
        <w:pStyle w:val="ListParagraph"/>
        <w:numPr>
          <w:ilvl w:val="0"/>
          <w:numId w:val="8"/>
        </w:numPr>
        <w:ind w:left="851" w:hanging="284"/>
      </w:pPr>
      <w:r>
        <w:t xml:space="preserve">the material is classified under the Unified Classification Scheme as SW, GW, SP, GP, SM, GM (refer </w:t>
      </w:r>
      <w:r w:rsidRPr="0015389A">
        <w:rPr>
          <w:i/>
        </w:rPr>
        <w:t>Appendix R23</w:t>
      </w:r>
      <w:r w:rsidR="0015389A">
        <w:rPr>
          <w:i/>
        </w:rPr>
        <w:t>.</w:t>
      </w:r>
      <w:r w:rsidRPr="0015389A">
        <w:rPr>
          <w:i/>
        </w:rPr>
        <w:t>C</w:t>
      </w:r>
      <w:r>
        <w:t>).</w:t>
      </w:r>
    </w:p>
    <w:p w:rsidR="00592679" w:rsidRDefault="00592679" w:rsidP="00592679">
      <w:pPr>
        <w:contextualSpacing/>
      </w:pPr>
    </w:p>
    <w:p w:rsidR="00592679" w:rsidRDefault="00592679" w:rsidP="00592679">
      <w:pPr>
        <w:contextualSpacing/>
      </w:pPr>
      <w:r>
        <w:t>Prior to the use of an imported material, the Contractor shall provide the Superintendent with:</w:t>
      </w:r>
    </w:p>
    <w:p w:rsidR="00592679" w:rsidRDefault="00592679" w:rsidP="00C60DBA">
      <w:pPr>
        <w:pStyle w:val="ListParagraph"/>
        <w:numPr>
          <w:ilvl w:val="0"/>
          <w:numId w:val="9"/>
        </w:numPr>
        <w:ind w:left="851" w:hanging="284"/>
      </w:pPr>
      <w:r>
        <w:t xml:space="preserve">a report on the source of the material  </w:t>
      </w:r>
    </w:p>
    <w:p w:rsidR="00592679" w:rsidRDefault="00592679" w:rsidP="00C60DBA">
      <w:pPr>
        <w:pStyle w:val="ListParagraph"/>
        <w:numPr>
          <w:ilvl w:val="0"/>
          <w:numId w:val="9"/>
        </w:numPr>
        <w:ind w:left="851" w:hanging="284"/>
      </w:pPr>
      <w:r>
        <w:t xml:space="preserve">where the material is from an external source, </w:t>
      </w:r>
      <w:r w:rsidRPr="009273DE">
        <w:t xml:space="preserve">evidence </w:t>
      </w:r>
      <w:r w:rsidR="005F138E" w:rsidRPr="009273DE">
        <w:t xml:space="preserve">of </w:t>
      </w:r>
      <w:r w:rsidRPr="009273DE">
        <w:t>the necessary</w:t>
      </w:r>
      <w:r>
        <w:t xml:space="preserve"> permits and licences, in accordance with </w:t>
      </w:r>
      <w:r w:rsidRPr="00C60DBA">
        <w:rPr>
          <w:i/>
        </w:rPr>
        <w:t>Standard Specification G1 General Provisions Clause G1.6</w:t>
      </w:r>
    </w:p>
    <w:p w:rsidR="00592679" w:rsidRDefault="00592679" w:rsidP="00C60DBA">
      <w:pPr>
        <w:pStyle w:val="ListParagraph"/>
        <w:numPr>
          <w:ilvl w:val="0"/>
          <w:numId w:val="9"/>
        </w:numPr>
        <w:ind w:left="851" w:hanging="284"/>
      </w:pPr>
      <w:r>
        <w:lastRenderedPageBreak/>
        <w:t>test results as evidence of its likely compliance.  All tests from the intended source shall be provided</w:t>
      </w:r>
    </w:p>
    <w:p w:rsidR="00592679" w:rsidRDefault="00592679" w:rsidP="00C60DBA">
      <w:pPr>
        <w:pStyle w:val="ListParagraph"/>
        <w:numPr>
          <w:ilvl w:val="0"/>
          <w:numId w:val="9"/>
        </w:numPr>
        <w:ind w:left="851" w:hanging="284"/>
      </w:pPr>
      <w:r>
        <w:t>a reference sample</w:t>
      </w:r>
    </w:p>
    <w:p w:rsidR="00592679" w:rsidRDefault="00592679" w:rsidP="00C60DBA">
      <w:pPr>
        <w:pStyle w:val="ListParagraph"/>
        <w:numPr>
          <w:ilvl w:val="0"/>
          <w:numId w:val="9"/>
        </w:numPr>
        <w:ind w:left="851" w:hanging="284"/>
      </w:pPr>
      <w:r>
        <w:t>an inspection and test plan covering the intended source.  The Contractor must give due account of the likely variation in the composition of materials from the intended source</w:t>
      </w:r>
    </w:p>
    <w:p w:rsidR="00592679" w:rsidRDefault="00592679" w:rsidP="00C60DBA">
      <w:pPr>
        <w:pStyle w:val="ListParagraph"/>
        <w:numPr>
          <w:ilvl w:val="0"/>
          <w:numId w:val="9"/>
        </w:numPr>
        <w:ind w:left="851" w:hanging="284"/>
      </w:pPr>
      <w:r>
        <w:t xml:space="preserve">the intended destination/location, lot number and chainage, of the imported material. </w:t>
      </w:r>
    </w:p>
    <w:p w:rsidR="00592679" w:rsidRDefault="00592679" w:rsidP="00592679">
      <w:pPr>
        <w:contextualSpacing/>
      </w:pPr>
    </w:p>
    <w:p w:rsidR="00592679" w:rsidRDefault="00592679" w:rsidP="00592679">
      <w:pPr>
        <w:contextualSpacing/>
      </w:pPr>
      <w:r>
        <w:t xml:space="preserve">Where the evidence of compliance is based on laboratory measured soaked CBRs, the </w:t>
      </w:r>
      <w:r w:rsidR="005F138E" w:rsidRPr="009273DE">
        <w:t>R</w:t>
      </w:r>
      <w:r w:rsidRPr="009273DE">
        <w:t>epre</w:t>
      </w:r>
      <w:r>
        <w:t xml:space="preserve">sentative soaked CBR shall be the minimum of three (3) tests. </w:t>
      </w:r>
    </w:p>
    <w:p w:rsidR="00592679" w:rsidRDefault="00592679" w:rsidP="00592679">
      <w:pPr>
        <w:contextualSpacing/>
      </w:pPr>
    </w:p>
    <w:p w:rsidR="00592679" w:rsidRDefault="00592679" w:rsidP="00592679">
      <w:pPr>
        <w:contextualSpacing/>
      </w:pPr>
      <w:r>
        <w:t xml:space="preserve">The Superintendent, if not satisfied with the evidence of likely compliance and/or is of the opinion that the inspection and test plan will not ensure a complying product, may reject the source or define an alternative and/or enhanced inspection and test regime.  </w:t>
      </w:r>
    </w:p>
    <w:p w:rsidR="00592679" w:rsidRDefault="00592679" w:rsidP="00592679">
      <w:pPr>
        <w:contextualSpacing/>
      </w:pPr>
    </w:p>
    <w:p w:rsidR="00592679" w:rsidRDefault="00592679" w:rsidP="00592679">
      <w:pPr>
        <w:contextualSpacing/>
      </w:pPr>
      <w:r>
        <w:t>The Contractor shall keep up-to-date records of the results of all tests from each source.  The recording of test results shall be completed within 3 working days of the completion of each test.</w:t>
      </w:r>
    </w:p>
    <w:p w:rsidR="00592679" w:rsidRDefault="00592679" w:rsidP="00592679">
      <w:pPr>
        <w:contextualSpacing/>
      </w:pPr>
    </w:p>
    <w:p w:rsidR="00592679" w:rsidRPr="00075DFD" w:rsidRDefault="00592679" w:rsidP="00592679">
      <w:pPr>
        <w:contextualSpacing/>
      </w:pPr>
      <w:r w:rsidRPr="00075DFD">
        <w:t xml:space="preserve">Any non-compliance shall be reported to the Superintendent within 24 hours of the completion of the testing.  </w:t>
      </w:r>
    </w:p>
    <w:p w:rsidR="00592679" w:rsidRDefault="00592679" w:rsidP="00592679">
      <w:pPr>
        <w:contextualSpacing/>
      </w:pPr>
    </w:p>
    <w:p w:rsidR="00592679" w:rsidRDefault="00592679" w:rsidP="007855D8">
      <w:pPr>
        <w:pStyle w:val="Heading2"/>
      </w:pPr>
      <w:bookmarkStart w:id="19" w:name="_Toc287006290"/>
      <w:bookmarkStart w:id="20" w:name="_Toc357777209"/>
      <w:r>
        <w:t>R23.6.4</w:t>
      </w:r>
      <w:r>
        <w:tab/>
        <w:t>Subgrade Zone in Excavation and Low Embankment</w:t>
      </w:r>
      <w:bookmarkEnd w:id="19"/>
      <w:bookmarkEnd w:id="20"/>
    </w:p>
    <w:p w:rsidR="00592679" w:rsidRDefault="00592679" w:rsidP="00592679">
      <w:pPr>
        <w:contextualSpacing/>
      </w:pPr>
      <w:r>
        <w:t xml:space="preserve">In addition to the provisions of </w:t>
      </w:r>
      <w:r w:rsidRPr="0015389A">
        <w:rPr>
          <w:i/>
        </w:rPr>
        <w:t>R23.6.1</w:t>
      </w:r>
      <w:r>
        <w:t xml:space="preserve">, the subgrade zone shall not include material in which the product of the Plastic Index and percentage passing the 0.425mm sieve exceeds 1800, unless approved by the Superintendent. </w:t>
      </w:r>
    </w:p>
    <w:p w:rsidR="00592679" w:rsidRDefault="00592679" w:rsidP="00592679">
      <w:pPr>
        <w:contextualSpacing/>
      </w:pPr>
    </w:p>
    <w:p w:rsidR="00592679" w:rsidRDefault="00592679" w:rsidP="00592679">
      <w:pPr>
        <w:pStyle w:val="Heading1"/>
      </w:pPr>
      <w:bookmarkStart w:id="21" w:name="_Toc287006291"/>
      <w:bookmarkStart w:id="22" w:name="_Toc357777210"/>
      <w:r>
        <w:t>r23.7</w:t>
      </w:r>
      <w:r>
        <w:tab/>
        <w:t>field assessment of subgrade zones in excavation</w:t>
      </w:r>
      <w:bookmarkEnd w:id="21"/>
      <w:bookmarkEnd w:id="22"/>
    </w:p>
    <w:p w:rsidR="00592679" w:rsidRDefault="00592679" w:rsidP="007855D8">
      <w:pPr>
        <w:pStyle w:val="Heading2"/>
      </w:pPr>
      <w:bookmarkStart w:id="23" w:name="_Toc287006292"/>
      <w:bookmarkStart w:id="24" w:name="_Toc357777211"/>
      <w:r>
        <w:t>R23.7.1</w:t>
      </w:r>
      <w:r>
        <w:tab/>
        <w:t>General</w:t>
      </w:r>
      <w:bookmarkEnd w:id="23"/>
      <w:bookmarkEnd w:id="24"/>
    </w:p>
    <w:p w:rsidR="00592679" w:rsidRDefault="00592679" w:rsidP="00592679">
      <w:pPr>
        <w:contextualSpacing/>
      </w:pPr>
      <w:r>
        <w:t xml:space="preserve">The following applies to subgrade zones in excavations and low embankments or below existing pavements and shoulders on which a new pavement is to be constructed.  </w:t>
      </w:r>
    </w:p>
    <w:p w:rsidR="00592679" w:rsidRDefault="00592679" w:rsidP="00592679">
      <w:pPr>
        <w:contextualSpacing/>
      </w:pPr>
    </w:p>
    <w:p w:rsidR="00592679" w:rsidRDefault="00592679" w:rsidP="00592679">
      <w:pPr>
        <w:contextualSpacing/>
        <w:rPr>
          <w:i/>
        </w:rPr>
      </w:pPr>
      <w:r>
        <w:rPr>
          <w:i/>
        </w:rPr>
        <w:t>Note:</w:t>
      </w:r>
    </w:p>
    <w:p w:rsidR="00592679" w:rsidRPr="000E624E" w:rsidRDefault="00592679" w:rsidP="00592679">
      <w:pPr>
        <w:contextualSpacing/>
        <w:rPr>
          <w:i/>
        </w:rPr>
      </w:pPr>
      <w:r w:rsidRPr="000E624E">
        <w:rPr>
          <w:i/>
        </w:rPr>
        <w:t>The purpose of these assessment procedures is to determine if the material at formation level complies with the specification and</w:t>
      </w:r>
      <w:r>
        <w:rPr>
          <w:i/>
        </w:rPr>
        <w:t>,</w:t>
      </w:r>
      <w:r w:rsidRPr="00E44EA3">
        <w:rPr>
          <w:i/>
        </w:rPr>
        <w:t xml:space="preserve"> </w:t>
      </w:r>
      <w:r w:rsidRPr="000E624E">
        <w:rPr>
          <w:i/>
        </w:rPr>
        <w:t>in the event of non-compliance the nature and extent of remediation requirements.</w:t>
      </w:r>
    </w:p>
    <w:p w:rsidR="00592679" w:rsidRDefault="00592679" w:rsidP="00592679">
      <w:pPr>
        <w:contextualSpacing/>
      </w:pPr>
    </w:p>
    <w:p w:rsidR="00592679" w:rsidRDefault="00592679" w:rsidP="00592679">
      <w:pPr>
        <w:contextualSpacing/>
      </w:pPr>
      <w:r>
        <w:t>The results of the testing, including the location and extent of any non-compliance, shall be provided to the Superintendent within 24 hours of the completion of the testing.  Non-compliance will include</w:t>
      </w:r>
      <w:r w:rsidRPr="009273DE">
        <w:t xml:space="preserve"> </w:t>
      </w:r>
      <w:r w:rsidR="005F138E" w:rsidRPr="009273DE">
        <w:t>R</w:t>
      </w:r>
      <w:r w:rsidRPr="009273DE">
        <w:t>epresentative</w:t>
      </w:r>
      <w:r>
        <w:t xml:space="preserve"> Insitu CBRs less than the specified value and the occurrence of deformation and springing during proof rolling.  Locations shall be defined in terms of the Contract chainage (nearest 10m) and offset (nearest 1.0m). </w:t>
      </w:r>
    </w:p>
    <w:p w:rsidR="00592679" w:rsidRDefault="00592679" w:rsidP="00592679">
      <w:pPr>
        <w:contextualSpacing/>
      </w:pPr>
    </w:p>
    <w:p w:rsidR="00592679" w:rsidRDefault="00592679" w:rsidP="007855D8">
      <w:pPr>
        <w:pStyle w:val="Heading2"/>
      </w:pPr>
      <w:bookmarkStart w:id="25" w:name="_Toc287006293"/>
      <w:bookmarkStart w:id="26" w:name="_Toc357777212"/>
      <w:r>
        <w:t>R23.7.2</w:t>
      </w:r>
      <w:r>
        <w:tab/>
        <w:t>Assessment of Insitu Material by Penetrometer</w:t>
      </w:r>
      <w:bookmarkEnd w:id="25"/>
      <w:bookmarkEnd w:id="26"/>
    </w:p>
    <w:p w:rsidR="00592679" w:rsidRDefault="00592679" w:rsidP="00592679">
      <w:pPr>
        <w:contextualSpacing/>
      </w:pPr>
      <w:r>
        <w:t xml:space="preserve">In-situ field assessment shall be undertaken using either the Farnell Penetrometer (in accordance with </w:t>
      </w:r>
      <w:r w:rsidRPr="0015389A">
        <w:rPr>
          <w:i/>
        </w:rPr>
        <w:t>Appendix R23</w:t>
      </w:r>
      <w:r w:rsidR="0015389A">
        <w:rPr>
          <w:i/>
        </w:rPr>
        <w:t>.</w:t>
      </w:r>
      <w:r w:rsidRPr="0015389A">
        <w:rPr>
          <w:i/>
        </w:rPr>
        <w:t>A</w:t>
      </w:r>
      <w:r>
        <w:t xml:space="preserve">) or Dynamic Cone Penetrometer (DCP) (in accordance with </w:t>
      </w:r>
      <w:r w:rsidRPr="0015389A">
        <w:rPr>
          <w:i/>
        </w:rPr>
        <w:t>AS 1289.6.3.2</w:t>
      </w:r>
      <w:r>
        <w:t xml:space="preserve"> and </w:t>
      </w:r>
      <w:r w:rsidRPr="0015389A">
        <w:rPr>
          <w:i/>
        </w:rPr>
        <w:t>Appendix R23</w:t>
      </w:r>
      <w:r w:rsidR="0015389A">
        <w:rPr>
          <w:i/>
        </w:rPr>
        <w:t>.</w:t>
      </w:r>
      <w:r w:rsidRPr="0015389A">
        <w:rPr>
          <w:i/>
        </w:rPr>
        <w:t>B</w:t>
      </w:r>
      <w:r>
        <w:t>).  In the event of a disparity between the Farnell and DCP test data, the Farnell data shall apply.</w:t>
      </w:r>
    </w:p>
    <w:p w:rsidR="00592679" w:rsidRDefault="00592679" w:rsidP="00592679">
      <w:pPr>
        <w:contextualSpacing/>
      </w:pPr>
    </w:p>
    <w:p w:rsidR="00592679" w:rsidRPr="00DA4314" w:rsidRDefault="00592679" w:rsidP="00592679">
      <w:pPr>
        <w:contextualSpacing/>
      </w:pPr>
      <w:r>
        <w:t>In-situ field testing shall be undertaken at the rate of 1 for every 200 m</w:t>
      </w:r>
      <w:r>
        <w:rPr>
          <w:vertAlign w:val="superscript"/>
        </w:rPr>
        <w:t>2</w:t>
      </w:r>
      <w:r>
        <w:t xml:space="preserve"> of subgrade.</w:t>
      </w:r>
    </w:p>
    <w:p w:rsidR="00592679" w:rsidRDefault="00592679" w:rsidP="00592679">
      <w:pPr>
        <w:contextualSpacing/>
      </w:pPr>
    </w:p>
    <w:p w:rsidR="00592679" w:rsidRDefault="00592679" w:rsidP="00592679">
      <w:pPr>
        <w:contextualSpacing/>
      </w:pPr>
      <w:r>
        <w:t xml:space="preserve">The testing, whenever practical, shall be undertaken when the cut level is in the order of 100mm above formation level and extended to at least 100mm below the subgrade zone. </w:t>
      </w:r>
    </w:p>
    <w:p w:rsidR="00592679" w:rsidRDefault="00592679" w:rsidP="00592679">
      <w:pPr>
        <w:contextualSpacing/>
      </w:pPr>
    </w:p>
    <w:p w:rsidR="00592679" w:rsidRDefault="00592679" w:rsidP="00592679">
      <w:pPr>
        <w:contextualSpacing/>
      </w:pPr>
      <w:r>
        <w:t xml:space="preserve">In the event that </w:t>
      </w:r>
      <w:r w:rsidRPr="009273DE">
        <w:t xml:space="preserve">the </w:t>
      </w:r>
      <w:r w:rsidR="005F138E" w:rsidRPr="009273DE">
        <w:t>R</w:t>
      </w:r>
      <w:r w:rsidRPr="009273DE">
        <w:t>epresentative</w:t>
      </w:r>
      <w:r>
        <w:t xml:space="preserve"> Insitu CBR is less than 50% of the mean of all the tests within the lot, the Superintendent may determine further testing within the region of the representative test result. </w:t>
      </w:r>
    </w:p>
    <w:p w:rsidR="00592679" w:rsidRDefault="00592679" w:rsidP="00592679">
      <w:pPr>
        <w:contextualSpacing/>
      </w:pPr>
    </w:p>
    <w:p w:rsidR="00592679" w:rsidRDefault="00592679" w:rsidP="007855D8">
      <w:pPr>
        <w:pStyle w:val="Heading2"/>
      </w:pPr>
      <w:bookmarkStart w:id="27" w:name="_Toc287006294"/>
      <w:bookmarkStart w:id="28" w:name="_Toc357777213"/>
      <w:r>
        <w:t>R23.7.3</w:t>
      </w:r>
      <w:r>
        <w:tab/>
        <w:t>Assessment of Insitu Material by Proof Rolling</w:t>
      </w:r>
      <w:bookmarkEnd w:id="27"/>
      <w:bookmarkEnd w:id="28"/>
    </w:p>
    <w:p w:rsidR="00592679" w:rsidRDefault="00592679" w:rsidP="00592679">
      <w:pPr>
        <w:contextualSpacing/>
      </w:pPr>
      <w:bookmarkStart w:id="29" w:name="OLE_LINK3"/>
      <w:bookmarkStart w:id="30" w:name="OLE_LINK4"/>
      <w:r>
        <w:t xml:space="preserve">Where material is judged to be unsuitable for assessment by a penetrometer in accordance with </w:t>
      </w:r>
      <w:r w:rsidRPr="0015389A">
        <w:rPr>
          <w:i/>
        </w:rPr>
        <w:t>Appendices R23</w:t>
      </w:r>
      <w:r w:rsidR="0015389A">
        <w:rPr>
          <w:i/>
        </w:rPr>
        <w:t>.</w:t>
      </w:r>
      <w:r w:rsidRPr="0015389A">
        <w:rPr>
          <w:i/>
        </w:rPr>
        <w:t>A and R23</w:t>
      </w:r>
      <w:r w:rsidR="0015389A">
        <w:rPr>
          <w:i/>
        </w:rPr>
        <w:t>.</w:t>
      </w:r>
      <w:r w:rsidRPr="0015389A">
        <w:rPr>
          <w:i/>
        </w:rPr>
        <w:t>B</w:t>
      </w:r>
      <w:r>
        <w:t xml:space="preserve"> the following shall apply. </w:t>
      </w:r>
    </w:p>
    <w:bookmarkEnd w:id="29"/>
    <w:bookmarkEnd w:id="30"/>
    <w:p w:rsidR="00592679" w:rsidRDefault="00592679" w:rsidP="00592679">
      <w:pPr>
        <w:contextualSpacing/>
      </w:pPr>
    </w:p>
    <w:p w:rsidR="00592679" w:rsidRDefault="00592679" w:rsidP="00592679">
      <w:pPr>
        <w:contextualSpacing/>
      </w:pPr>
      <w:r>
        <w:t>The Contractor shall notify the Superintendent within 24 hours of the exposure of the subgrade zone.  As a prerequisite to making a direction as to the required treatment of the subgrade zone, the Superintendent may direct that proof rolling of the subgrade be undertaken.</w:t>
      </w:r>
    </w:p>
    <w:p w:rsidR="00592679" w:rsidRDefault="00592679" w:rsidP="00592679">
      <w:pPr>
        <w:contextualSpacing/>
      </w:pPr>
    </w:p>
    <w:p w:rsidR="00592679" w:rsidRDefault="00592679" w:rsidP="00592679">
      <w:pPr>
        <w:contextualSpacing/>
      </w:pPr>
      <w:r>
        <w:t>Plant for use in proof rolling procedures shall comply with the following requirements:</w:t>
      </w:r>
    </w:p>
    <w:p w:rsidR="00592679" w:rsidRPr="009667BE" w:rsidRDefault="00592679" w:rsidP="00592679">
      <w:pPr>
        <w:contextualSpacing/>
        <w:rPr>
          <w:i/>
        </w:rPr>
      </w:pPr>
      <w:r w:rsidRPr="009667BE">
        <w:rPr>
          <w:i/>
        </w:rPr>
        <w:t>Option 1</w:t>
      </w:r>
    </w:p>
    <w:p w:rsidR="00592679" w:rsidRPr="009667BE" w:rsidRDefault="00592679" w:rsidP="00C60DBA">
      <w:pPr>
        <w:pStyle w:val="ListParagraph"/>
        <w:numPr>
          <w:ilvl w:val="0"/>
          <w:numId w:val="10"/>
        </w:numPr>
        <w:ind w:left="851" w:hanging="284"/>
      </w:pPr>
      <w:r w:rsidRPr="009667BE">
        <w:t>the rear tyres of static smooth steel wheeled rollers of more than 12,000kg operating mass</w:t>
      </w:r>
    </w:p>
    <w:p w:rsidR="00592679" w:rsidRPr="009667BE" w:rsidRDefault="00592679" w:rsidP="00C60DBA">
      <w:pPr>
        <w:pStyle w:val="ListParagraph"/>
        <w:numPr>
          <w:ilvl w:val="0"/>
          <w:numId w:val="10"/>
        </w:numPr>
        <w:ind w:left="851" w:hanging="284"/>
      </w:pPr>
      <w:r w:rsidRPr="009667BE">
        <w:t>pneumatic tyred roller of 15,000kg operating mass.</w:t>
      </w:r>
    </w:p>
    <w:p w:rsidR="00592679" w:rsidRPr="009667BE" w:rsidRDefault="00592679" w:rsidP="00592679">
      <w:pPr>
        <w:contextualSpacing/>
        <w:rPr>
          <w:i/>
        </w:rPr>
      </w:pPr>
      <w:r w:rsidRPr="009667BE">
        <w:rPr>
          <w:i/>
        </w:rPr>
        <w:t>Option 2</w:t>
      </w:r>
    </w:p>
    <w:p w:rsidR="00592679" w:rsidRPr="009667BE" w:rsidRDefault="00592679" w:rsidP="00C60DBA">
      <w:pPr>
        <w:pStyle w:val="ListParagraph"/>
        <w:numPr>
          <w:ilvl w:val="0"/>
          <w:numId w:val="11"/>
        </w:numPr>
        <w:ind w:left="851" w:hanging="284"/>
      </w:pPr>
      <w:r w:rsidRPr="009667BE">
        <w:t>10 yard truck with rear double axle fully loaded weight 24,000kg (12,000kg unloaded)</w:t>
      </w:r>
    </w:p>
    <w:p w:rsidR="00592679" w:rsidRPr="009667BE" w:rsidRDefault="00592679" w:rsidP="00C60DBA">
      <w:pPr>
        <w:pStyle w:val="ListParagraph"/>
        <w:numPr>
          <w:ilvl w:val="0"/>
          <w:numId w:val="11"/>
        </w:numPr>
        <w:ind w:left="851" w:hanging="284"/>
      </w:pPr>
      <w:r w:rsidRPr="009667BE">
        <w:t>water cart with rear double axle fully loaded weight 24,000kg.</w:t>
      </w:r>
    </w:p>
    <w:p w:rsidR="00592679" w:rsidRDefault="00592679" w:rsidP="00592679">
      <w:pPr>
        <w:contextualSpacing/>
      </w:pPr>
    </w:p>
    <w:p w:rsidR="00592679" w:rsidRDefault="00592679" w:rsidP="00592679">
      <w:pPr>
        <w:contextualSpacing/>
        <w:rPr>
          <w:color w:val="000000"/>
        </w:rPr>
      </w:pPr>
      <w:r>
        <w:t>The surface of the subgrade shall be watered and given a minimum of three passes with the proof roller prior to commencement of proof rolling.</w:t>
      </w:r>
    </w:p>
    <w:p w:rsidR="00592679" w:rsidRDefault="00592679" w:rsidP="00592679">
      <w:pPr>
        <w:contextualSpacing/>
      </w:pPr>
    </w:p>
    <w:p w:rsidR="00592679" w:rsidRDefault="00592679" w:rsidP="00592679">
      <w:pPr>
        <w:contextualSpacing/>
      </w:pPr>
      <w:r>
        <w:t>Proof rolling shall be conducted immediately following completion of compaction.  The Contractor shall give the Superintendent at least 24 hours notice prior to this proof rolling.</w:t>
      </w:r>
    </w:p>
    <w:p w:rsidR="00592679" w:rsidRDefault="00592679" w:rsidP="00592679">
      <w:pPr>
        <w:contextualSpacing/>
      </w:pPr>
    </w:p>
    <w:p w:rsidR="007F7176" w:rsidRPr="009273DE" w:rsidRDefault="007F7176" w:rsidP="00592679">
      <w:pPr>
        <w:contextualSpacing/>
      </w:pPr>
      <w:r w:rsidRPr="009273DE">
        <w:t>The Superintendent shall determine if the material is acceptable, based primarily on the requirement that there is not an unreasonable amount of visual deformation.</w:t>
      </w:r>
    </w:p>
    <w:p w:rsidR="007F7176" w:rsidRPr="007F7176" w:rsidRDefault="007F7176" w:rsidP="00592679">
      <w:pPr>
        <w:contextualSpacing/>
        <w:rPr>
          <w:color w:val="FF0000"/>
        </w:rPr>
      </w:pPr>
    </w:p>
    <w:p w:rsidR="00592679" w:rsidRDefault="00592679" w:rsidP="00592679">
      <w:pPr>
        <w:pStyle w:val="Heading1"/>
      </w:pPr>
      <w:bookmarkStart w:id="31" w:name="_Toc287006295"/>
      <w:bookmarkStart w:id="32" w:name="_Toc357777214"/>
      <w:r>
        <w:t>r23.8</w:t>
      </w:r>
      <w:r>
        <w:tab/>
        <w:t>construction</w:t>
      </w:r>
      <w:bookmarkEnd w:id="31"/>
      <w:bookmarkEnd w:id="32"/>
    </w:p>
    <w:p w:rsidR="00592679" w:rsidRDefault="00592679" w:rsidP="007855D8">
      <w:pPr>
        <w:pStyle w:val="Heading2"/>
      </w:pPr>
      <w:bookmarkStart w:id="33" w:name="_Toc287006296"/>
      <w:bookmarkStart w:id="34" w:name="_Toc357777215"/>
      <w:r>
        <w:t>R23.8.1</w:t>
      </w:r>
      <w:r>
        <w:tab/>
        <w:t>General</w:t>
      </w:r>
      <w:bookmarkEnd w:id="33"/>
      <w:bookmarkEnd w:id="34"/>
    </w:p>
    <w:p w:rsidR="00592679" w:rsidRDefault="00592679" w:rsidP="00592679">
      <w:pPr>
        <w:contextualSpacing/>
      </w:pPr>
      <w:r>
        <w:t>Subgrade zones within cuts and below existing pavements that fail to comply with the requirements of this specification may be required to be remediated in accordance with the requirements of this clause.</w:t>
      </w:r>
    </w:p>
    <w:p w:rsidR="00592679" w:rsidRDefault="00592679" w:rsidP="00592679">
      <w:pPr>
        <w:contextualSpacing/>
      </w:pPr>
    </w:p>
    <w:p w:rsidR="00592679" w:rsidRDefault="00592679" w:rsidP="00592679">
      <w:pPr>
        <w:contextualSpacing/>
      </w:pPr>
      <w:r>
        <w:t>Imported materials shall be placed in accordance with the requirements of this clause.</w:t>
      </w:r>
    </w:p>
    <w:p w:rsidR="00592679" w:rsidRDefault="00592679" w:rsidP="00592679">
      <w:pPr>
        <w:contextualSpacing/>
      </w:pPr>
    </w:p>
    <w:p w:rsidR="00592679" w:rsidRDefault="00592679" w:rsidP="007855D8">
      <w:pPr>
        <w:pStyle w:val="Heading2"/>
      </w:pPr>
      <w:bookmarkStart w:id="35" w:name="_Toc287006297"/>
      <w:bookmarkStart w:id="36" w:name="_Toc357777216"/>
      <w:r>
        <w:t>R23.8.2</w:t>
      </w:r>
      <w:r>
        <w:tab/>
        <w:t>Excavation in Materials other than Rock</w:t>
      </w:r>
      <w:bookmarkEnd w:id="35"/>
      <w:bookmarkEnd w:id="36"/>
    </w:p>
    <w:p w:rsidR="00592679" w:rsidRDefault="00592679" w:rsidP="00592679">
      <w:pPr>
        <w:contextualSpacing/>
      </w:pPr>
      <w:r>
        <w:t>The Superintendent may direct remediation of the subgrade zone not complying with this specification or where:</w:t>
      </w:r>
    </w:p>
    <w:p w:rsidR="00592679" w:rsidRDefault="00592679" w:rsidP="00C60DBA">
      <w:pPr>
        <w:pStyle w:val="ListParagraph"/>
        <w:numPr>
          <w:ilvl w:val="0"/>
          <w:numId w:val="12"/>
        </w:numPr>
        <w:ind w:left="851" w:hanging="284"/>
      </w:pPr>
      <w:r w:rsidRPr="009273DE">
        <w:t xml:space="preserve">the </w:t>
      </w:r>
      <w:r w:rsidR="007F7176" w:rsidRPr="009273DE">
        <w:t>R</w:t>
      </w:r>
      <w:r w:rsidRPr="009273DE">
        <w:t>epresentative</w:t>
      </w:r>
      <w:r>
        <w:t xml:space="preserve"> Insitu CBR is less than the specified value;</w:t>
      </w:r>
    </w:p>
    <w:p w:rsidR="00592679" w:rsidRDefault="00592679" w:rsidP="00C60DBA">
      <w:pPr>
        <w:pStyle w:val="ListParagraph"/>
        <w:numPr>
          <w:ilvl w:val="0"/>
          <w:numId w:val="12"/>
        </w:numPr>
        <w:ind w:left="851" w:hanging="284"/>
      </w:pPr>
      <w:r>
        <w:t>the subgrade deforms excessively under proof rolling.</w:t>
      </w:r>
    </w:p>
    <w:p w:rsidR="00592679" w:rsidRDefault="00592679" w:rsidP="00592679">
      <w:pPr>
        <w:contextualSpacing/>
      </w:pPr>
    </w:p>
    <w:p w:rsidR="00592679" w:rsidRDefault="00592679" w:rsidP="00592679">
      <w:pPr>
        <w:contextualSpacing/>
      </w:pPr>
      <w:r>
        <w:t xml:space="preserve">Remediation may include but not be limited to: </w:t>
      </w:r>
    </w:p>
    <w:p w:rsidR="00592679" w:rsidRPr="00C60DBA" w:rsidRDefault="00592679" w:rsidP="00C60DBA">
      <w:pPr>
        <w:pStyle w:val="ListParagraph"/>
        <w:numPr>
          <w:ilvl w:val="0"/>
          <w:numId w:val="13"/>
        </w:numPr>
        <w:ind w:left="851" w:hanging="284"/>
        <w:rPr>
          <w:lang w:val="en-US"/>
        </w:rPr>
      </w:pPr>
      <w:r>
        <w:t>excavation and replacement to a nominated depth with a complying material;</w:t>
      </w:r>
    </w:p>
    <w:p w:rsidR="00592679" w:rsidRPr="00C60DBA" w:rsidRDefault="00592679" w:rsidP="00C60DBA">
      <w:pPr>
        <w:pStyle w:val="ListParagraph"/>
        <w:numPr>
          <w:ilvl w:val="0"/>
          <w:numId w:val="13"/>
        </w:numPr>
        <w:ind w:left="851" w:hanging="284"/>
        <w:rPr>
          <w:lang w:val="en-US"/>
        </w:rPr>
      </w:pPr>
      <w:r>
        <w:t>re-compaction to 100% Dry Density Ratio (standar</w:t>
      </w:r>
      <w:r w:rsidRPr="00C60DBA">
        <w:rPr>
          <w:lang w:val="en-US"/>
        </w:rPr>
        <w:t>d</w:t>
      </w:r>
      <w:r>
        <w:t xml:space="preserve"> compaction) and between 80 to 110% of Optimum Moisture Content (OMC);</w:t>
      </w:r>
    </w:p>
    <w:p w:rsidR="00592679" w:rsidRPr="00C60DBA" w:rsidRDefault="00592679" w:rsidP="00C60DBA">
      <w:pPr>
        <w:pStyle w:val="ListParagraph"/>
        <w:numPr>
          <w:ilvl w:val="0"/>
          <w:numId w:val="13"/>
        </w:numPr>
        <w:ind w:left="851" w:hanging="284"/>
        <w:rPr>
          <w:lang w:val="fr-FR"/>
        </w:rPr>
      </w:pPr>
      <w:r w:rsidRPr="00C60DBA">
        <w:rPr>
          <w:lang w:val="en-US"/>
        </w:rPr>
        <w:t>loosening of the surface to a depth determined by the Superintendent, drying to OMC or below and re-compaction to 100% dry density ratio (standard compaction);</w:t>
      </w:r>
    </w:p>
    <w:p w:rsidR="00592679" w:rsidRPr="00A9774F" w:rsidRDefault="00592679" w:rsidP="00C60DBA">
      <w:pPr>
        <w:pStyle w:val="ListParagraph"/>
        <w:numPr>
          <w:ilvl w:val="0"/>
          <w:numId w:val="13"/>
        </w:numPr>
        <w:ind w:left="851" w:hanging="284"/>
      </w:pPr>
      <w:r w:rsidRPr="00C60DBA">
        <w:rPr>
          <w:lang w:val="fr-FR"/>
        </w:rPr>
        <w:t>Insitu stabilisation;</w:t>
      </w:r>
    </w:p>
    <w:p w:rsidR="00592679" w:rsidRDefault="00592679" w:rsidP="00C60DBA">
      <w:pPr>
        <w:pStyle w:val="ListParagraph"/>
        <w:numPr>
          <w:ilvl w:val="0"/>
          <w:numId w:val="13"/>
        </w:numPr>
        <w:ind w:left="851" w:hanging="284"/>
      </w:pPr>
      <w:r>
        <w:t>geotextile reinforcement, or geogrid reinforcement or both;</w:t>
      </w:r>
    </w:p>
    <w:p w:rsidR="00592679" w:rsidRDefault="00592679" w:rsidP="00C60DBA">
      <w:pPr>
        <w:pStyle w:val="ListParagraph"/>
        <w:numPr>
          <w:ilvl w:val="0"/>
          <w:numId w:val="13"/>
        </w:numPr>
        <w:ind w:left="851" w:hanging="284"/>
      </w:pPr>
      <w:r>
        <w:t>increase in pavement depth;</w:t>
      </w:r>
    </w:p>
    <w:p w:rsidR="00592679" w:rsidRDefault="00592679" w:rsidP="00C60DBA">
      <w:pPr>
        <w:pStyle w:val="ListParagraph"/>
        <w:numPr>
          <w:ilvl w:val="0"/>
          <w:numId w:val="13"/>
        </w:numPr>
        <w:ind w:left="851" w:hanging="284"/>
      </w:pPr>
      <w:r>
        <w:t>drainage blanket.</w:t>
      </w:r>
    </w:p>
    <w:p w:rsidR="00592679" w:rsidRDefault="00592679" w:rsidP="00592679">
      <w:pPr>
        <w:contextualSpacing/>
      </w:pPr>
    </w:p>
    <w:p w:rsidR="00592679" w:rsidRDefault="00592679" w:rsidP="00592679">
      <w:pPr>
        <w:contextualSpacing/>
      </w:pPr>
      <w:r>
        <w:t xml:space="preserve">Prior to giving direction concerning remediation, the Superintendent may direct a recalculation of </w:t>
      </w:r>
      <w:r w:rsidRPr="009273DE">
        <w:t xml:space="preserve">the </w:t>
      </w:r>
      <w:r w:rsidR="007F7176" w:rsidRPr="009273DE">
        <w:t>R</w:t>
      </w:r>
      <w:r w:rsidRPr="009273DE">
        <w:t>epresentative</w:t>
      </w:r>
      <w:r>
        <w:t xml:space="preserve"> CBR based on the formula C</w:t>
      </w:r>
      <w:r w:rsidR="0015389A">
        <w:t xml:space="preserve">BR= Cone Index/20. Refer </w:t>
      </w:r>
      <w:r w:rsidRPr="0015389A">
        <w:rPr>
          <w:i/>
        </w:rPr>
        <w:t>Appendix R23</w:t>
      </w:r>
      <w:r w:rsidR="0015389A" w:rsidRPr="0015389A">
        <w:rPr>
          <w:i/>
        </w:rPr>
        <w:t>.</w:t>
      </w:r>
      <w:r w:rsidRPr="0015389A">
        <w:rPr>
          <w:i/>
        </w:rPr>
        <w:t>A Note 3</w:t>
      </w:r>
      <w:r>
        <w:t xml:space="preserve">. </w:t>
      </w:r>
    </w:p>
    <w:p w:rsidR="00592679" w:rsidRDefault="00592679" w:rsidP="007855D8">
      <w:pPr>
        <w:pStyle w:val="Heading2"/>
      </w:pPr>
      <w:bookmarkStart w:id="37" w:name="_Toc287006298"/>
      <w:bookmarkStart w:id="38" w:name="_Toc357777217"/>
      <w:r>
        <w:lastRenderedPageBreak/>
        <w:t>R23.8.3</w:t>
      </w:r>
      <w:r>
        <w:tab/>
        <w:t>Excavation in Rock</w:t>
      </w:r>
      <w:bookmarkEnd w:id="37"/>
      <w:bookmarkEnd w:id="38"/>
    </w:p>
    <w:p w:rsidR="00592679" w:rsidRDefault="00592679" w:rsidP="00592679">
      <w:pPr>
        <w:contextualSpacing/>
      </w:pPr>
      <w:r>
        <w:t xml:space="preserve">Excavation in rock in the subgrade zone shall be in accordance with </w:t>
      </w:r>
      <w:r w:rsidRPr="004E6225">
        <w:rPr>
          <w:i/>
        </w:rPr>
        <w:t>Standard Specification R22 Earthworks Cause R22.3.1 (ii) and (iii)</w:t>
      </w:r>
      <w:r>
        <w:t>.</w:t>
      </w:r>
    </w:p>
    <w:p w:rsidR="00592679" w:rsidRDefault="00592679" w:rsidP="00592679">
      <w:pPr>
        <w:contextualSpacing/>
      </w:pPr>
    </w:p>
    <w:p w:rsidR="00592679" w:rsidRDefault="00592679" w:rsidP="007855D8">
      <w:pPr>
        <w:pStyle w:val="Heading2"/>
      </w:pPr>
      <w:bookmarkStart w:id="39" w:name="_Toc287006299"/>
      <w:bookmarkStart w:id="40" w:name="_Toc357777218"/>
      <w:r>
        <w:t>R23.8.4</w:t>
      </w:r>
      <w:r>
        <w:tab/>
        <w:t>Low Embankments</w:t>
      </w:r>
      <w:bookmarkEnd w:id="39"/>
      <w:bookmarkEnd w:id="40"/>
    </w:p>
    <w:p w:rsidR="00592679" w:rsidRDefault="00592679" w:rsidP="00592679">
      <w:pPr>
        <w:contextualSpacing/>
      </w:pPr>
      <w:r>
        <w:t xml:space="preserve">Where the design formation level is less than </w:t>
      </w:r>
      <w:r w:rsidRPr="007858DE">
        <w:rPr>
          <w:bCs/>
        </w:rPr>
        <w:t>200</w:t>
      </w:r>
      <w:r>
        <w:t xml:space="preserve"> mm above the foundation of the embankment in areas other than rock, the material shall be excavated to </w:t>
      </w:r>
      <w:r w:rsidRPr="007858DE">
        <w:rPr>
          <w:bCs/>
        </w:rPr>
        <w:t>200</w:t>
      </w:r>
      <w:r>
        <w:t>mm below the design formation level.  The subgrade zone shall then be constructed.</w:t>
      </w:r>
    </w:p>
    <w:p w:rsidR="00592679" w:rsidRDefault="00592679" w:rsidP="00592679">
      <w:pPr>
        <w:contextualSpacing/>
      </w:pPr>
    </w:p>
    <w:p w:rsidR="00592679" w:rsidRDefault="00592679" w:rsidP="007855D8">
      <w:pPr>
        <w:pStyle w:val="Heading2"/>
      </w:pPr>
      <w:bookmarkStart w:id="41" w:name="_Toc287006300"/>
      <w:bookmarkStart w:id="42" w:name="_Toc357777219"/>
      <w:r>
        <w:t>R23.8.5</w:t>
      </w:r>
      <w:r>
        <w:tab/>
        <w:t>Compaction of Imported Materials</w:t>
      </w:r>
      <w:bookmarkEnd w:id="41"/>
      <w:bookmarkEnd w:id="42"/>
    </w:p>
    <w:p w:rsidR="00592679" w:rsidRDefault="00592679" w:rsidP="00592679">
      <w:pPr>
        <w:contextualSpacing/>
      </w:pPr>
      <w:r>
        <w:t>Materials shall be compacted to a characteristic Dry Density ratio of 100% (standard compaction) with a moisture content that facilitates compaction in the range between 80 to 110% of OMC.</w:t>
      </w:r>
    </w:p>
    <w:p w:rsidR="00592679" w:rsidRDefault="00592679" w:rsidP="00592679">
      <w:pPr>
        <w:contextualSpacing/>
      </w:pPr>
    </w:p>
    <w:p w:rsidR="00592679" w:rsidRDefault="00592679" w:rsidP="007855D8">
      <w:pPr>
        <w:pStyle w:val="Heading2"/>
      </w:pPr>
      <w:bookmarkStart w:id="43" w:name="_Toc287006301"/>
      <w:bookmarkStart w:id="44" w:name="_Toc357777220"/>
      <w:r>
        <w:t>R23.8.6</w:t>
      </w:r>
      <w:r>
        <w:tab/>
        <w:t>Protection of the Prepared Subgrade Zone</w:t>
      </w:r>
      <w:bookmarkEnd w:id="43"/>
      <w:bookmarkEnd w:id="44"/>
    </w:p>
    <w:p w:rsidR="00592679" w:rsidRDefault="00592679" w:rsidP="00592679">
      <w:pPr>
        <w:contextualSpacing/>
      </w:pPr>
      <w:r>
        <w:t xml:space="preserve">The subgrade zone shall be maintained in a manner that avoids the ponding of water on its surface.  The moisture content of clay subgrades, in cut and under existing pavements, shall be maintained at close to the moisture condition prior to exposure, except when the original moisture content exceeds 110% of OMC, (Standard Compaction).  In this event, the Superintendent may direct that the subgrade zone shall be allowed to dry to OMC or below, or direct that a remediation treatment of the kind described in </w:t>
      </w:r>
      <w:r w:rsidRPr="0015389A">
        <w:rPr>
          <w:i/>
        </w:rPr>
        <w:t>R23.8.2</w:t>
      </w:r>
      <w:r>
        <w:t xml:space="preserve"> be undertaken.</w:t>
      </w:r>
    </w:p>
    <w:p w:rsidR="00592679" w:rsidRDefault="00592679" w:rsidP="00592679">
      <w:pPr>
        <w:contextualSpacing/>
      </w:pPr>
    </w:p>
    <w:p w:rsidR="00592679" w:rsidRDefault="00592679" w:rsidP="007855D8">
      <w:pPr>
        <w:pStyle w:val="Heading2"/>
      </w:pPr>
      <w:bookmarkStart w:id="45" w:name="_Toc287006302"/>
      <w:bookmarkStart w:id="46" w:name="_Toc357777221"/>
      <w:r>
        <w:t>R23.8.7</w:t>
      </w:r>
      <w:r>
        <w:tab/>
        <w:t>Levels and Tolerances</w:t>
      </w:r>
      <w:bookmarkEnd w:id="45"/>
      <w:bookmarkEnd w:id="46"/>
    </w:p>
    <w:p w:rsidR="00592679" w:rsidRDefault="00592679" w:rsidP="00592679">
      <w:pPr>
        <w:contextualSpacing/>
      </w:pPr>
      <w:r>
        <w:t xml:space="preserve">The thickness of the subgrade zone, measured at any point, shall not be less than </w:t>
      </w:r>
      <w:r w:rsidR="007F7176" w:rsidRPr="009273DE">
        <w:t>180</w:t>
      </w:r>
      <w:r>
        <w:t>mm.  The surface of the constructed subgrade zone which is the formation level, shall lie within +0 and -</w:t>
      </w:r>
      <w:r w:rsidRPr="004D0083">
        <w:rPr>
          <w:bCs/>
        </w:rPr>
        <w:t>60</w:t>
      </w:r>
      <w:r>
        <w:t xml:space="preserve"> mm of the formation level as shown on the drawings.  If not shown, the surface shall be parallel to the pavement surface level.</w:t>
      </w:r>
    </w:p>
    <w:p w:rsidR="00592679" w:rsidRDefault="00592679" w:rsidP="00592679">
      <w:pPr>
        <w:contextualSpacing/>
      </w:pPr>
    </w:p>
    <w:p w:rsidR="00592679" w:rsidRDefault="00592679" w:rsidP="00592679">
      <w:pPr>
        <w:contextualSpacing/>
      </w:pPr>
      <w:r>
        <w:t xml:space="preserve">The surface at any point shall not lie more than 20 mm below a 3m straightedge laid in any direction. </w:t>
      </w:r>
    </w:p>
    <w:p w:rsidR="00592679" w:rsidRDefault="00592679" w:rsidP="00592679">
      <w:pPr>
        <w:contextualSpacing/>
      </w:pPr>
    </w:p>
    <w:p w:rsidR="00592679" w:rsidRDefault="00592679" w:rsidP="00592679">
      <w:pPr>
        <w:contextualSpacing/>
      </w:pPr>
      <w:r>
        <w:t>The batters in the subgrade zone shall be a continuation of those in the earthworks and constructed to the same tolerances.</w:t>
      </w:r>
    </w:p>
    <w:p w:rsidR="00592679" w:rsidRDefault="00592679" w:rsidP="00592679">
      <w:pPr>
        <w:contextualSpacing/>
      </w:pPr>
    </w:p>
    <w:p w:rsidR="00592679" w:rsidRDefault="00592679" w:rsidP="007855D8">
      <w:pPr>
        <w:pStyle w:val="Heading2"/>
      </w:pPr>
      <w:bookmarkStart w:id="47" w:name="_Toc287006303"/>
      <w:bookmarkStart w:id="48" w:name="_Toc357777222"/>
      <w:r>
        <w:t>R23.8.8</w:t>
      </w:r>
      <w:r>
        <w:tab/>
        <w:t>Testing for Compaction and Compaction Moisture Content</w:t>
      </w:r>
      <w:bookmarkEnd w:id="47"/>
      <w:bookmarkEnd w:id="48"/>
    </w:p>
    <w:p w:rsidR="00592679" w:rsidRDefault="00592679" w:rsidP="00592679">
      <w:pPr>
        <w:contextualSpacing/>
      </w:pPr>
      <w:r>
        <w:t xml:space="preserve">Prepared subgrade zones in materials other than those classified as rock shall be tested for compaction and moisture content in accordance with </w:t>
      </w:r>
      <w:r w:rsidRPr="0015389A">
        <w:rPr>
          <w:i/>
        </w:rPr>
        <w:t>Standard Specification G4 Compaction Assessment</w:t>
      </w:r>
      <w:r>
        <w:t>.</w:t>
      </w:r>
    </w:p>
    <w:p w:rsidR="00592679" w:rsidRDefault="00592679" w:rsidP="00592679">
      <w:pPr>
        <w:contextualSpacing/>
      </w:pPr>
    </w:p>
    <w:p w:rsidR="00592679" w:rsidRDefault="00592679" w:rsidP="007855D8">
      <w:pPr>
        <w:pStyle w:val="Heading2"/>
      </w:pPr>
      <w:bookmarkStart w:id="49" w:name="_Toc287006304"/>
      <w:bookmarkStart w:id="50" w:name="_Toc357777223"/>
      <w:r>
        <w:t>R23.8.9</w:t>
      </w:r>
      <w:r>
        <w:tab/>
        <w:t>Non-Complying Material and Work</w:t>
      </w:r>
      <w:bookmarkEnd w:id="49"/>
      <w:bookmarkEnd w:id="50"/>
    </w:p>
    <w:p w:rsidR="00592679" w:rsidRDefault="00592679" w:rsidP="00592679">
      <w:pPr>
        <w:contextualSpacing/>
      </w:pPr>
      <w:r>
        <w:t xml:space="preserve">The Superintendent may deem that materials exposed in the subgrade zone of cuts and below  existing pavements are unsuitable based on their composition and/or Insitu condition and may direct that the material undergo remedial treatment as defined in </w:t>
      </w:r>
      <w:r w:rsidRPr="0015389A">
        <w:rPr>
          <w:i/>
        </w:rPr>
        <w:t>Clause R23.8.2</w:t>
      </w:r>
      <w:r>
        <w:t xml:space="preserve"> or direct that other remediation be undertaken.  </w:t>
      </w:r>
    </w:p>
    <w:p w:rsidR="00592679" w:rsidRDefault="00592679" w:rsidP="00592679">
      <w:pPr>
        <w:contextualSpacing/>
      </w:pPr>
    </w:p>
    <w:p w:rsidR="00592679" w:rsidRDefault="00592679" w:rsidP="00592679">
      <w:pPr>
        <w:contextualSpacing/>
      </w:pPr>
      <w:r>
        <w:t xml:space="preserve">In the event that a test result or visual evidence indicates a reduction in the quality of an imported material, whereby the imported material may no longer comply, the Contractor shall stop production of that material and submit non-conformance and corrective action reports.  The report shall identify where the non-complying material has been placed within the subgrade zone and shall include recommendations for rectification of the non-complying material. </w:t>
      </w:r>
    </w:p>
    <w:p w:rsidR="00592679" w:rsidRDefault="00592679" w:rsidP="00592679">
      <w:pPr>
        <w:contextualSpacing/>
      </w:pPr>
    </w:p>
    <w:p w:rsidR="00592679" w:rsidRDefault="00592679" w:rsidP="00592679">
      <w:pPr>
        <w:contextualSpacing/>
      </w:pPr>
      <w:r>
        <w:t>Where non-compliance occurs in imported materials or is deemed by the Superintendent to have been caused by the use of inappropriate construction methods or inadequate protection of the subgrade, the cost of remediation shall be at the Contractor’s expense.</w:t>
      </w:r>
    </w:p>
    <w:p w:rsidR="00592679" w:rsidRDefault="00592679" w:rsidP="00592679">
      <w:pPr>
        <w:contextualSpacing/>
      </w:pPr>
    </w:p>
    <w:p w:rsidR="00592679" w:rsidRDefault="00592679" w:rsidP="00592679">
      <w:pPr>
        <w:pStyle w:val="Heading1"/>
      </w:pPr>
      <w:bookmarkStart w:id="51" w:name="_Toc287006305"/>
      <w:bookmarkStart w:id="52" w:name="_Toc357777224"/>
      <w:r>
        <w:lastRenderedPageBreak/>
        <w:t>r23.9</w:t>
      </w:r>
      <w:r>
        <w:tab/>
        <w:t>evidence of compliance and records</w:t>
      </w:r>
      <w:bookmarkEnd w:id="51"/>
      <w:bookmarkEnd w:id="52"/>
    </w:p>
    <w:p w:rsidR="00592679" w:rsidRDefault="00592679" w:rsidP="00592679">
      <w:pPr>
        <w:contextualSpacing/>
      </w:pPr>
      <w:r>
        <w:t xml:space="preserve">Further to </w:t>
      </w:r>
      <w:r w:rsidRPr="007559B4">
        <w:rPr>
          <w:i/>
        </w:rPr>
        <w:t>Standard Specification G1 General Conditions Clause G1.7</w:t>
      </w:r>
      <w:r>
        <w:t xml:space="preserve"> </w:t>
      </w:r>
      <w:r w:rsidRPr="00C759E7">
        <w:rPr>
          <w:i/>
        </w:rPr>
        <w:t>Records</w:t>
      </w:r>
      <w:r>
        <w:t>, the Contractor shall keep records of:</w:t>
      </w:r>
    </w:p>
    <w:p w:rsidR="00592679" w:rsidRDefault="00592679" w:rsidP="00C60DBA">
      <w:pPr>
        <w:pStyle w:val="ListParagraph"/>
        <w:numPr>
          <w:ilvl w:val="0"/>
          <w:numId w:val="14"/>
        </w:numPr>
        <w:ind w:left="851" w:hanging="284"/>
      </w:pPr>
      <w:r>
        <w:t>location of lot boundaries, determined by changes in subgrade materials, cut and fill and treatment method;</w:t>
      </w:r>
    </w:p>
    <w:p w:rsidR="00592679" w:rsidRDefault="00592679" w:rsidP="00C60DBA">
      <w:pPr>
        <w:pStyle w:val="ListParagraph"/>
        <w:numPr>
          <w:ilvl w:val="0"/>
          <w:numId w:val="14"/>
        </w:numPr>
        <w:ind w:left="851" w:hanging="284"/>
      </w:pPr>
      <w:r>
        <w:t xml:space="preserve">the nature of subgrade treatment in cuts and where used, the method of proving the subgrade by either Insitu CBR tests or by proof rolling; </w:t>
      </w:r>
    </w:p>
    <w:p w:rsidR="00592679" w:rsidRDefault="00592679" w:rsidP="00C60DBA">
      <w:pPr>
        <w:pStyle w:val="ListParagraph"/>
        <w:numPr>
          <w:ilvl w:val="0"/>
          <w:numId w:val="14"/>
        </w:numPr>
        <w:ind w:left="851" w:hanging="284"/>
      </w:pPr>
      <w:r>
        <w:t>the source of any imported material used within a particular lot;</w:t>
      </w:r>
    </w:p>
    <w:p w:rsidR="00592679" w:rsidRDefault="00592679" w:rsidP="00C60DBA">
      <w:pPr>
        <w:pStyle w:val="ListParagraph"/>
        <w:numPr>
          <w:ilvl w:val="0"/>
          <w:numId w:val="14"/>
        </w:numPr>
        <w:ind w:left="851" w:hanging="284"/>
      </w:pPr>
      <w:r>
        <w:t xml:space="preserve">results of laboratory and field test results for each lot.  </w:t>
      </w:r>
    </w:p>
    <w:p w:rsidR="00592679" w:rsidRDefault="00592679" w:rsidP="00592679">
      <w:pPr>
        <w:contextualSpacing/>
      </w:pPr>
    </w:p>
    <w:p w:rsidR="00592679" w:rsidRDefault="00592679" w:rsidP="00592679">
      <w:pPr>
        <w:contextualSpacing/>
      </w:pPr>
      <w:r>
        <w:t>Test results shall include:</w:t>
      </w:r>
    </w:p>
    <w:p w:rsidR="00592679" w:rsidRDefault="00592679" w:rsidP="00C60DBA">
      <w:pPr>
        <w:pStyle w:val="ListParagraph"/>
        <w:numPr>
          <w:ilvl w:val="0"/>
          <w:numId w:val="15"/>
        </w:numPr>
        <w:ind w:left="851" w:hanging="284"/>
      </w:pPr>
      <w:r>
        <w:t>particle size distribution, Atterberg Limits and the Plastic Index x percentage passing the 0.425mm sieve and /or whichever is appropriate, Laboratory Soaked CBR test results including maximum density and OMC of imported materials;</w:t>
      </w:r>
    </w:p>
    <w:p w:rsidR="00592679" w:rsidRDefault="00592679" w:rsidP="00C60DBA">
      <w:pPr>
        <w:pStyle w:val="ListParagraph"/>
        <w:numPr>
          <w:ilvl w:val="0"/>
          <w:numId w:val="15"/>
        </w:numPr>
        <w:ind w:left="851" w:hanging="284"/>
      </w:pPr>
      <w:r>
        <w:t xml:space="preserve">field compaction test results as defined in </w:t>
      </w:r>
      <w:r w:rsidRPr="0015389A">
        <w:rPr>
          <w:i/>
        </w:rPr>
        <w:t>Standard Specification G4  Compaction Assessment, Clause G4.6.3</w:t>
      </w:r>
      <w:r>
        <w:t>;</w:t>
      </w:r>
    </w:p>
    <w:p w:rsidR="00592679" w:rsidRDefault="00592679" w:rsidP="00C60DBA">
      <w:pPr>
        <w:pStyle w:val="ListParagraph"/>
        <w:numPr>
          <w:ilvl w:val="0"/>
          <w:numId w:val="15"/>
        </w:numPr>
        <w:ind w:left="851" w:hanging="284"/>
      </w:pPr>
      <w:r>
        <w:t xml:space="preserve">Insitu CBR test results as defined in </w:t>
      </w:r>
      <w:r w:rsidRPr="0015389A">
        <w:rPr>
          <w:i/>
        </w:rPr>
        <w:t>Appendices R23</w:t>
      </w:r>
      <w:r w:rsidR="0015389A" w:rsidRPr="0015389A">
        <w:rPr>
          <w:i/>
        </w:rPr>
        <w:t>.</w:t>
      </w:r>
      <w:r w:rsidRPr="0015389A">
        <w:rPr>
          <w:i/>
        </w:rPr>
        <w:t>A and R23</w:t>
      </w:r>
      <w:r w:rsidR="0015389A" w:rsidRPr="0015389A">
        <w:rPr>
          <w:i/>
        </w:rPr>
        <w:t>.</w:t>
      </w:r>
      <w:r w:rsidRPr="0015389A">
        <w:rPr>
          <w:i/>
        </w:rPr>
        <w:t>B</w:t>
      </w:r>
      <w:r>
        <w:t>;</w:t>
      </w:r>
    </w:p>
    <w:p w:rsidR="00592679" w:rsidRDefault="00592679" w:rsidP="00C60DBA">
      <w:pPr>
        <w:pStyle w:val="ListParagraph"/>
        <w:numPr>
          <w:ilvl w:val="0"/>
          <w:numId w:val="15"/>
        </w:numPr>
        <w:ind w:left="851" w:hanging="284"/>
      </w:pPr>
      <w:r>
        <w:t>the location of zones within each lot where non-compliance occurred in the Insitu CBR tests and/or in the proof rolling.</w:t>
      </w:r>
    </w:p>
    <w:p w:rsidR="00592679" w:rsidRDefault="00592679" w:rsidP="00592679">
      <w:pPr>
        <w:contextualSpacing/>
      </w:pPr>
    </w:p>
    <w:p w:rsidR="00592679" w:rsidRDefault="00592679" w:rsidP="00592679">
      <w:pPr>
        <w:contextualSpacing/>
      </w:pPr>
      <w:r>
        <w:t>The above records shall be made available for inspection by the Superintendent on request and shall be included with the Completed Works Reports.</w:t>
      </w:r>
    </w:p>
    <w:p w:rsidR="00592679" w:rsidRDefault="00592679" w:rsidP="00592679">
      <w:pPr>
        <w:contextualSpacing/>
      </w:pPr>
    </w:p>
    <w:p w:rsidR="00592679" w:rsidRDefault="00592679" w:rsidP="00592679">
      <w:pPr>
        <w:contextualSpacing/>
      </w:pPr>
      <w:r>
        <w:t>The Contractor shall submit subgrade Insitu CBR, compaction and subgrade surface level results to the Superintendent with the Hold Point release request.</w:t>
      </w:r>
    </w:p>
    <w:p w:rsidR="00592679" w:rsidRDefault="00592679" w:rsidP="00592679">
      <w:pPr>
        <w:contextualSpacing/>
      </w:pPr>
    </w:p>
    <w:p w:rsidR="00592679" w:rsidRDefault="00592679" w:rsidP="00592679">
      <w:pPr>
        <w:pStyle w:val="Heading1"/>
      </w:pPr>
      <w:bookmarkStart w:id="53" w:name="_Toc287006306"/>
      <w:bookmarkStart w:id="54" w:name="_Toc357777225"/>
      <w:r>
        <w:t>r23.10</w:t>
      </w:r>
      <w:r>
        <w:tab/>
        <w:t>measurement and payment</w:t>
      </w:r>
      <w:bookmarkEnd w:id="53"/>
      <w:bookmarkEnd w:id="54"/>
    </w:p>
    <w:p w:rsidR="00592679" w:rsidRDefault="00592679" w:rsidP="00592679">
      <w:pPr>
        <w:contextualSpacing/>
      </w:pPr>
      <w:r>
        <w:t xml:space="preserve">Further to </w:t>
      </w:r>
      <w:r w:rsidRPr="0015389A">
        <w:rPr>
          <w:i/>
        </w:rPr>
        <w:t>Standard Specification G1 General Provisions Clause G1.18.2</w:t>
      </w:r>
      <w:r>
        <w:t xml:space="preserve">, when field measurement of subgrade zone preparation is undertaken payment shall be for the compacted in-place volume to a depth </w:t>
      </w:r>
      <w:r w:rsidRPr="0015389A">
        <w:t xml:space="preserve">of </w:t>
      </w:r>
      <w:r w:rsidRPr="0015389A">
        <w:rPr>
          <w:bCs/>
        </w:rPr>
        <w:t>200</w:t>
      </w:r>
      <w:r w:rsidRPr="0015389A">
        <w:t>mm</w:t>
      </w:r>
      <w:r>
        <w:t xml:space="preserve"> below formation level within the design parameters at the relevant Schedule of Rates items.  </w:t>
      </w:r>
    </w:p>
    <w:p w:rsidR="00592679" w:rsidRDefault="00592679" w:rsidP="00592679">
      <w:pPr>
        <w:contextualSpacing/>
      </w:pPr>
    </w:p>
    <w:p w:rsidR="00592679" w:rsidRDefault="00592679" w:rsidP="00592679">
      <w:pPr>
        <w:contextualSpacing/>
      </w:pPr>
      <w:r>
        <w:t xml:space="preserve">There shall be no payment for re-instatement of over excavation, or areas of unsatisfactory materials or work methods. </w:t>
      </w:r>
    </w:p>
    <w:p w:rsidR="00592679" w:rsidRDefault="00592679" w:rsidP="00592679">
      <w:pPr>
        <w:contextualSpacing/>
      </w:pPr>
    </w:p>
    <w:p w:rsidR="00592679" w:rsidRDefault="00592679" w:rsidP="00592679">
      <w:pPr>
        <w:contextualSpacing/>
      </w:pPr>
      <w:r>
        <w:t>Payment for low embankments excavation and placement of fill shall be at the relevant Schedule of Rates items.</w:t>
      </w:r>
    </w:p>
    <w:p w:rsidR="00592679" w:rsidRDefault="00592679" w:rsidP="00592679">
      <w:pPr>
        <w:contextualSpacing/>
      </w:pPr>
    </w:p>
    <w:p w:rsidR="00592679" w:rsidRDefault="00592679" w:rsidP="00592679">
      <w:pPr>
        <w:contextualSpacing/>
      </w:pPr>
      <w:r>
        <w:t>The Contractor shall be responsible for any damage to the prepared subgrade surface caused by traffic, weather, flooding and other agents.  Where damage occurs the Contractor shall reinstate the subgrade to the specified condition at no cost to the Principal.</w:t>
      </w:r>
    </w:p>
    <w:p w:rsidR="00592679" w:rsidRDefault="00592679" w:rsidP="00592679">
      <w:pPr>
        <w:contextualSpacing/>
      </w:pPr>
    </w:p>
    <w:p w:rsidR="00592679" w:rsidRDefault="00592679" w:rsidP="00592679">
      <w:pPr>
        <w:contextualSpacing/>
      </w:pPr>
      <w:r>
        <w:t>The cost of laboratory and in-situ testing and proof rolling is deemed to be included in the rate for scheduled item number 2.04.</w:t>
      </w:r>
    </w:p>
    <w:p w:rsidR="00592679" w:rsidRPr="001A0F9E" w:rsidRDefault="00592679" w:rsidP="00592679">
      <w:pPr>
        <w:contextualSpacing/>
      </w:pPr>
      <w:bookmarkStart w:id="55" w:name="_Toc287006307"/>
    </w:p>
    <w:p w:rsidR="00592679" w:rsidRDefault="00592679" w:rsidP="00592679">
      <w:pPr>
        <w:pStyle w:val="Heading1"/>
      </w:pPr>
      <w:bookmarkStart w:id="56" w:name="_Toc357777226"/>
      <w:r>
        <w:t>r23.11</w:t>
      </w:r>
      <w:r>
        <w:tab/>
        <w:t>hold points</w:t>
      </w:r>
      <w:bookmarkEnd w:id="55"/>
      <w:bookmarkEnd w:id="56"/>
    </w:p>
    <w:p w:rsidR="00592679" w:rsidRPr="002411B0" w:rsidRDefault="00592679" w:rsidP="00592679">
      <w:pPr>
        <w:contextualSpacing/>
      </w:pPr>
      <w:r w:rsidRPr="002411B0">
        <w:t>The following hold points have been identified in this specification:</w:t>
      </w:r>
    </w:p>
    <w:p w:rsidR="00592679" w:rsidRDefault="00592679" w:rsidP="00592679">
      <w:pPr>
        <w:contextualSpacing/>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376"/>
        <w:gridCol w:w="2254"/>
        <w:gridCol w:w="2810"/>
        <w:gridCol w:w="3415"/>
      </w:tblGrid>
      <w:tr w:rsidR="00592679" w:rsidTr="004A7CD3">
        <w:tc>
          <w:tcPr>
            <w:tcW w:w="1384" w:type="dxa"/>
            <w:vAlign w:val="center"/>
          </w:tcPr>
          <w:p w:rsidR="00592679" w:rsidRDefault="00592679" w:rsidP="004A7CD3">
            <w:pPr>
              <w:pStyle w:val="Heading4"/>
              <w:spacing w:after="0"/>
              <w:jc w:val="center"/>
            </w:pPr>
            <w:r>
              <w:t>Clause Ref</w:t>
            </w:r>
          </w:p>
        </w:tc>
        <w:tc>
          <w:tcPr>
            <w:tcW w:w="2268" w:type="dxa"/>
            <w:vAlign w:val="center"/>
          </w:tcPr>
          <w:p w:rsidR="00592679" w:rsidRDefault="00592679" w:rsidP="004A7CD3">
            <w:pPr>
              <w:pStyle w:val="Heading4"/>
              <w:spacing w:after="0"/>
              <w:jc w:val="center"/>
            </w:pPr>
            <w:r>
              <w:t>Description</w:t>
            </w:r>
          </w:p>
        </w:tc>
        <w:tc>
          <w:tcPr>
            <w:tcW w:w="2835" w:type="dxa"/>
            <w:vAlign w:val="center"/>
          </w:tcPr>
          <w:p w:rsidR="00592679" w:rsidRDefault="00592679" w:rsidP="004A7CD3">
            <w:pPr>
              <w:pStyle w:val="Heading4"/>
              <w:spacing w:after="0"/>
              <w:jc w:val="center"/>
            </w:pPr>
            <w:r>
              <w:t>Nominated work not to proceed</w:t>
            </w:r>
          </w:p>
        </w:tc>
        <w:tc>
          <w:tcPr>
            <w:tcW w:w="3449" w:type="dxa"/>
            <w:vAlign w:val="center"/>
          </w:tcPr>
          <w:p w:rsidR="00592679" w:rsidRDefault="00592679" w:rsidP="004A7CD3">
            <w:pPr>
              <w:pStyle w:val="Heading4"/>
              <w:spacing w:after="0"/>
              <w:jc w:val="center"/>
            </w:pPr>
            <w:r>
              <w:t>Evidence of Compliance</w:t>
            </w:r>
          </w:p>
        </w:tc>
      </w:tr>
      <w:tr w:rsidR="00592679" w:rsidTr="00EF6E43">
        <w:tc>
          <w:tcPr>
            <w:tcW w:w="1384" w:type="dxa"/>
          </w:tcPr>
          <w:p w:rsidR="00592679" w:rsidRDefault="00592679" w:rsidP="00EF6E43">
            <w:pPr>
              <w:spacing w:after="0"/>
              <w:contextualSpacing/>
              <w:jc w:val="center"/>
            </w:pPr>
            <w:r>
              <w:t>R23.6</w:t>
            </w:r>
          </w:p>
        </w:tc>
        <w:tc>
          <w:tcPr>
            <w:tcW w:w="2268" w:type="dxa"/>
          </w:tcPr>
          <w:p w:rsidR="00592679" w:rsidRDefault="00592679" w:rsidP="00EF6E43">
            <w:pPr>
              <w:spacing w:after="0"/>
              <w:contextualSpacing/>
              <w:jc w:val="left"/>
            </w:pPr>
            <w:r>
              <w:t>Materials for subgrade zone</w:t>
            </w:r>
          </w:p>
        </w:tc>
        <w:tc>
          <w:tcPr>
            <w:tcW w:w="2835" w:type="dxa"/>
          </w:tcPr>
          <w:p w:rsidR="00592679" w:rsidRDefault="00592679" w:rsidP="00EF6E43">
            <w:pPr>
              <w:spacing w:after="0"/>
              <w:contextualSpacing/>
              <w:jc w:val="left"/>
            </w:pPr>
            <w:r>
              <w:t>Placement of material in subgrade zone</w:t>
            </w:r>
          </w:p>
        </w:tc>
        <w:tc>
          <w:tcPr>
            <w:tcW w:w="3449" w:type="dxa"/>
          </w:tcPr>
          <w:p w:rsidR="00592679" w:rsidRDefault="00592679" w:rsidP="00EF6E43">
            <w:pPr>
              <w:spacing w:after="0"/>
              <w:contextualSpacing/>
              <w:jc w:val="left"/>
            </w:pPr>
            <w:r>
              <w:t>Test results</w:t>
            </w:r>
          </w:p>
        </w:tc>
      </w:tr>
      <w:tr w:rsidR="00592679" w:rsidTr="00EF6E43">
        <w:tc>
          <w:tcPr>
            <w:tcW w:w="1384" w:type="dxa"/>
          </w:tcPr>
          <w:p w:rsidR="00592679" w:rsidRDefault="00592679" w:rsidP="00EF6E43">
            <w:pPr>
              <w:spacing w:after="0"/>
              <w:contextualSpacing/>
              <w:jc w:val="center"/>
            </w:pPr>
            <w:r>
              <w:t>R23.7</w:t>
            </w:r>
          </w:p>
        </w:tc>
        <w:tc>
          <w:tcPr>
            <w:tcW w:w="2268" w:type="dxa"/>
          </w:tcPr>
          <w:p w:rsidR="00592679" w:rsidRDefault="00592679" w:rsidP="00EF6E43">
            <w:pPr>
              <w:spacing w:after="0"/>
              <w:contextualSpacing/>
              <w:jc w:val="left"/>
            </w:pPr>
            <w:r>
              <w:t>Assessment of insitu material</w:t>
            </w:r>
          </w:p>
        </w:tc>
        <w:tc>
          <w:tcPr>
            <w:tcW w:w="2835" w:type="dxa"/>
          </w:tcPr>
          <w:p w:rsidR="00592679" w:rsidRDefault="00592679" w:rsidP="00EF6E43">
            <w:pPr>
              <w:spacing w:after="0"/>
              <w:contextualSpacing/>
              <w:jc w:val="left"/>
            </w:pPr>
            <w:r>
              <w:t>Excavation of insitu material</w:t>
            </w:r>
          </w:p>
        </w:tc>
        <w:tc>
          <w:tcPr>
            <w:tcW w:w="3449" w:type="dxa"/>
          </w:tcPr>
          <w:p w:rsidR="00592679" w:rsidRDefault="00592679" w:rsidP="00EF6E43">
            <w:pPr>
              <w:spacing w:after="0"/>
              <w:contextualSpacing/>
              <w:jc w:val="left"/>
            </w:pPr>
            <w:r>
              <w:t>Penetrometer results or proof rolling</w:t>
            </w:r>
          </w:p>
        </w:tc>
      </w:tr>
      <w:tr w:rsidR="00592679" w:rsidTr="00EF6E43">
        <w:tc>
          <w:tcPr>
            <w:tcW w:w="1384" w:type="dxa"/>
          </w:tcPr>
          <w:p w:rsidR="00592679" w:rsidRDefault="00592679" w:rsidP="00EF6E43">
            <w:pPr>
              <w:spacing w:after="0"/>
              <w:contextualSpacing/>
              <w:jc w:val="center"/>
            </w:pPr>
            <w:r>
              <w:t>R23.8</w:t>
            </w:r>
          </w:p>
        </w:tc>
        <w:tc>
          <w:tcPr>
            <w:tcW w:w="2268" w:type="dxa"/>
          </w:tcPr>
          <w:p w:rsidR="00592679" w:rsidRDefault="00592679" w:rsidP="00EF6E43">
            <w:pPr>
              <w:spacing w:after="0"/>
              <w:contextualSpacing/>
              <w:jc w:val="left"/>
            </w:pPr>
            <w:r>
              <w:t>Top of subgrade</w:t>
            </w:r>
          </w:p>
        </w:tc>
        <w:tc>
          <w:tcPr>
            <w:tcW w:w="2835" w:type="dxa"/>
          </w:tcPr>
          <w:p w:rsidR="00592679" w:rsidRDefault="00592679" w:rsidP="00EF6E43">
            <w:pPr>
              <w:spacing w:after="0"/>
              <w:contextualSpacing/>
              <w:jc w:val="left"/>
            </w:pPr>
            <w:r>
              <w:t>Placement of pavement material</w:t>
            </w:r>
          </w:p>
        </w:tc>
        <w:tc>
          <w:tcPr>
            <w:tcW w:w="3449" w:type="dxa"/>
          </w:tcPr>
          <w:p w:rsidR="00592679" w:rsidRDefault="00592679" w:rsidP="00EF6E43">
            <w:pPr>
              <w:spacing w:after="0"/>
              <w:contextualSpacing/>
              <w:jc w:val="left"/>
            </w:pPr>
            <w:r>
              <w:t>Test results</w:t>
            </w:r>
          </w:p>
        </w:tc>
      </w:tr>
    </w:tbl>
    <w:p w:rsidR="00592679" w:rsidRDefault="00592679" w:rsidP="00592679">
      <w:pPr>
        <w:contextualSpacing/>
      </w:pPr>
    </w:p>
    <w:p w:rsidR="00592679" w:rsidRDefault="00592679" w:rsidP="00592679">
      <w:pPr>
        <w:contextualSpacing/>
        <w:rPr>
          <w:b/>
          <w:bCs/>
        </w:rPr>
      </w:pPr>
      <w:r>
        <w:t>No pavement material shall be placed on prepared subgrade until the Hold Points are released by the Superintendent.</w:t>
      </w:r>
    </w:p>
    <w:p w:rsidR="00592679" w:rsidRDefault="00592679" w:rsidP="00592679">
      <w:pPr>
        <w:contextualSpacing/>
      </w:pPr>
    </w:p>
    <w:p w:rsidR="00592679" w:rsidRDefault="00592679" w:rsidP="00592679">
      <w:pPr>
        <w:contextualSpacing/>
      </w:pPr>
      <w:r>
        <w:br w:type="page"/>
      </w:r>
    </w:p>
    <w:p w:rsidR="00592679" w:rsidRDefault="006E3FC0" w:rsidP="00592679">
      <w:pPr>
        <w:pStyle w:val="Heading1"/>
      </w:pPr>
      <w:bookmarkStart w:id="57" w:name="_Toc247005303"/>
      <w:bookmarkStart w:id="58" w:name="_Toc287006308"/>
      <w:bookmarkStart w:id="59" w:name="_Toc357777227"/>
      <w:r>
        <w:lastRenderedPageBreak/>
        <w:t>Appendix R23.</w:t>
      </w:r>
      <w:r w:rsidR="00592679">
        <w:t>A</w:t>
      </w:r>
      <w:r>
        <w:t xml:space="preserve"> – </w:t>
      </w:r>
      <w:r w:rsidR="00592679">
        <w:t>Estimate of the Insitu CBR using a Farnell Cone Penetrometer</w:t>
      </w:r>
      <w:bookmarkEnd w:id="57"/>
      <w:bookmarkEnd w:id="58"/>
      <w:bookmarkEnd w:id="59"/>
    </w:p>
    <w:p w:rsidR="00592679" w:rsidRDefault="00B43418" w:rsidP="0021152D">
      <w:pPr>
        <w:pStyle w:val="Heading2"/>
      </w:pPr>
      <w:bookmarkStart w:id="60" w:name="_Toc247005304"/>
      <w:bookmarkStart w:id="61" w:name="_Toc287006309"/>
      <w:bookmarkStart w:id="62" w:name="_Toc357777228"/>
      <w:r>
        <w:t>R23.</w:t>
      </w:r>
      <w:r w:rsidR="00592679">
        <w:t>A</w:t>
      </w:r>
      <w:r>
        <w:t>.</w:t>
      </w:r>
      <w:r w:rsidR="00592679">
        <w:t>1</w:t>
      </w:r>
      <w:r w:rsidR="00592679">
        <w:tab/>
        <w:t>Scope</w:t>
      </w:r>
      <w:bookmarkEnd w:id="60"/>
      <w:bookmarkEnd w:id="61"/>
      <w:bookmarkEnd w:id="62"/>
    </w:p>
    <w:p w:rsidR="00592679" w:rsidRDefault="00592679" w:rsidP="00592679">
      <w:pPr>
        <w:contextualSpacing/>
      </w:pPr>
      <w:r>
        <w:t>The following describes a method of measuring the Insitu CBR of cohesive fine grained soils using a Farnell Penetrometer.</w:t>
      </w:r>
      <w:r w:rsidRPr="003862EE">
        <w:t xml:space="preserve"> </w:t>
      </w:r>
      <w:r>
        <w:t>The testing, whenever practical, shall be undertaken when the cut level is in the order of 100mm above formation level and extended to at least 100mm below the subgrade zone.</w:t>
      </w:r>
    </w:p>
    <w:p w:rsidR="00592679" w:rsidRPr="00321168" w:rsidRDefault="00592679" w:rsidP="00592679">
      <w:pPr>
        <w:contextualSpacing/>
      </w:pPr>
    </w:p>
    <w:p w:rsidR="00592679" w:rsidRDefault="00592679" w:rsidP="00592679">
      <w:pPr>
        <w:contextualSpacing/>
      </w:pPr>
      <w:r>
        <w:t>The Farnell Penetrometer is a proprietary device.  It includes a head fitted with driving handles and two rotating scales and steel cones.  The CBR cone is the smaller of the two cones.  The cones are pushed into the ground via the handles and scaled connecting rods.  The reaction of the cone to the soil is measured on the rotating scales within the head.  The two scales read Cone Index (CI) and CBR.</w:t>
      </w:r>
    </w:p>
    <w:p w:rsidR="00592679" w:rsidRDefault="00592679" w:rsidP="00592679">
      <w:pPr>
        <w:contextualSpacing/>
      </w:pPr>
    </w:p>
    <w:p w:rsidR="00592679" w:rsidRDefault="00592679" w:rsidP="00592679">
      <w:pPr>
        <w:contextualSpacing/>
      </w:pPr>
      <w:r>
        <w:t>The method is limited to CBR’s of less than 15.  It is not appropriate for cohesionless soils or soils containing significant gravel and stone.</w:t>
      </w:r>
    </w:p>
    <w:p w:rsidR="00592679" w:rsidRDefault="00592679" w:rsidP="00592679">
      <w:pPr>
        <w:contextualSpacing/>
      </w:pPr>
    </w:p>
    <w:p w:rsidR="00592679" w:rsidRDefault="00B43418" w:rsidP="0021152D">
      <w:pPr>
        <w:pStyle w:val="Heading2"/>
      </w:pPr>
      <w:bookmarkStart w:id="63" w:name="_Toc247005305"/>
      <w:bookmarkStart w:id="64" w:name="_Toc287006310"/>
      <w:bookmarkStart w:id="65" w:name="_Toc357777229"/>
      <w:r>
        <w:t>R23.</w:t>
      </w:r>
      <w:r w:rsidR="00592679">
        <w:t>A</w:t>
      </w:r>
      <w:r>
        <w:t>.</w:t>
      </w:r>
      <w:r w:rsidR="00592679">
        <w:t>2</w:t>
      </w:r>
      <w:r w:rsidR="00592679">
        <w:tab/>
        <w:t>Equipment</w:t>
      </w:r>
      <w:bookmarkEnd w:id="63"/>
      <w:bookmarkEnd w:id="64"/>
      <w:bookmarkEnd w:id="65"/>
    </w:p>
    <w:p w:rsidR="00592679" w:rsidRDefault="00592679" w:rsidP="00C60DBA">
      <w:pPr>
        <w:pStyle w:val="ListParagraph"/>
        <w:numPr>
          <w:ilvl w:val="0"/>
          <w:numId w:val="16"/>
        </w:numPr>
        <w:ind w:left="851" w:hanging="284"/>
      </w:pPr>
      <w:r>
        <w:t>Farnell Penetrometer head. (Note 1)</w:t>
      </w:r>
    </w:p>
    <w:p w:rsidR="00592679" w:rsidRDefault="00592679" w:rsidP="00C60DBA">
      <w:pPr>
        <w:pStyle w:val="ListParagraph"/>
        <w:numPr>
          <w:ilvl w:val="0"/>
          <w:numId w:val="16"/>
        </w:numPr>
        <w:ind w:left="851" w:hanging="284"/>
      </w:pPr>
      <w:r>
        <w:t>Extension rods</w:t>
      </w:r>
    </w:p>
    <w:p w:rsidR="00592679" w:rsidRDefault="00592679" w:rsidP="00C60DBA">
      <w:pPr>
        <w:pStyle w:val="ListParagraph"/>
        <w:numPr>
          <w:ilvl w:val="0"/>
          <w:numId w:val="16"/>
        </w:numPr>
        <w:ind w:left="851" w:hanging="284"/>
      </w:pPr>
      <w:r>
        <w:t>CBR Cone (30º Cone, not less than 12.5mm diameter) (Note 1)</w:t>
      </w:r>
    </w:p>
    <w:p w:rsidR="00592679" w:rsidRDefault="00592679" w:rsidP="00C60DBA">
      <w:pPr>
        <w:pStyle w:val="ListParagraph"/>
        <w:numPr>
          <w:ilvl w:val="0"/>
          <w:numId w:val="16"/>
        </w:numPr>
        <w:ind w:left="851" w:hanging="284"/>
      </w:pPr>
      <w:r>
        <w:t>Spanner tools</w:t>
      </w:r>
    </w:p>
    <w:p w:rsidR="00592679" w:rsidRDefault="00592679" w:rsidP="00C60DBA">
      <w:pPr>
        <w:pStyle w:val="ListParagraph"/>
        <w:numPr>
          <w:ilvl w:val="0"/>
          <w:numId w:val="16"/>
        </w:numPr>
        <w:ind w:left="851" w:hanging="284"/>
      </w:pPr>
      <w:r>
        <w:t>Recording Sheets</w:t>
      </w:r>
    </w:p>
    <w:p w:rsidR="00592679" w:rsidRDefault="00592679" w:rsidP="00592679">
      <w:pPr>
        <w:contextualSpacing/>
      </w:pPr>
    </w:p>
    <w:p w:rsidR="00592679" w:rsidRDefault="00B43418" w:rsidP="0021152D">
      <w:pPr>
        <w:pStyle w:val="Heading2"/>
      </w:pPr>
      <w:bookmarkStart w:id="66" w:name="_Toc247005306"/>
      <w:bookmarkStart w:id="67" w:name="_Toc287006311"/>
      <w:bookmarkStart w:id="68" w:name="_Toc357777230"/>
      <w:r>
        <w:t>R23.</w:t>
      </w:r>
      <w:r w:rsidR="00592679">
        <w:t>A</w:t>
      </w:r>
      <w:r>
        <w:t>.</w:t>
      </w:r>
      <w:r w:rsidR="00592679">
        <w:t>3</w:t>
      </w:r>
      <w:r w:rsidR="00592679">
        <w:tab/>
        <w:t>Method</w:t>
      </w:r>
      <w:bookmarkEnd w:id="66"/>
      <w:bookmarkEnd w:id="67"/>
      <w:bookmarkEnd w:id="68"/>
    </w:p>
    <w:p w:rsidR="00592679" w:rsidRDefault="00592679" w:rsidP="00C60DBA">
      <w:pPr>
        <w:pStyle w:val="ListParagraph"/>
        <w:numPr>
          <w:ilvl w:val="0"/>
          <w:numId w:val="18"/>
        </w:numPr>
        <w:ind w:left="851" w:hanging="284"/>
      </w:pPr>
      <w:r>
        <w:t>Assemble the instrument, ensuring that the correct (the smaller) cone is selected.  Check the connection of the cone to the rod. Check zero on the CBR scale and adjust if required by turning the screw under rubber sleeve with an appropriate Allen Key.</w:t>
      </w:r>
    </w:p>
    <w:p w:rsidR="00592679" w:rsidRDefault="00592679" w:rsidP="00C60DBA">
      <w:pPr>
        <w:pStyle w:val="ListParagraph"/>
        <w:numPr>
          <w:ilvl w:val="0"/>
          <w:numId w:val="18"/>
        </w:numPr>
        <w:ind w:left="851" w:hanging="284"/>
      </w:pPr>
      <w:r>
        <w:t>Push the penetrometer steadily into the ground at a rate of approximately 10mm per second.  Be careful not to bend the rod or to change the direction of thrust.  The penetration depth should not exceed 600mm.</w:t>
      </w:r>
    </w:p>
    <w:p w:rsidR="00592679" w:rsidRDefault="00592679" w:rsidP="00C60DBA">
      <w:pPr>
        <w:pStyle w:val="ListParagraph"/>
        <w:numPr>
          <w:ilvl w:val="0"/>
          <w:numId w:val="18"/>
        </w:numPr>
        <w:ind w:left="851" w:hanging="284"/>
      </w:pPr>
      <w:r>
        <w:t>Record the cumulative penetration (mm) and the average reading on the CBR scale  to the nearest 0.5 over each 50 or 75mm of penetration (Note 2).</w:t>
      </w:r>
    </w:p>
    <w:p w:rsidR="00592679" w:rsidRDefault="00592679" w:rsidP="00C60DBA">
      <w:pPr>
        <w:pStyle w:val="ListParagraph"/>
        <w:numPr>
          <w:ilvl w:val="0"/>
          <w:numId w:val="18"/>
        </w:numPr>
        <w:ind w:left="851" w:hanging="284"/>
      </w:pPr>
      <w:r>
        <w:t xml:space="preserve">Calculate the average CBR recorded within the subgrade zone at each test site.  </w:t>
      </w:r>
    </w:p>
    <w:p w:rsidR="00592679" w:rsidRDefault="00592679" w:rsidP="00592679">
      <w:pPr>
        <w:contextualSpacing/>
      </w:pPr>
    </w:p>
    <w:p w:rsidR="00592679" w:rsidRDefault="00B43418" w:rsidP="0021152D">
      <w:pPr>
        <w:pStyle w:val="Heading2"/>
      </w:pPr>
      <w:bookmarkStart w:id="69" w:name="_Toc287006312"/>
      <w:bookmarkStart w:id="70" w:name="_Toc357777231"/>
      <w:r>
        <w:t>R23.</w:t>
      </w:r>
      <w:r w:rsidR="00592679" w:rsidRPr="00076EFB">
        <w:t>A</w:t>
      </w:r>
      <w:r>
        <w:t>.</w:t>
      </w:r>
      <w:r w:rsidR="00592679">
        <w:t>4</w:t>
      </w:r>
      <w:r w:rsidR="00592679" w:rsidRPr="00076EFB">
        <w:t xml:space="preserve"> </w:t>
      </w:r>
      <w:r>
        <w:tab/>
      </w:r>
      <w:r w:rsidR="00592679" w:rsidRPr="00076EFB">
        <w:t>Representative Insitu CBR</w:t>
      </w:r>
      <w:bookmarkEnd w:id="69"/>
      <w:bookmarkEnd w:id="70"/>
    </w:p>
    <w:p w:rsidR="00592679" w:rsidRPr="00D908B9" w:rsidRDefault="00592679" w:rsidP="00592679">
      <w:pPr>
        <w:contextualSpacing/>
      </w:pPr>
      <w:r>
        <w:t>Th</w:t>
      </w:r>
      <w:r w:rsidRPr="00321168">
        <w:t>e</w:t>
      </w:r>
      <w:r w:rsidRPr="009273DE">
        <w:t xml:space="preserve"> </w:t>
      </w:r>
      <w:r w:rsidR="007F7176" w:rsidRPr="009273DE">
        <w:t>R</w:t>
      </w:r>
      <w:r w:rsidRPr="009273DE">
        <w:t>epresentative</w:t>
      </w:r>
      <w:r w:rsidRPr="00321168">
        <w:t xml:space="preserve"> insitu CBR for the subgrade zone</w:t>
      </w:r>
      <w:r>
        <w:t xml:space="preserve"> is the lowest average CBR recorded within the particular lot, determined i</w:t>
      </w:r>
      <w:r w:rsidR="0015389A">
        <w:t xml:space="preserve">n accordance with </w:t>
      </w:r>
      <w:r w:rsidR="0015389A" w:rsidRPr="0015389A">
        <w:rPr>
          <w:i/>
        </w:rPr>
        <w:t>Step 4 of R23.</w:t>
      </w:r>
      <w:r w:rsidRPr="0015389A">
        <w:rPr>
          <w:i/>
        </w:rPr>
        <w:t>A</w:t>
      </w:r>
      <w:r w:rsidR="0015389A" w:rsidRPr="0015389A">
        <w:rPr>
          <w:i/>
        </w:rPr>
        <w:t>.</w:t>
      </w:r>
      <w:r w:rsidRPr="0015389A">
        <w:rPr>
          <w:i/>
        </w:rPr>
        <w:t>3</w:t>
      </w:r>
      <w:r w:rsidRPr="00321168">
        <w:t xml:space="preserve">. </w:t>
      </w:r>
    </w:p>
    <w:p w:rsidR="00592679" w:rsidRDefault="00592679" w:rsidP="00592679">
      <w:pPr>
        <w:contextualSpacing/>
      </w:pPr>
    </w:p>
    <w:p w:rsidR="00592679" w:rsidRDefault="00B43418" w:rsidP="0021152D">
      <w:pPr>
        <w:pStyle w:val="Heading2"/>
      </w:pPr>
      <w:bookmarkStart w:id="71" w:name="_Toc247005307"/>
      <w:bookmarkStart w:id="72" w:name="_Toc287006313"/>
      <w:bookmarkStart w:id="73" w:name="_Toc357777232"/>
      <w:r>
        <w:t>R23.</w:t>
      </w:r>
      <w:r w:rsidR="00592679">
        <w:t>A</w:t>
      </w:r>
      <w:r>
        <w:t>.</w:t>
      </w:r>
      <w:r w:rsidR="00592679">
        <w:t>5</w:t>
      </w:r>
      <w:r w:rsidR="00592679">
        <w:tab/>
        <w:t>Report</w:t>
      </w:r>
      <w:bookmarkEnd w:id="71"/>
      <w:bookmarkEnd w:id="72"/>
      <w:bookmarkEnd w:id="73"/>
    </w:p>
    <w:p w:rsidR="00592679" w:rsidRDefault="00592679" w:rsidP="00592679">
      <w:pPr>
        <w:contextualSpacing/>
      </w:pPr>
      <w:r>
        <w:t>The report shall include:</w:t>
      </w:r>
    </w:p>
    <w:p w:rsidR="00592679" w:rsidRDefault="00592679" w:rsidP="00C60DBA">
      <w:pPr>
        <w:pStyle w:val="ListParagraph"/>
        <w:numPr>
          <w:ilvl w:val="0"/>
          <w:numId w:val="17"/>
        </w:numPr>
        <w:ind w:left="851" w:hanging="284"/>
      </w:pPr>
      <w:r>
        <w:t>The reading interval (50 or 75mm) of the penetrometer rod.</w:t>
      </w:r>
    </w:p>
    <w:p w:rsidR="00592679" w:rsidRDefault="00592679" w:rsidP="00C60DBA">
      <w:pPr>
        <w:pStyle w:val="ListParagraph"/>
        <w:numPr>
          <w:ilvl w:val="0"/>
          <w:numId w:val="17"/>
        </w:numPr>
        <w:ind w:left="851" w:hanging="284"/>
      </w:pPr>
      <w:r>
        <w:t>Table of the measured Insitu CBR at each test interval and the average CBR within the subgrade zone for each test site within the particular lot, including the chainage and offset;</w:t>
      </w:r>
    </w:p>
    <w:p w:rsidR="00592679" w:rsidRDefault="00592679" w:rsidP="00C60DBA">
      <w:pPr>
        <w:pStyle w:val="ListParagraph"/>
        <w:numPr>
          <w:ilvl w:val="0"/>
          <w:numId w:val="17"/>
        </w:numPr>
        <w:ind w:left="851" w:hanging="284"/>
      </w:pPr>
      <w:r>
        <w:t>Representative Insitu CBR;</w:t>
      </w:r>
    </w:p>
    <w:p w:rsidR="00592679" w:rsidRDefault="00592679" w:rsidP="00C60DBA">
      <w:pPr>
        <w:pStyle w:val="ListParagraph"/>
        <w:numPr>
          <w:ilvl w:val="0"/>
          <w:numId w:val="17"/>
        </w:numPr>
        <w:ind w:left="851" w:hanging="284"/>
      </w:pPr>
      <w:r>
        <w:t xml:space="preserve">The mean of all the test results, calculated in accordance with </w:t>
      </w:r>
      <w:r w:rsidRPr="0015389A">
        <w:rPr>
          <w:i/>
        </w:rPr>
        <w:t>Step 4 of R23</w:t>
      </w:r>
      <w:r w:rsidR="0015389A" w:rsidRPr="0015389A">
        <w:rPr>
          <w:i/>
        </w:rPr>
        <w:t>.</w:t>
      </w:r>
      <w:r w:rsidRPr="0015389A">
        <w:rPr>
          <w:i/>
        </w:rPr>
        <w:t>A</w:t>
      </w:r>
      <w:r w:rsidR="0015389A" w:rsidRPr="0015389A">
        <w:rPr>
          <w:i/>
        </w:rPr>
        <w:t>.</w:t>
      </w:r>
      <w:r w:rsidRPr="0015389A">
        <w:rPr>
          <w:i/>
        </w:rPr>
        <w:t>3</w:t>
      </w:r>
      <w:r w:rsidRPr="00321168">
        <w:t>.</w:t>
      </w:r>
    </w:p>
    <w:p w:rsidR="008A688F" w:rsidRDefault="008A688F" w:rsidP="00592679">
      <w:pPr>
        <w:contextualSpacing/>
      </w:pPr>
    </w:p>
    <w:p w:rsidR="00592679" w:rsidRPr="0069268F" w:rsidRDefault="00592679" w:rsidP="00592679">
      <w:pPr>
        <w:contextualSpacing/>
        <w:rPr>
          <w:i/>
        </w:rPr>
      </w:pPr>
      <w:r w:rsidRPr="0069268F">
        <w:rPr>
          <w:i/>
        </w:rPr>
        <w:t>Notes:</w:t>
      </w:r>
    </w:p>
    <w:p w:rsidR="00592679" w:rsidRPr="00C60DBA" w:rsidRDefault="00592679" w:rsidP="00C60DBA">
      <w:pPr>
        <w:pStyle w:val="ListParagraph"/>
        <w:numPr>
          <w:ilvl w:val="0"/>
          <w:numId w:val="19"/>
        </w:numPr>
        <w:ind w:left="851" w:hanging="284"/>
        <w:rPr>
          <w:i/>
        </w:rPr>
      </w:pPr>
      <w:r w:rsidRPr="00C60DBA">
        <w:rPr>
          <w:i/>
        </w:rPr>
        <w:t>The penetrometer shall have a valid calibration, not more than 2 years old.  The load deflection relationship for the CI scale shall be within the range, of 0.95 to 1.05 of Load = CI x 0.225.</w:t>
      </w:r>
    </w:p>
    <w:p w:rsidR="00592679" w:rsidRPr="00321168" w:rsidRDefault="00592679" w:rsidP="00C60DBA">
      <w:pPr>
        <w:ind w:left="851" w:hanging="284"/>
        <w:contextualSpacing/>
        <w:jc w:val="left"/>
        <w:rPr>
          <w:i/>
        </w:rPr>
      </w:pPr>
    </w:p>
    <w:p w:rsidR="00592679" w:rsidRPr="00C60DBA" w:rsidRDefault="00C60DBA" w:rsidP="00C60DBA">
      <w:pPr>
        <w:pStyle w:val="ListParagraph"/>
        <w:ind w:left="851" w:hanging="284"/>
        <w:rPr>
          <w:i/>
        </w:rPr>
      </w:pPr>
      <w:r>
        <w:rPr>
          <w:i/>
        </w:rPr>
        <w:lastRenderedPageBreak/>
        <w:tab/>
      </w:r>
      <w:r w:rsidR="00592679" w:rsidRPr="00C60DBA">
        <w:rPr>
          <w:i/>
        </w:rPr>
        <w:t>The Farnell kit contains a template to check the diameter of the cone.  The cone should not fit through the hole.  The diameter should not exceed 12.7mm.  The point should be sharp and not noticeably rounded.  The sides of the cone should not be scored.</w:t>
      </w:r>
    </w:p>
    <w:p w:rsidR="00592679" w:rsidRPr="00321168" w:rsidRDefault="00592679" w:rsidP="00C60DBA">
      <w:pPr>
        <w:ind w:left="851" w:hanging="284"/>
        <w:contextualSpacing/>
        <w:jc w:val="left"/>
        <w:rPr>
          <w:i/>
        </w:rPr>
      </w:pPr>
    </w:p>
    <w:p w:rsidR="00592679" w:rsidRPr="00C60DBA" w:rsidRDefault="00592679" w:rsidP="00C60DBA">
      <w:pPr>
        <w:pStyle w:val="ListParagraph"/>
        <w:numPr>
          <w:ilvl w:val="0"/>
          <w:numId w:val="19"/>
        </w:numPr>
        <w:ind w:left="851" w:hanging="284"/>
        <w:rPr>
          <w:i/>
        </w:rPr>
      </w:pPr>
      <w:r w:rsidRPr="00C60DBA">
        <w:rPr>
          <w:i/>
        </w:rPr>
        <w:t>The rods will normally have markings at 75mm.  Some are marked at 50mm.  Either interval is satisfactory but has to be recorded. The calculation of average values will be based on 3 or 4 readings with the 50mm interval and 2 readings with the 75mm intervals</w:t>
      </w:r>
    </w:p>
    <w:p w:rsidR="00592679" w:rsidRDefault="00592679" w:rsidP="00C60DBA">
      <w:pPr>
        <w:ind w:left="851" w:hanging="284"/>
        <w:contextualSpacing/>
        <w:jc w:val="left"/>
        <w:rPr>
          <w:i/>
        </w:rPr>
      </w:pPr>
    </w:p>
    <w:p w:rsidR="00592679" w:rsidRPr="0015389A" w:rsidRDefault="00592679" w:rsidP="00C60DBA">
      <w:pPr>
        <w:pStyle w:val="ListParagraph"/>
        <w:numPr>
          <w:ilvl w:val="0"/>
          <w:numId w:val="19"/>
        </w:numPr>
        <w:ind w:left="851" w:hanging="284"/>
        <w:rPr>
          <w:i/>
        </w:rPr>
      </w:pPr>
      <w:r w:rsidRPr="0015389A">
        <w:rPr>
          <w:i/>
        </w:rPr>
        <w:t xml:space="preserve">Studies (Black WPM-TRRL Report 901 “ The Strength of Clay Subgrades: Its Measurement by a Penetrometer”) have indicated that the best estimate of the Insitu CBR is obtained by dividing the Cone Index Scale (CI) by 20.  It is recognised that readings based on the CBR scale, below a scale reading of CBR=7, will generally underestimate the Insitu CBR.  This inbuilt conservatism is generally acceptable to the Superintendent. </w:t>
      </w:r>
    </w:p>
    <w:p w:rsidR="00592679" w:rsidRDefault="00592679" w:rsidP="00592679">
      <w:pPr>
        <w:contextualSpacing/>
      </w:pPr>
    </w:p>
    <w:p w:rsidR="00592679" w:rsidRDefault="00592679" w:rsidP="00592679">
      <w:pPr>
        <w:contextualSpacing/>
      </w:pPr>
    </w:p>
    <w:p w:rsidR="00592679" w:rsidRDefault="00592679" w:rsidP="00592679">
      <w:pPr>
        <w:contextualSpacing/>
      </w:pPr>
    </w:p>
    <w:p w:rsidR="00592679" w:rsidRDefault="00592679" w:rsidP="00592679">
      <w:pPr>
        <w:contextualSpacing/>
      </w:pPr>
    </w:p>
    <w:p w:rsidR="00592679" w:rsidRPr="006C66FC" w:rsidRDefault="00592679" w:rsidP="00592679">
      <w:pPr>
        <w:pStyle w:val="Heading1"/>
      </w:pPr>
      <w:r>
        <w:br w:type="page"/>
      </w:r>
      <w:bookmarkStart w:id="74" w:name="_Toc287006314"/>
      <w:bookmarkStart w:id="75" w:name="_Toc357777233"/>
      <w:r w:rsidRPr="006C66FC">
        <w:lastRenderedPageBreak/>
        <w:t>Appendix R23</w:t>
      </w:r>
      <w:r w:rsidR="006E3FC0">
        <w:t>.</w:t>
      </w:r>
      <w:r w:rsidRPr="006C66FC">
        <w:t>B</w:t>
      </w:r>
      <w:r w:rsidRPr="006C66FC">
        <w:tab/>
      </w:r>
      <w:r w:rsidR="006E3FC0">
        <w:t xml:space="preserve"> – </w:t>
      </w:r>
      <w:r w:rsidRPr="006C66FC">
        <w:t>Estimate of insitu CBR with a 9 kg Dynamic Cone Penetrometer</w:t>
      </w:r>
      <w:bookmarkEnd w:id="74"/>
      <w:bookmarkEnd w:id="75"/>
    </w:p>
    <w:p w:rsidR="00592679" w:rsidRDefault="00592679" w:rsidP="0021152D">
      <w:pPr>
        <w:pStyle w:val="Heading2"/>
      </w:pPr>
      <w:bookmarkStart w:id="76" w:name="_Toc247005309"/>
      <w:bookmarkStart w:id="77" w:name="_Toc287006315"/>
      <w:bookmarkStart w:id="78" w:name="_Toc357777234"/>
      <w:r>
        <w:t>R23</w:t>
      </w:r>
      <w:r w:rsidR="00B43418">
        <w:t>.B.</w:t>
      </w:r>
      <w:r>
        <w:t>1</w:t>
      </w:r>
      <w:r>
        <w:tab/>
        <w:t>Scope</w:t>
      </w:r>
      <w:bookmarkEnd w:id="76"/>
      <w:bookmarkEnd w:id="77"/>
      <w:bookmarkEnd w:id="78"/>
    </w:p>
    <w:p w:rsidR="00592679" w:rsidRDefault="00592679" w:rsidP="00592679">
      <w:pPr>
        <w:contextualSpacing/>
      </w:pPr>
      <w:r>
        <w:t xml:space="preserve">The following describes a method of estimating the Insitu CBR of cohesive fine grained souls using a 9 kg dynamic cone penetrometer.  The test method follows </w:t>
      </w:r>
      <w:r w:rsidRPr="0015389A">
        <w:rPr>
          <w:i/>
        </w:rPr>
        <w:t>AS1289.6.3.2 “Soil Strength and Consolidation Tests – Determination of the penetrometer resistance of a soil-9 kg dynamic cone penetrometer test”</w:t>
      </w:r>
      <w:r>
        <w:t>.</w:t>
      </w:r>
    </w:p>
    <w:p w:rsidR="00592679" w:rsidRDefault="00592679" w:rsidP="00592679">
      <w:pPr>
        <w:contextualSpacing/>
      </w:pPr>
    </w:p>
    <w:p w:rsidR="00592679" w:rsidRDefault="00592679" w:rsidP="00592679">
      <w:pPr>
        <w:contextualSpacing/>
      </w:pPr>
      <w:r>
        <w:t>The testing, whenever practical, shall be undertaken when the cut level is in the order of 100mm above formation level and extended to at least 100mm below the subgrade zone.</w:t>
      </w:r>
    </w:p>
    <w:p w:rsidR="00592679" w:rsidRDefault="00592679" w:rsidP="00592679">
      <w:pPr>
        <w:contextualSpacing/>
      </w:pPr>
    </w:p>
    <w:p w:rsidR="00592679" w:rsidRDefault="00592679" w:rsidP="0021152D">
      <w:pPr>
        <w:pStyle w:val="Heading2"/>
      </w:pPr>
      <w:bookmarkStart w:id="79" w:name="_Toc247005310"/>
      <w:bookmarkStart w:id="80" w:name="_Toc287006316"/>
      <w:bookmarkStart w:id="81" w:name="_Toc357777235"/>
      <w:r>
        <w:t>R23</w:t>
      </w:r>
      <w:r w:rsidR="00B43418">
        <w:t>.</w:t>
      </w:r>
      <w:r>
        <w:t>B</w:t>
      </w:r>
      <w:r w:rsidR="00B43418">
        <w:t>.</w:t>
      </w:r>
      <w:r>
        <w:t>2</w:t>
      </w:r>
      <w:r>
        <w:tab/>
        <w:t>Apparatus</w:t>
      </w:r>
      <w:bookmarkEnd w:id="79"/>
      <w:bookmarkEnd w:id="80"/>
      <w:bookmarkEnd w:id="81"/>
    </w:p>
    <w:p w:rsidR="00592679" w:rsidRDefault="00592679" w:rsidP="00592679">
      <w:pPr>
        <w:contextualSpacing/>
      </w:pPr>
      <w:r>
        <w:t xml:space="preserve">As per </w:t>
      </w:r>
      <w:r w:rsidRPr="0015389A">
        <w:rPr>
          <w:i/>
        </w:rPr>
        <w:t>AS12</w:t>
      </w:r>
      <w:r w:rsidR="0015389A">
        <w:rPr>
          <w:i/>
        </w:rPr>
        <w:t>89.6.</w:t>
      </w:r>
      <w:r w:rsidRPr="0015389A">
        <w:rPr>
          <w:i/>
        </w:rPr>
        <w:t>3.2</w:t>
      </w:r>
      <w:r>
        <w:t>.</w:t>
      </w:r>
    </w:p>
    <w:p w:rsidR="00592679" w:rsidRDefault="00592679" w:rsidP="00592679">
      <w:pPr>
        <w:contextualSpacing/>
      </w:pPr>
    </w:p>
    <w:p w:rsidR="00592679" w:rsidRDefault="00592679" w:rsidP="0021152D">
      <w:pPr>
        <w:pStyle w:val="Heading2"/>
      </w:pPr>
      <w:bookmarkStart w:id="82" w:name="_Toc247005311"/>
      <w:bookmarkStart w:id="83" w:name="_Toc287006317"/>
      <w:bookmarkStart w:id="84" w:name="_Toc357777236"/>
      <w:r>
        <w:t>R23</w:t>
      </w:r>
      <w:r w:rsidR="00B43418">
        <w:t>.</w:t>
      </w:r>
      <w:r>
        <w:t>B</w:t>
      </w:r>
      <w:r w:rsidR="00B43418">
        <w:t>.</w:t>
      </w:r>
      <w:r>
        <w:t>3</w:t>
      </w:r>
      <w:r>
        <w:tab/>
        <w:t>Procedure</w:t>
      </w:r>
      <w:bookmarkEnd w:id="82"/>
      <w:bookmarkEnd w:id="83"/>
      <w:bookmarkEnd w:id="84"/>
    </w:p>
    <w:p w:rsidR="00592679" w:rsidRDefault="00592679" w:rsidP="00592679">
      <w:pPr>
        <w:contextualSpacing/>
      </w:pPr>
      <w:r>
        <w:t xml:space="preserve">Generally as per </w:t>
      </w:r>
      <w:r w:rsidR="0015389A">
        <w:rPr>
          <w:i/>
        </w:rPr>
        <w:t>AS1289.6.</w:t>
      </w:r>
      <w:r w:rsidRPr="0015389A">
        <w:rPr>
          <w:i/>
        </w:rPr>
        <w:t>3.2</w:t>
      </w:r>
      <w:r>
        <w:t xml:space="preserve"> with the following explanations.</w:t>
      </w:r>
    </w:p>
    <w:p w:rsidR="00592679" w:rsidRDefault="00592679" w:rsidP="00592679">
      <w:pPr>
        <w:contextualSpacing/>
      </w:pPr>
    </w:p>
    <w:p w:rsidR="00592679" w:rsidRDefault="00592679" w:rsidP="00C60DBA">
      <w:pPr>
        <w:pStyle w:val="ListParagraph"/>
        <w:numPr>
          <w:ilvl w:val="0"/>
          <w:numId w:val="20"/>
        </w:numPr>
        <w:ind w:left="851" w:hanging="284"/>
      </w:pPr>
      <w:r>
        <w:t>Record the cumulative penetration (mm) after every second fall of the hammer until;</w:t>
      </w:r>
    </w:p>
    <w:p w:rsidR="00592679" w:rsidRDefault="00592679" w:rsidP="00C60DBA">
      <w:pPr>
        <w:pStyle w:val="ListParagraph"/>
        <w:numPr>
          <w:ilvl w:val="0"/>
          <w:numId w:val="21"/>
        </w:numPr>
        <w:tabs>
          <w:tab w:val="left" w:pos="1701"/>
        </w:tabs>
        <w:ind w:left="1418" w:hanging="284"/>
        <w:jc w:val="both"/>
      </w:pPr>
      <w:r>
        <w:t xml:space="preserve">The cone has penetrated to at least 100mm below the subgrade zone, or </w:t>
      </w:r>
    </w:p>
    <w:p w:rsidR="00592679" w:rsidRDefault="00592679" w:rsidP="00C60DBA">
      <w:pPr>
        <w:pStyle w:val="ListParagraph"/>
        <w:numPr>
          <w:ilvl w:val="0"/>
          <w:numId w:val="21"/>
        </w:numPr>
        <w:tabs>
          <w:tab w:val="left" w:pos="1701"/>
        </w:tabs>
        <w:ind w:left="1418" w:hanging="284"/>
        <w:jc w:val="both"/>
      </w:pPr>
      <w:r>
        <w:t xml:space="preserve">After 20 falls of the hammer when in the event that the cone has not penetrated to 100mm below the subgrade zone. </w:t>
      </w:r>
    </w:p>
    <w:p w:rsidR="00592679" w:rsidRDefault="00592679" w:rsidP="00C60DBA">
      <w:pPr>
        <w:pStyle w:val="ListParagraph"/>
        <w:numPr>
          <w:ilvl w:val="0"/>
          <w:numId w:val="20"/>
        </w:numPr>
        <w:ind w:left="851" w:hanging="284"/>
      </w:pPr>
      <w:r>
        <w:t xml:space="preserve">Calculate the penetration (mm) per hammer fall for each of the reading sets of </w:t>
      </w:r>
      <w:r w:rsidRPr="0015389A">
        <w:rPr>
          <w:i/>
        </w:rPr>
        <w:t>R23</w:t>
      </w:r>
      <w:r w:rsidR="0015389A" w:rsidRPr="0015389A">
        <w:rPr>
          <w:i/>
        </w:rPr>
        <w:t>.</w:t>
      </w:r>
      <w:r w:rsidRPr="0015389A">
        <w:rPr>
          <w:i/>
        </w:rPr>
        <w:t>B</w:t>
      </w:r>
      <w:r w:rsidR="0015389A" w:rsidRPr="0015389A">
        <w:rPr>
          <w:i/>
        </w:rPr>
        <w:t>.</w:t>
      </w:r>
      <w:r w:rsidRPr="0015389A">
        <w:rPr>
          <w:i/>
        </w:rPr>
        <w:t>3.1</w:t>
      </w:r>
      <w:r>
        <w:t>.</w:t>
      </w:r>
    </w:p>
    <w:p w:rsidR="00592679" w:rsidRDefault="00592679" w:rsidP="00C60DBA">
      <w:pPr>
        <w:pStyle w:val="ListParagraph"/>
        <w:numPr>
          <w:ilvl w:val="0"/>
          <w:numId w:val="20"/>
        </w:numPr>
        <w:ind w:left="851" w:hanging="284"/>
      </w:pPr>
      <w:r>
        <w:t xml:space="preserve">Determine the insitu CBR for each of the reading sets using </w:t>
      </w:r>
      <w:r w:rsidRPr="0015389A">
        <w:rPr>
          <w:i/>
        </w:rPr>
        <w:t>Table R23</w:t>
      </w:r>
      <w:r w:rsidR="0015389A" w:rsidRPr="0015389A">
        <w:rPr>
          <w:i/>
        </w:rPr>
        <w:t>.</w:t>
      </w:r>
      <w:r w:rsidRPr="0015389A">
        <w:rPr>
          <w:i/>
        </w:rPr>
        <w:t>B.1</w:t>
      </w:r>
      <w:r>
        <w:t xml:space="preserve"> and record. </w:t>
      </w:r>
    </w:p>
    <w:p w:rsidR="00592679" w:rsidRDefault="00592679" w:rsidP="00592679">
      <w:pPr>
        <w:contextualSpacing/>
      </w:pPr>
    </w:p>
    <w:p w:rsidR="00592679" w:rsidRPr="00F9262A" w:rsidRDefault="00592679" w:rsidP="00F9262A">
      <w:pPr>
        <w:pStyle w:val="Heading4"/>
        <w:jc w:val="center"/>
        <w:rPr>
          <w:i/>
        </w:rPr>
      </w:pPr>
      <w:r w:rsidRPr="00F9262A">
        <w:rPr>
          <w:i/>
        </w:rPr>
        <w:t>Table R23</w:t>
      </w:r>
      <w:r w:rsidR="00F9262A" w:rsidRPr="00F9262A">
        <w:rPr>
          <w:i/>
        </w:rPr>
        <w:t>.</w:t>
      </w:r>
      <w:r w:rsidRPr="00F9262A">
        <w:rPr>
          <w:i/>
        </w:rPr>
        <w:t>B</w:t>
      </w:r>
      <w:r w:rsidR="00F9262A" w:rsidRPr="00F9262A">
        <w:rPr>
          <w:i/>
        </w:rPr>
        <w:t>.</w:t>
      </w:r>
      <w:r w:rsidRPr="00F9262A">
        <w:rPr>
          <w:i/>
        </w:rPr>
        <w:t xml:space="preserve">1 </w:t>
      </w:r>
      <w:r w:rsidR="00F9262A" w:rsidRPr="00F9262A">
        <w:rPr>
          <w:i/>
        </w:rPr>
        <w:t xml:space="preserve">– </w:t>
      </w:r>
      <w:r w:rsidRPr="00F9262A">
        <w:rPr>
          <w:i/>
        </w:rPr>
        <w:t>Estimation of Insitu CBR</w:t>
      </w:r>
    </w:p>
    <w:tbl>
      <w:tblPr>
        <w:tblW w:w="0" w:type="auto"/>
        <w:jc w:val="center"/>
        <w:tblInd w:w="-10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809"/>
        <w:gridCol w:w="1516"/>
      </w:tblGrid>
      <w:tr w:rsidR="00592679" w:rsidTr="00724D3A">
        <w:trPr>
          <w:trHeight w:val="20"/>
          <w:jc w:val="center"/>
        </w:trPr>
        <w:tc>
          <w:tcPr>
            <w:tcW w:w="2809" w:type="dxa"/>
            <w:shd w:val="clear" w:color="auto" w:fill="auto"/>
            <w:vAlign w:val="center"/>
          </w:tcPr>
          <w:p w:rsidR="00592679" w:rsidRDefault="00592679" w:rsidP="00E329C2">
            <w:pPr>
              <w:pStyle w:val="Heading4"/>
              <w:spacing w:after="0"/>
              <w:jc w:val="center"/>
            </w:pPr>
            <w:r>
              <w:t>Penetration (mm) fall</w:t>
            </w:r>
          </w:p>
        </w:tc>
        <w:tc>
          <w:tcPr>
            <w:tcW w:w="1516" w:type="dxa"/>
            <w:shd w:val="clear" w:color="auto" w:fill="auto"/>
            <w:vAlign w:val="center"/>
          </w:tcPr>
          <w:p w:rsidR="00592679" w:rsidRDefault="00592679" w:rsidP="00E329C2">
            <w:pPr>
              <w:pStyle w:val="Heading4"/>
              <w:spacing w:after="0"/>
              <w:jc w:val="center"/>
            </w:pPr>
            <w:r>
              <w:t>CBR</w:t>
            </w:r>
          </w:p>
        </w:tc>
      </w:tr>
      <w:tr w:rsidR="00592679" w:rsidTr="00E329C2">
        <w:trPr>
          <w:jc w:val="center"/>
        </w:trPr>
        <w:tc>
          <w:tcPr>
            <w:tcW w:w="2809" w:type="dxa"/>
            <w:vAlign w:val="center"/>
          </w:tcPr>
          <w:p w:rsidR="00592679" w:rsidRDefault="00592679" w:rsidP="00EF6E43">
            <w:pPr>
              <w:spacing w:after="0"/>
              <w:contextualSpacing/>
              <w:jc w:val="center"/>
            </w:pPr>
            <w:r>
              <w:t>&gt;90</w:t>
            </w:r>
          </w:p>
        </w:tc>
        <w:tc>
          <w:tcPr>
            <w:tcW w:w="1516" w:type="dxa"/>
            <w:vAlign w:val="center"/>
          </w:tcPr>
          <w:p w:rsidR="00592679" w:rsidRDefault="00592679" w:rsidP="00EF6E43">
            <w:pPr>
              <w:spacing w:after="0"/>
              <w:contextualSpacing/>
              <w:jc w:val="center"/>
            </w:pPr>
            <w:r>
              <w:t>&lt;2</w:t>
            </w:r>
          </w:p>
        </w:tc>
      </w:tr>
      <w:tr w:rsidR="00592679" w:rsidTr="00E329C2">
        <w:trPr>
          <w:jc w:val="center"/>
        </w:trPr>
        <w:tc>
          <w:tcPr>
            <w:tcW w:w="2809" w:type="dxa"/>
            <w:vAlign w:val="center"/>
          </w:tcPr>
          <w:p w:rsidR="00592679" w:rsidRDefault="00592679" w:rsidP="00EF6E43">
            <w:pPr>
              <w:spacing w:after="0"/>
              <w:contextualSpacing/>
              <w:jc w:val="center"/>
            </w:pPr>
            <w:r>
              <w:t>60-90</w:t>
            </w:r>
          </w:p>
        </w:tc>
        <w:tc>
          <w:tcPr>
            <w:tcW w:w="1516" w:type="dxa"/>
            <w:vAlign w:val="center"/>
          </w:tcPr>
          <w:p w:rsidR="00592679" w:rsidRDefault="00592679" w:rsidP="00EF6E43">
            <w:pPr>
              <w:spacing w:after="0"/>
              <w:contextualSpacing/>
              <w:jc w:val="center"/>
            </w:pPr>
            <w:r>
              <w:t>2</w:t>
            </w:r>
          </w:p>
        </w:tc>
      </w:tr>
      <w:tr w:rsidR="00592679" w:rsidTr="00E329C2">
        <w:trPr>
          <w:jc w:val="center"/>
        </w:trPr>
        <w:tc>
          <w:tcPr>
            <w:tcW w:w="2809" w:type="dxa"/>
            <w:vAlign w:val="center"/>
          </w:tcPr>
          <w:p w:rsidR="00592679" w:rsidRDefault="00592679" w:rsidP="00EF6E43">
            <w:pPr>
              <w:spacing w:after="0"/>
              <w:contextualSpacing/>
              <w:jc w:val="center"/>
            </w:pPr>
            <w:r>
              <w:t>50-59</w:t>
            </w:r>
          </w:p>
        </w:tc>
        <w:tc>
          <w:tcPr>
            <w:tcW w:w="1516" w:type="dxa"/>
            <w:vAlign w:val="center"/>
          </w:tcPr>
          <w:p w:rsidR="00592679" w:rsidRDefault="00592679" w:rsidP="00EF6E43">
            <w:pPr>
              <w:spacing w:after="0"/>
              <w:contextualSpacing/>
              <w:jc w:val="center"/>
            </w:pPr>
            <w:r>
              <w:t>3</w:t>
            </w:r>
          </w:p>
        </w:tc>
      </w:tr>
      <w:tr w:rsidR="00592679" w:rsidTr="00E329C2">
        <w:trPr>
          <w:jc w:val="center"/>
        </w:trPr>
        <w:tc>
          <w:tcPr>
            <w:tcW w:w="2809" w:type="dxa"/>
            <w:vAlign w:val="center"/>
          </w:tcPr>
          <w:p w:rsidR="00592679" w:rsidRDefault="00592679" w:rsidP="00EF6E43">
            <w:pPr>
              <w:spacing w:after="0"/>
              <w:contextualSpacing/>
              <w:jc w:val="center"/>
            </w:pPr>
            <w:r>
              <w:t>40-49</w:t>
            </w:r>
          </w:p>
        </w:tc>
        <w:tc>
          <w:tcPr>
            <w:tcW w:w="1516" w:type="dxa"/>
            <w:vAlign w:val="center"/>
          </w:tcPr>
          <w:p w:rsidR="00592679" w:rsidRDefault="00592679" w:rsidP="00EF6E43">
            <w:pPr>
              <w:spacing w:after="0"/>
              <w:contextualSpacing/>
              <w:jc w:val="center"/>
            </w:pPr>
            <w:r>
              <w:t>4</w:t>
            </w:r>
          </w:p>
        </w:tc>
      </w:tr>
      <w:tr w:rsidR="00592679" w:rsidTr="00E329C2">
        <w:trPr>
          <w:jc w:val="center"/>
        </w:trPr>
        <w:tc>
          <w:tcPr>
            <w:tcW w:w="2809" w:type="dxa"/>
            <w:vAlign w:val="center"/>
          </w:tcPr>
          <w:p w:rsidR="00592679" w:rsidRDefault="00592679" w:rsidP="00EF6E43">
            <w:pPr>
              <w:spacing w:after="0"/>
              <w:contextualSpacing/>
              <w:jc w:val="center"/>
            </w:pPr>
            <w:r>
              <w:t>30-39</w:t>
            </w:r>
          </w:p>
        </w:tc>
        <w:tc>
          <w:tcPr>
            <w:tcW w:w="1516" w:type="dxa"/>
            <w:vAlign w:val="center"/>
          </w:tcPr>
          <w:p w:rsidR="00592679" w:rsidRDefault="00592679" w:rsidP="00EF6E43">
            <w:pPr>
              <w:spacing w:after="0"/>
              <w:contextualSpacing/>
              <w:jc w:val="center"/>
            </w:pPr>
            <w:r>
              <w:t>5</w:t>
            </w:r>
          </w:p>
        </w:tc>
      </w:tr>
      <w:tr w:rsidR="00592679" w:rsidTr="00E329C2">
        <w:trPr>
          <w:jc w:val="center"/>
        </w:trPr>
        <w:tc>
          <w:tcPr>
            <w:tcW w:w="2809" w:type="dxa"/>
            <w:vAlign w:val="center"/>
          </w:tcPr>
          <w:p w:rsidR="00592679" w:rsidRDefault="00592679" w:rsidP="00EF6E43">
            <w:pPr>
              <w:spacing w:after="0"/>
              <w:contextualSpacing/>
              <w:jc w:val="center"/>
            </w:pPr>
            <w:r>
              <w:t>25-29</w:t>
            </w:r>
          </w:p>
        </w:tc>
        <w:tc>
          <w:tcPr>
            <w:tcW w:w="1516" w:type="dxa"/>
            <w:vAlign w:val="center"/>
          </w:tcPr>
          <w:p w:rsidR="00592679" w:rsidRDefault="00592679" w:rsidP="00EF6E43">
            <w:pPr>
              <w:spacing w:after="0"/>
              <w:contextualSpacing/>
              <w:jc w:val="center"/>
            </w:pPr>
            <w:r>
              <w:t>7</w:t>
            </w:r>
          </w:p>
        </w:tc>
      </w:tr>
      <w:tr w:rsidR="00592679" w:rsidTr="00E329C2">
        <w:trPr>
          <w:jc w:val="center"/>
        </w:trPr>
        <w:tc>
          <w:tcPr>
            <w:tcW w:w="2809" w:type="dxa"/>
            <w:vAlign w:val="center"/>
          </w:tcPr>
          <w:p w:rsidR="00592679" w:rsidRDefault="00592679" w:rsidP="00EF6E43">
            <w:pPr>
              <w:spacing w:after="0"/>
              <w:contextualSpacing/>
              <w:jc w:val="center"/>
            </w:pPr>
            <w:r>
              <w:t>15-24</w:t>
            </w:r>
          </w:p>
        </w:tc>
        <w:tc>
          <w:tcPr>
            <w:tcW w:w="1516" w:type="dxa"/>
            <w:vAlign w:val="center"/>
          </w:tcPr>
          <w:p w:rsidR="00592679" w:rsidRDefault="00592679" w:rsidP="00EF6E43">
            <w:pPr>
              <w:spacing w:after="0"/>
              <w:contextualSpacing/>
              <w:jc w:val="center"/>
            </w:pPr>
            <w:r>
              <w:t>10</w:t>
            </w:r>
          </w:p>
        </w:tc>
      </w:tr>
      <w:tr w:rsidR="00592679" w:rsidTr="00E329C2">
        <w:trPr>
          <w:jc w:val="center"/>
        </w:trPr>
        <w:tc>
          <w:tcPr>
            <w:tcW w:w="2809" w:type="dxa"/>
            <w:vAlign w:val="center"/>
          </w:tcPr>
          <w:p w:rsidR="00592679" w:rsidRDefault="00592679" w:rsidP="00EF6E43">
            <w:pPr>
              <w:spacing w:after="0"/>
              <w:contextualSpacing/>
              <w:jc w:val="center"/>
            </w:pPr>
            <w:r>
              <w:t>&lt;15</w:t>
            </w:r>
          </w:p>
        </w:tc>
        <w:tc>
          <w:tcPr>
            <w:tcW w:w="1516" w:type="dxa"/>
            <w:vAlign w:val="center"/>
          </w:tcPr>
          <w:p w:rsidR="00592679" w:rsidRDefault="00592679" w:rsidP="00EF6E43">
            <w:pPr>
              <w:spacing w:after="0"/>
              <w:contextualSpacing/>
              <w:jc w:val="center"/>
            </w:pPr>
            <w:r>
              <w:t>&gt;10</w:t>
            </w:r>
          </w:p>
        </w:tc>
      </w:tr>
    </w:tbl>
    <w:p w:rsidR="00592679" w:rsidRDefault="00592679" w:rsidP="00592679">
      <w:pPr>
        <w:contextualSpacing/>
      </w:pPr>
    </w:p>
    <w:p w:rsidR="00592679" w:rsidRDefault="00592679" w:rsidP="00C60DBA">
      <w:pPr>
        <w:pStyle w:val="ListParagraph"/>
        <w:numPr>
          <w:ilvl w:val="0"/>
          <w:numId w:val="20"/>
        </w:numPr>
        <w:ind w:left="851" w:hanging="284"/>
      </w:pPr>
      <w:r>
        <w:t>Determine the lowest CBR, averaged over any 150mm depth interval, or thereabouts, within the subgrade zone (Note 1).</w:t>
      </w:r>
    </w:p>
    <w:p w:rsidR="00592679" w:rsidRDefault="00592679" w:rsidP="00592679">
      <w:pPr>
        <w:contextualSpacing/>
      </w:pPr>
    </w:p>
    <w:p w:rsidR="00592679" w:rsidRDefault="00B43418" w:rsidP="0021152D">
      <w:pPr>
        <w:pStyle w:val="Heading2"/>
      </w:pPr>
      <w:bookmarkStart w:id="85" w:name="_Toc287006318"/>
      <w:bookmarkStart w:id="86" w:name="_Toc357777237"/>
      <w:r>
        <w:t>R23.</w:t>
      </w:r>
      <w:r w:rsidR="00592679">
        <w:t>B</w:t>
      </w:r>
      <w:r>
        <w:t>.</w:t>
      </w:r>
      <w:r w:rsidR="00592679" w:rsidRPr="009F47D8">
        <w:t xml:space="preserve">4 </w:t>
      </w:r>
      <w:r>
        <w:tab/>
      </w:r>
      <w:r w:rsidR="00592679" w:rsidRPr="009F47D8">
        <w:t>Representative CBR</w:t>
      </w:r>
      <w:bookmarkEnd w:id="85"/>
      <w:bookmarkEnd w:id="86"/>
    </w:p>
    <w:p w:rsidR="00592679" w:rsidRDefault="00592679" w:rsidP="00592679">
      <w:pPr>
        <w:contextualSpacing/>
      </w:pPr>
      <w:r>
        <w:t>The</w:t>
      </w:r>
      <w:r w:rsidRPr="004133C6">
        <w:t xml:space="preserve"> </w:t>
      </w:r>
      <w:r w:rsidR="007F7176" w:rsidRPr="004133C6">
        <w:t>R</w:t>
      </w:r>
      <w:r w:rsidRPr="004133C6">
        <w:t>epresentative</w:t>
      </w:r>
      <w:r>
        <w:t xml:space="preserve"> I</w:t>
      </w:r>
      <w:r w:rsidRPr="00321168">
        <w:t>nsitu CBR for the subgrade zone</w:t>
      </w:r>
      <w:r>
        <w:t xml:space="preserve"> is the lowest average CBR recorded within the particular lot, determined i</w:t>
      </w:r>
      <w:r w:rsidR="0015389A">
        <w:t xml:space="preserve">n accordance with </w:t>
      </w:r>
      <w:r w:rsidR="0015389A" w:rsidRPr="0015389A">
        <w:rPr>
          <w:i/>
        </w:rPr>
        <w:t>Step 4 of R23.</w:t>
      </w:r>
      <w:r w:rsidRPr="0015389A">
        <w:rPr>
          <w:i/>
        </w:rPr>
        <w:t>B</w:t>
      </w:r>
      <w:r w:rsidR="0015389A" w:rsidRPr="0015389A">
        <w:rPr>
          <w:i/>
        </w:rPr>
        <w:t>.</w:t>
      </w:r>
      <w:r w:rsidRPr="0015389A">
        <w:rPr>
          <w:i/>
        </w:rPr>
        <w:t>3</w:t>
      </w:r>
      <w:r w:rsidRPr="00321168">
        <w:t>.</w:t>
      </w:r>
    </w:p>
    <w:p w:rsidR="00592679" w:rsidRDefault="00592679" w:rsidP="00592679">
      <w:pPr>
        <w:contextualSpacing/>
      </w:pPr>
    </w:p>
    <w:p w:rsidR="00592679" w:rsidRDefault="00B43418" w:rsidP="0021152D">
      <w:pPr>
        <w:pStyle w:val="Heading2"/>
      </w:pPr>
      <w:bookmarkStart w:id="87" w:name="_Toc247005312"/>
      <w:bookmarkStart w:id="88" w:name="_Toc287006319"/>
      <w:bookmarkStart w:id="89" w:name="_Toc357777238"/>
      <w:r>
        <w:t>R23.</w:t>
      </w:r>
      <w:r w:rsidR="00592679">
        <w:t>B</w:t>
      </w:r>
      <w:r>
        <w:t>.</w:t>
      </w:r>
      <w:r w:rsidR="008A688F">
        <w:t>5</w:t>
      </w:r>
      <w:r w:rsidR="00592679">
        <w:tab/>
        <w:t>Report</w:t>
      </w:r>
      <w:bookmarkEnd w:id="87"/>
      <w:bookmarkEnd w:id="88"/>
      <w:bookmarkEnd w:id="89"/>
    </w:p>
    <w:p w:rsidR="00592679" w:rsidRDefault="00592679" w:rsidP="00592679">
      <w:pPr>
        <w:contextualSpacing/>
      </w:pPr>
      <w:r>
        <w:t>The report shall include:</w:t>
      </w:r>
    </w:p>
    <w:p w:rsidR="00592679" w:rsidRDefault="00592679" w:rsidP="00C60DBA">
      <w:pPr>
        <w:pStyle w:val="ListParagraph"/>
        <w:numPr>
          <w:ilvl w:val="0"/>
          <w:numId w:val="22"/>
        </w:numPr>
        <w:ind w:left="851" w:hanging="284"/>
      </w:pPr>
      <w:r>
        <w:t>Table of the number of hammer falls, penetration (mm) and estimated CBR for each test site within the particular lot, including the chainage and offset;</w:t>
      </w:r>
    </w:p>
    <w:p w:rsidR="00592679" w:rsidRDefault="00592679" w:rsidP="00C60DBA">
      <w:pPr>
        <w:pStyle w:val="ListParagraph"/>
        <w:numPr>
          <w:ilvl w:val="0"/>
          <w:numId w:val="22"/>
        </w:numPr>
        <w:ind w:left="851" w:hanging="284"/>
      </w:pPr>
      <w:r>
        <w:t>Representative Insitu CBR;</w:t>
      </w:r>
    </w:p>
    <w:p w:rsidR="00592679" w:rsidRDefault="00592679" w:rsidP="00C60DBA">
      <w:pPr>
        <w:pStyle w:val="ListParagraph"/>
        <w:numPr>
          <w:ilvl w:val="0"/>
          <w:numId w:val="22"/>
        </w:numPr>
        <w:ind w:left="851" w:hanging="284"/>
      </w:pPr>
      <w:r>
        <w:t>The mean of all the test results, calculated i</w:t>
      </w:r>
      <w:r w:rsidR="0015389A">
        <w:t xml:space="preserve">n accordance with </w:t>
      </w:r>
      <w:r w:rsidR="0015389A" w:rsidRPr="0015389A">
        <w:rPr>
          <w:i/>
        </w:rPr>
        <w:t>Step 4 of R23.</w:t>
      </w:r>
      <w:r w:rsidRPr="0015389A">
        <w:rPr>
          <w:i/>
        </w:rPr>
        <w:t>B</w:t>
      </w:r>
      <w:r w:rsidR="0015389A" w:rsidRPr="0015389A">
        <w:rPr>
          <w:i/>
        </w:rPr>
        <w:t>.</w:t>
      </w:r>
      <w:r w:rsidRPr="0015389A">
        <w:rPr>
          <w:i/>
        </w:rPr>
        <w:t>3</w:t>
      </w:r>
      <w:r w:rsidRPr="00321168">
        <w:t>.</w:t>
      </w:r>
    </w:p>
    <w:p w:rsidR="00592679" w:rsidRDefault="00592679" w:rsidP="00592679">
      <w:pPr>
        <w:contextualSpacing/>
      </w:pPr>
    </w:p>
    <w:p w:rsidR="00592679" w:rsidRPr="0069268F" w:rsidRDefault="00592679" w:rsidP="00592679">
      <w:pPr>
        <w:contextualSpacing/>
        <w:rPr>
          <w:i/>
        </w:rPr>
      </w:pPr>
      <w:r w:rsidRPr="0069268F">
        <w:rPr>
          <w:i/>
        </w:rPr>
        <w:t>Notes:</w:t>
      </w:r>
    </w:p>
    <w:p w:rsidR="00592679" w:rsidRPr="00411997" w:rsidRDefault="00592679" w:rsidP="00592679">
      <w:pPr>
        <w:contextualSpacing/>
        <w:rPr>
          <w:i/>
        </w:rPr>
      </w:pPr>
      <w:r w:rsidRPr="00411997">
        <w:rPr>
          <w:i/>
        </w:rPr>
        <w:t>The estimate should be derived from the whole number of blows to produce approximately 150mm of</w:t>
      </w:r>
      <w:r>
        <w:rPr>
          <w:i/>
        </w:rPr>
        <w:t xml:space="preserve"> penetration</w:t>
      </w:r>
      <w:r w:rsidRPr="00411997">
        <w:rPr>
          <w:i/>
        </w:rPr>
        <w:t xml:space="preserve">. </w:t>
      </w:r>
      <w:r>
        <w:rPr>
          <w:i/>
        </w:rPr>
        <w:t xml:space="preserve"> </w:t>
      </w:r>
      <w:r w:rsidRPr="00411997">
        <w:rPr>
          <w:i/>
        </w:rPr>
        <w:t xml:space="preserve">The depth interval may range between 100 and 200mm.   </w:t>
      </w:r>
    </w:p>
    <w:p w:rsidR="00592679" w:rsidRDefault="00592679" w:rsidP="00592679">
      <w:pPr>
        <w:contextualSpacing/>
      </w:pPr>
    </w:p>
    <w:p w:rsidR="00592679" w:rsidRPr="00FC67DF" w:rsidRDefault="00592679" w:rsidP="00592679">
      <w:pPr>
        <w:pStyle w:val="Heading1"/>
      </w:pPr>
      <w:r>
        <w:br w:type="page"/>
      </w:r>
      <w:bookmarkStart w:id="90" w:name="_Toc287006320"/>
      <w:bookmarkStart w:id="91" w:name="_Toc357777239"/>
      <w:r>
        <w:lastRenderedPageBreak/>
        <w:t>Appendix R23</w:t>
      </w:r>
      <w:r w:rsidR="006E3FC0">
        <w:t>.</w:t>
      </w:r>
      <w:r>
        <w:t xml:space="preserve">C </w:t>
      </w:r>
      <w:r w:rsidR="006E3FC0">
        <w:t xml:space="preserve">– </w:t>
      </w:r>
      <w:r w:rsidRPr="00FC67DF">
        <w:t>Unified Soil Classification System</w:t>
      </w:r>
      <w:bookmarkEnd w:id="90"/>
      <w:bookmarkEnd w:id="91"/>
    </w:p>
    <w:p w:rsidR="00592679" w:rsidRDefault="00592679" w:rsidP="00592679">
      <w:pPr>
        <w:contextualSpacing/>
      </w:pPr>
      <w:r>
        <w:t>The following is a s</w:t>
      </w:r>
      <w:r w:rsidRPr="00A274D6">
        <w:t xml:space="preserve">implified </w:t>
      </w:r>
      <w:r>
        <w:t>o</w:t>
      </w:r>
      <w:r w:rsidRPr="00A274D6">
        <w:t xml:space="preserve">utline </w:t>
      </w:r>
      <w:r>
        <w:t xml:space="preserve">of the Unified Soili/Classification system for the portion of material that pass the 63mm sieve.  It </w:t>
      </w:r>
      <w:r w:rsidRPr="00A274D6">
        <w:t>provides the framework of the system and describes the principal characteristics of the major groups.</w:t>
      </w:r>
    </w:p>
    <w:p w:rsidR="00592679" w:rsidRDefault="00592679" w:rsidP="00592679">
      <w:pPr>
        <w:contextualSpacing/>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08"/>
        <w:gridCol w:w="2031"/>
        <w:gridCol w:w="1235"/>
        <w:gridCol w:w="1165"/>
        <w:gridCol w:w="4616"/>
      </w:tblGrid>
      <w:tr w:rsidR="00592679" w:rsidRPr="00671676" w:rsidTr="00EF6E43">
        <w:trPr>
          <w:jc w:val="center"/>
        </w:trPr>
        <w:tc>
          <w:tcPr>
            <w:tcW w:w="2839" w:type="dxa"/>
            <w:gridSpan w:val="2"/>
            <w:vAlign w:val="center"/>
          </w:tcPr>
          <w:p w:rsidR="00592679" w:rsidRPr="00671676" w:rsidRDefault="00592679" w:rsidP="00EF6E43">
            <w:pPr>
              <w:pStyle w:val="Heading4"/>
              <w:spacing w:after="0"/>
              <w:jc w:val="center"/>
            </w:pPr>
            <w:r w:rsidRPr="00671676">
              <w:t>Major Divisions</w:t>
            </w:r>
          </w:p>
        </w:tc>
        <w:tc>
          <w:tcPr>
            <w:tcW w:w="1235" w:type="dxa"/>
            <w:vAlign w:val="center"/>
          </w:tcPr>
          <w:p w:rsidR="00592679" w:rsidRPr="00671676" w:rsidRDefault="00592679" w:rsidP="00EF6E43">
            <w:pPr>
              <w:pStyle w:val="Heading4"/>
              <w:spacing w:after="0"/>
              <w:jc w:val="center"/>
            </w:pPr>
            <w:r w:rsidRPr="00671676">
              <w:t>Minor Divisions</w:t>
            </w:r>
          </w:p>
        </w:tc>
        <w:tc>
          <w:tcPr>
            <w:tcW w:w="1165" w:type="dxa"/>
            <w:vAlign w:val="center"/>
          </w:tcPr>
          <w:p w:rsidR="00592679" w:rsidRPr="00671676" w:rsidRDefault="00592679" w:rsidP="00EF6E43">
            <w:pPr>
              <w:pStyle w:val="Heading4"/>
              <w:spacing w:after="0"/>
              <w:jc w:val="center"/>
            </w:pPr>
            <w:r w:rsidRPr="00671676">
              <w:t>Group Symbols</w:t>
            </w:r>
          </w:p>
        </w:tc>
        <w:tc>
          <w:tcPr>
            <w:tcW w:w="4616" w:type="dxa"/>
            <w:vAlign w:val="center"/>
          </w:tcPr>
          <w:p w:rsidR="00592679" w:rsidRPr="00671676" w:rsidRDefault="00592679" w:rsidP="00EF6E43">
            <w:pPr>
              <w:pStyle w:val="Heading4"/>
              <w:spacing w:after="0"/>
              <w:jc w:val="center"/>
            </w:pPr>
            <w:r w:rsidRPr="00671676">
              <w:t>Typical Names &amp; Properties</w:t>
            </w:r>
          </w:p>
        </w:tc>
      </w:tr>
      <w:tr w:rsidR="00592679" w:rsidRPr="00671676" w:rsidTr="00EF6E43">
        <w:trPr>
          <w:jc w:val="center"/>
        </w:trPr>
        <w:tc>
          <w:tcPr>
            <w:tcW w:w="808" w:type="dxa"/>
            <w:vMerge w:val="restart"/>
            <w:textDirection w:val="btLr"/>
            <w:vAlign w:val="center"/>
          </w:tcPr>
          <w:p w:rsidR="00592679" w:rsidRPr="00473396" w:rsidRDefault="00592679" w:rsidP="00EF6E43">
            <w:pPr>
              <w:spacing w:after="0"/>
              <w:contextualSpacing/>
              <w:jc w:val="center"/>
              <w:rPr>
                <w:b/>
              </w:rPr>
            </w:pPr>
            <w:r w:rsidRPr="00820822">
              <w:rPr>
                <w:b/>
              </w:rPr>
              <w:t>Coarse Grained Soils</w:t>
            </w:r>
          </w:p>
          <w:p w:rsidR="00592679" w:rsidRPr="00671676" w:rsidRDefault="00592679" w:rsidP="00EF6E43">
            <w:pPr>
              <w:spacing w:after="0"/>
              <w:contextualSpacing/>
              <w:jc w:val="center"/>
            </w:pPr>
            <w:r w:rsidRPr="00671676">
              <w:t>&gt;50%  of the soil is retained on the 0.075mm sieve</w:t>
            </w:r>
          </w:p>
        </w:tc>
        <w:tc>
          <w:tcPr>
            <w:tcW w:w="2031" w:type="dxa"/>
            <w:vMerge w:val="restart"/>
          </w:tcPr>
          <w:p w:rsidR="00592679" w:rsidRPr="00671676" w:rsidRDefault="00592679" w:rsidP="00EF6E43">
            <w:pPr>
              <w:spacing w:after="0"/>
              <w:contextualSpacing/>
              <w:jc w:val="left"/>
            </w:pPr>
            <w:r w:rsidRPr="00671676">
              <w:t>Gravels:</w:t>
            </w:r>
          </w:p>
          <w:p w:rsidR="00592679" w:rsidRPr="00671676" w:rsidRDefault="00592679" w:rsidP="00EF6E43">
            <w:pPr>
              <w:spacing w:after="0"/>
              <w:contextualSpacing/>
              <w:jc w:val="left"/>
            </w:pPr>
            <w:r w:rsidRPr="00671676">
              <w:t>&gt;50% of the coarse fraction is retained on the 2.36mm sieve</w:t>
            </w:r>
          </w:p>
        </w:tc>
        <w:tc>
          <w:tcPr>
            <w:tcW w:w="1235" w:type="dxa"/>
            <w:vMerge w:val="restart"/>
            <w:textDirection w:val="btLr"/>
            <w:vAlign w:val="center"/>
          </w:tcPr>
          <w:p w:rsidR="00592679" w:rsidRPr="00671676" w:rsidRDefault="00592679" w:rsidP="00EF6E43">
            <w:pPr>
              <w:spacing w:after="0"/>
              <w:contextualSpacing/>
              <w:jc w:val="left"/>
            </w:pPr>
            <w:r w:rsidRPr="00671676">
              <w:t>Coarse: 20-60mm</w:t>
            </w:r>
          </w:p>
          <w:p w:rsidR="00592679" w:rsidRPr="00671676" w:rsidRDefault="00592679" w:rsidP="00EF6E43">
            <w:pPr>
              <w:spacing w:after="0"/>
              <w:contextualSpacing/>
              <w:jc w:val="left"/>
            </w:pPr>
            <w:r w:rsidRPr="00671676">
              <w:t>Medium: 6-20mm</w:t>
            </w:r>
          </w:p>
          <w:p w:rsidR="00592679" w:rsidRPr="00671676" w:rsidRDefault="00592679" w:rsidP="00EF6E43">
            <w:pPr>
              <w:spacing w:after="0"/>
              <w:contextualSpacing/>
              <w:jc w:val="left"/>
            </w:pPr>
            <w:r w:rsidRPr="00671676">
              <w:t>Fine: 2-6mm</w:t>
            </w:r>
          </w:p>
        </w:tc>
        <w:tc>
          <w:tcPr>
            <w:tcW w:w="1165" w:type="dxa"/>
            <w:vAlign w:val="center"/>
          </w:tcPr>
          <w:p w:rsidR="00592679" w:rsidRPr="00671676" w:rsidRDefault="00592679" w:rsidP="00EF6E43">
            <w:pPr>
              <w:spacing w:after="0"/>
              <w:contextualSpacing/>
              <w:jc w:val="center"/>
            </w:pPr>
            <w:r w:rsidRPr="00671676">
              <w:t>GW</w:t>
            </w:r>
          </w:p>
        </w:tc>
        <w:tc>
          <w:tcPr>
            <w:tcW w:w="4616" w:type="dxa"/>
          </w:tcPr>
          <w:p w:rsidR="00592679" w:rsidRPr="00671676" w:rsidRDefault="00592679" w:rsidP="00EF6E43">
            <w:pPr>
              <w:spacing w:after="0"/>
              <w:contextualSpacing/>
              <w:jc w:val="left"/>
            </w:pPr>
            <w:r w:rsidRPr="00671676">
              <w:t xml:space="preserve">Well graded gravels </w:t>
            </w:r>
            <w:r>
              <w:t xml:space="preserve">has </w:t>
            </w:r>
            <w:r w:rsidRPr="00671676">
              <w:t>wide range of particle sizes with substantial amount of intermediate sizes; low fines, will not bind together.</w:t>
            </w:r>
          </w:p>
        </w:tc>
      </w:tr>
      <w:tr w:rsidR="00592679" w:rsidRPr="00671676" w:rsidTr="00EF6E43">
        <w:trPr>
          <w:jc w:val="center"/>
        </w:trPr>
        <w:tc>
          <w:tcPr>
            <w:tcW w:w="808" w:type="dxa"/>
            <w:vMerge/>
            <w:vAlign w:val="center"/>
          </w:tcPr>
          <w:p w:rsidR="00592679" w:rsidRPr="00671676" w:rsidRDefault="00592679" w:rsidP="00EF6E43">
            <w:pPr>
              <w:spacing w:after="0"/>
              <w:contextualSpacing/>
              <w:jc w:val="center"/>
            </w:pPr>
          </w:p>
        </w:tc>
        <w:tc>
          <w:tcPr>
            <w:tcW w:w="2031" w:type="dxa"/>
            <w:vMerge/>
          </w:tcPr>
          <w:p w:rsidR="00592679" w:rsidRPr="00671676" w:rsidRDefault="00592679" w:rsidP="00EF6E43">
            <w:pPr>
              <w:spacing w:after="0"/>
              <w:contextualSpacing/>
              <w:jc w:val="left"/>
            </w:pPr>
          </w:p>
        </w:tc>
        <w:tc>
          <w:tcPr>
            <w:tcW w:w="1235" w:type="dxa"/>
            <w:vMerge/>
            <w:vAlign w:val="center"/>
          </w:tcPr>
          <w:p w:rsidR="00592679" w:rsidRPr="00671676" w:rsidRDefault="00592679" w:rsidP="00EF6E43">
            <w:pPr>
              <w:spacing w:after="0"/>
              <w:contextualSpacing/>
              <w:jc w:val="left"/>
            </w:pPr>
          </w:p>
        </w:tc>
        <w:tc>
          <w:tcPr>
            <w:tcW w:w="1165" w:type="dxa"/>
            <w:vAlign w:val="center"/>
          </w:tcPr>
          <w:p w:rsidR="00592679" w:rsidRPr="00671676" w:rsidRDefault="00592679" w:rsidP="00EF6E43">
            <w:pPr>
              <w:spacing w:after="0"/>
              <w:contextualSpacing/>
              <w:jc w:val="center"/>
            </w:pPr>
            <w:r w:rsidRPr="00671676">
              <w:t>GP</w:t>
            </w:r>
          </w:p>
        </w:tc>
        <w:tc>
          <w:tcPr>
            <w:tcW w:w="4616" w:type="dxa"/>
          </w:tcPr>
          <w:p w:rsidR="00592679" w:rsidRPr="00671676" w:rsidRDefault="00592679" w:rsidP="00EF6E43">
            <w:pPr>
              <w:spacing w:after="0"/>
              <w:contextualSpacing/>
              <w:jc w:val="left"/>
            </w:pPr>
            <w:r w:rsidRPr="00671676">
              <w:t>Poorly graded gravels, one size or a range of sizes with missing intermediate sizes; not enough fines to bind coarse partic</w:t>
            </w:r>
            <w:r>
              <w:t>les</w:t>
            </w:r>
            <w:r w:rsidRPr="00671676">
              <w:t xml:space="preserve"> together.</w:t>
            </w:r>
          </w:p>
        </w:tc>
      </w:tr>
      <w:tr w:rsidR="00592679" w:rsidRPr="00671676" w:rsidTr="00EF6E43">
        <w:trPr>
          <w:trHeight w:val="473"/>
          <w:jc w:val="center"/>
        </w:trPr>
        <w:tc>
          <w:tcPr>
            <w:tcW w:w="808" w:type="dxa"/>
            <w:vMerge/>
            <w:vAlign w:val="center"/>
          </w:tcPr>
          <w:p w:rsidR="00592679" w:rsidRPr="00671676" w:rsidRDefault="00592679" w:rsidP="00EF6E43">
            <w:pPr>
              <w:spacing w:after="0"/>
              <w:contextualSpacing/>
              <w:jc w:val="center"/>
            </w:pPr>
          </w:p>
        </w:tc>
        <w:tc>
          <w:tcPr>
            <w:tcW w:w="2031" w:type="dxa"/>
            <w:vMerge/>
          </w:tcPr>
          <w:p w:rsidR="00592679" w:rsidRPr="00671676" w:rsidRDefault="00592679" w:rsidP="00EF6E43">
            <w:pPr>
              <w:spacing w:after="0"/>
              <w:contextualSpacing/>
              <w:jc w:val="left"/>
            </w:pPr>
          </w:p>
        </w:tc>
        <w:tc>
          <w:tcPr>
            <w:tcW w:w="1235" w:type="dxa"/>
            <w:vMerge/>
            <w:vAlign w:val="center"/>
          </w:tcPr>
          <w:p w:rsidR="00592679" w:rsidRPr="00671676" w:rsidRDefault="00592679" w:rsidP="00EF6E43">
            <w:pPr>
              <w:spacing w:after="0"/>
              <w:contextualSpacing/>
              <w:jc w:val="left"/>
            </w:pPr>
          </w:p>
        </w:tc>
        <w:tc>
          <w:tcPr>
            <w:tcW w:w="1165" w:type="dxa"/>
            <w:vAlign w:val="center"/>
          </w:tcPr>
          <w:p w:rsidR="00592679" w:rsidRPr="00671676" w:rsidRDefault="00592679" w:rsidP="00EF6E43">
            <w:pPr>
              <w:spacing w:after="0"/>
              <w:contextualSpacing/>
              <w:jc w:val="center"/>
            </w:pPr>
            <w:r w:rsidRPr="00671676">
              <w:t>GM</w:t>
            </w:r>
          </w:p>
        </w:tc>
        <w:tc>
          <w:tcPr>
            <w:tcW w:w="4616" w:type="dxa"/>
          </w:tcPr>
          <w:p w:rsidR="00592679" w:rsidRPr="00671676" w:rsidRDefault="00592679" w:rsidP="00EF6E43">
            <w:pPr>
              <w:spacing w:after="0"/>
              <w:contextualSpacing/>
              <w:jc w:val="left"/>
            </w:pPr>
            <w:r w:rsidRPr="00671676">
              <w:t>Silty gravels with excess of non plastic fines.</w:t>
            </w:r>
          </w:p>
        </w:tc>
      </w:tr>
      <w:tr w:rsidR="00592679" w:rsidRPr="00671676" w:rsidTr="00EF6E43">
        <w:trPr>
          <w:jc w:val="center"/>
        </w:trPr>
        <w:tc>
          <w:tcPr>
            <w:tcW w:w="808" w:type="dxa"/>
            <w:vMerge/>
            <w:vAlign w:val="center"/>
          </w:tcPr>
          <w:p w:rsidR="00592679" w:rsidRPr="00671676" w:rsidRDefault="00592679" w:rsidP="00EF6E43">
            <w:pPr>
              <w:spacing w:after="0"/>
              <w:contextualSpacing/>
              <w:jc w:val="center"/>
            </w:pPr>
          </w:p>
        </w:tc>
        <w:tc>
          <w:tcPr>
            <w:tcW w:w="2031" w:type="dxa"/>
            <w:vMerge/>
          </w:tcPr>
          <w:p w:rsidR="00592679" w:rsidRPr="00671676" w:rsidRDefault="00592679" w:rsidP="00EF6E43">
            <w:pPr>
              <w:spacing w:after="0"/>
              <w:contextualSpacing/>
              <w:jc w:val="left"/>
            </w:pPr>
          </w:p>
        </w:tc>
        <w:tc>
          <w:tcPr>
            <w:tcW w:w="1235" w:type="dxa"/>
            <w:vMerge/>
            <w:vAlign w:val="center"/>
          </w:tcPr>
          <w:p w:rsidR="00592679" w:rsidRPr="00671676" w:rsidRDefault="00592679" w:rsidP="00EF6E43">
            <w:pPr>
              <w:spacing w:after="0"/>
              <w:contextualSpacing/>
              <w:jc w:val="left"/>
            </w:pPr>
          </w:p>
        </w:tc>
        <w:tc>
          <w:tcPr>
            <w:tcW w:w="1165" w:type="dxa"/>
            <w:vAlign w:val="center"/>
          </w:tcPr>
          <w:p w:rsidR="00592679" w:rsidRPr="00671676" w:rsidRDefault="00592679" w:rsidP="00EF6E43">
            <w:pPr>
              <w:spacing w:after="0"/>
              <w:contextualSpacing/>
              <w:jc w:val="center"/>
            </w:pPr>
            <w:r w:rsidRPr="00671676">
              <w:t>GC</w:t>
            </w:r>
          </w:p>
        </w:tc>
        <w:tc>
          <w:tcPr>
            <w:tcW w:w="4616" w:type="dxa"/>
          </w:tcPr>
          <w:p w:rsidR="00592679" w:rsidRPr="00671676" w:rsidRDefault="00592679" w:rsidP="00EF6E43">
            <w:pPr>
              <w:spacing w:after="0"/>
              <w:contextualSpacing/>
              <w:jc w:val="left"/>
            </w:pPr>
            <w:r w:rsidRPr="00671676">
              <w:t>Clayey gravel with excess plastic fines sufficient to bind together, medium  to high dry strengths</w:t>
            </w:r>
          </w:p>
        </w:tc>
      </w:tr>
      <w:tr w:rsidR="00592679" w:rsidRPr="00671676" w:rsidTr="00EF6E43">
        <w:trPr>
          <w:jc w:val="center"/>
        </w:trPr>
        <w:tc>
          <w:tcPr>
            <w:tcW w:w="808" w:type="dxa"/>
            <w:vMerge/>
            <w:vAlign w:val="center"/>
          </w:tcPr>
          <w:p w:rsidR="00592679" w:rsidRPr="00671676" w:rsidRDefault="00592679" w:rsidP="00EF6E43">
            <w:pPr>
              <w:spacing w:after="0"/>
              <w:contextualSpacing/>
              <w:jc w:val="center"/>
            </w:pPr>
          </w:p>
        </w:tc>
        <w:tc>
          <w:tcPr>
            <w:tcW w:w="2031" w:type="dxa"/>
            <w:vMerge w:val="restart"/>
          </w:tcPr>
          <w:p w:rsidR="00592679" w:rsidRPr="00671676" w:rsidRDefault="00592679" w:rsidP="00EF6E43">
            <w:pPr>
              <w:spacing w:after="0"/>
              <w:contextualSpacing/>
              <w:jc w:val="left"/>
            </w:pPr>
            <w:r w:rsidRPr="00671676">
              <w:t>Sands:</w:t>
            </w:r>
          </w:p>
          <w:p w:rsidR="00592679" w:rsidRPr="00671676" w:rsidRDefault="00592679" w:rsidP="00EF6E43">
            <w:pPr>
              <w:spacing w:after="0"/>
              <w:contextualSpacing/>
              <w:jc w:val="left"/>
            </w:pPr>
            <w:r w:rsidRPr="00671676">
              <w:t>&gt; 50% of the coarse fraction passes the 2.36mm sieve</w:t>
            </w:r>
          </w:p>
        </w:tc>
        <w:tc>
          <w:tcPr>
            <w:tcW w:w="1235" w:type="dxa"/>
            <w:vMerge w:val="restart"/>
            <w:textDirection w:val="btLr"/>
            <w:vAlign w:val="center"/>
          </w:tcPr>
          <w:p w:rsidR="00592679" w:rsidRPr="00671676" w:rsidRDefault="00592679" w:rsidP="00EF6E43">
            <w:pPr>
              <w:spacing w:after="0"/>
              <w:contextualSpacing/>
              <w:jc w:val="left"/>
            </w:pPr>
            <w:r w:rsidRPr="00671676">
              <w:t>Coarse: 0.6-2.0mm</w:t>
            </w:r>
          </w:p>
          <w:p w:rsidR="00592679" w:rsidRPr="00671676" w:rsidRDefault="00592679" w:rsidP="00EF6E43">
            <w:pPr>
              <w:spacing w:after="0"/>
              <w:contextualSpacing/>
              <w:jc w:val="left"/>
            </w:pPr>
            <w:r w:rsidRPr="00671676">
              <w:t>Medium: 0.2-0.6mm</w:t>
            </w:r>
          </w:p>
          <w:p w:rsidR="00592679" w:rsidRPr="00671676" w:rsidRDefault="00592679" w:rsidP="00EF6E43">
            <w:pPr>
              <w:spacing w:after="0"/>
              <w:contextualSpacing/>
              <w:jc w:val="left"/>
            </w:pPr>
            <w:r w:rsidRPr="00671676">
              <w:t>Fine: 0.06-0.2mm</w:t>
            </w:r>
          </w:p>
        </w:tc>
        <w:tc>
          <w:tcPr>
            <w:tcW w:w="1165" w:type="dxa"/>
            <w:vAlign w:val="center"/>
          </w:tcPr>
          <w:p w:rsidR="00592679" w:rsidRPr="00671676" w:rsidRDefault="00592679" w:rsidP="00EF6E43">
            <w:pPr>
              <w:spacing w:after="0"/>
              <w:contextualSpacing/>
              <w:jc w:val="center"/>
            </w:pPr>
            <w:r w:rsidRPr="00671676">
              <w:t>SW</w:t>
            </w:r>
          </w:p>
        </w:tc>
        <w:tc>
          <w:tcPr>
            <w:tcW w:w="4616" w:type="dxa"/>
          </w:tcPr>
          <w:p w:rsidR="00592679" w:rsidRPr="00671676" w:rsidRDefault="00592679" w:rsidP="00EF6E43">
            <w:pPr>
              <w:spacing w:after="0"/>
              <w:contextualSpacing/>
              <w:jc w:val="left"/>
            </w:pPr>
            <w:r w:rsidRPr="00671676">
              <w:t xml:space="preserve">Well graded gravelly sand </w:t>
            </w:r>
            <w:r>
              <w:t xml:space="preserve">has </w:t>
            </w:r>
            <w:r w:rsidRPr="00671676">
              <w:t>wide range of particle size with substantial amount of intermediate sizes, low fines, will not bind together.</w:t>
            </w:r>
          </w:p>
        </w:tc>
      </w:tr>
      <w:tr w:rsidR="00592679" w:rsidRPr="00671676" w:rsidTr="00EF6E43">
        <w:trPr>
          <w:jc w:val="center"/>
        </w:trPr>
        <w:tc>
          <w:tcPr>
            <w:tcW w:w="808" w:type="dxa"/>
            <w:vMerge/>
            <w:vAlign w:val="center"/>
          </w:tcPr>
          <w:p w:rsidR="00592679" w:rsidRPr="00671676" w:rsidRDefault="00592679" w:rsidP="00EF6E43">
            <w:pPr>
              <w:spacing w:after="0"/>
              <w:contextualSpacing/>
              <w:jc w:val="center"/>
            </w:pPr>
          </w:p>
        </w:tc>
        <w:tc>
          <w:tcPr>
            <w:tcW w:w="2031" w:type="dxa"/>
            <w:vMerge/>
          </w:tcPr>
          <w:p w:rsidR="00592679" w:rsidRPr="00671676" w:rsidRDefault="00592679" w:rsidP="00EF6E43">
            <w:pPr>
              <w:spacing w:after="0"/>
              <w:contextualSpacing/>
              <w:jc w:val="left"/>
            </w:pPr>
          </w:p>
        </w:tc>
        <w:tc>
          <w:tcPr>
            <w:tcW w:w="1235" w:type="dxa"/>
            <w:vMerge/>
            <w:vAlign w:val="center"/>
          </w:tcPr>
          <w:p w:rsidR="00592679" w:rsidRPr="00671676" w:rsidRDefault="00592679" w:rsidP="00EF6E43">
            <w:pPr>
              <w:spacing w:after="0"/>
              <w:contextualSpacing/>
              <w:jc w:val="left"/>
            </w:pPr>
          </w:p>
        </w:tc>
        <w:tc>
          <w:tcPr>
            <w:tcW w:w="1165" w:type="dxa"/>
            <w:vAlign w:val="center"/>
          </w:tcPr>
          <w:p w:rsidR="00592679" w:rsidRPr="00671676" w:rsidRDefault="00592679" w:rsidP="00EF6E43">
            <w:pPr>
              <w:spacing w:after="0"/>
              <w:contextualSpacing/>
              <w:jc w:val="center"/>
            </w:pPr>
            <w:r w:rsidRPr="00671676">
              <w:t>SP</w:t>
            </w:r>
          </w:p>
        </w:tc>
        <w:tc>
          <w:tcPr>
            <w:tcW w:w="4616" w:type="dxa"/>
          </w:tcPr>
          <w:p w:rsidR="00592679" w:rsidRPr="00671676" w:rsidRDefault="00592679" w:rsidP="00EF6E43">
            <w:pPr>
              <w:spacing w:after="0"/>
              <w:contextualSpacing/>
              <w:jc w:val="left"/>
            </w:pPr>
            <w:r w:rsidRPr="00671676">
              <w:t>Poorly graded sand uniform one size or range with missing intermediate sizes not enough fines to bind coarse partic</w:t>
            </w:r>
            <w:r>
              <w:t>les</w:t>
            </w:r>
          </w:p>
        </w:tc>
      </w:tr>
      <w:tr w:rsidR="00592679" w:rsidRPr="00671676" w:rsidTr="00EF6E43">
        <w:trPr>
          <w:jc w:val="center"/>
        </w:trPr>
        <w:tc>
          <w:tcPr>
            <w:tcW w:w="808" w:type="dxa"/>
            <w:vMerge/>
            <w:vAlign w:val="center"/>
          </w:tcPr>
          <w:p w:rsidR="00592679" w:rsidRPr="00671676" w:rsidRDefault="00592679" w:rsidP="00EF6E43">
            <w:pPr>
              <w:spacing w:after="0"/>
              <w:contextualSpacing/>
              <w:jc w:val="center"/>
            </w:pPr>
          </w:p>
        </w:tc>
        <w:tc>
          <w:tcPr>
            <w:tcW w:w="2031" w:type="dxa"/>
            <w:vMerge/>
          </w:tcPr>
          <w:p w:rsidR="00592679" w:rsidRPr="00671676" w:rsidRDefault="00592679" w:rsidP="00EF6E43">
            <w:pPr>
              <w:spacing w:after="0"/>
              <w:contextualSpacing/>
              <w:jc w:val="left"/>
            </w:pPr>
          </w:p>
        </w:tc>
        <w:tc>
          <w:tcPr>
            <w:tcW w:w="1235" w:type="dxa"/>
            <w:vMerge/>
            <w:vAlign w:val="center"/>
          </w:tcPr>
          <w:p w:rsidR="00592679" w:rsidRPr="00671676" w:rsidRDefault="00592679" w:rsidP="00EF6E43">
            <w:pPr>
              <w:spacing w:after="0"/>
              <w:contextualSpacing/>
              <w:jc w:val="left"/>
            </w:pPr>
          </w:p>
        </w:tc>
        <w:tc>
          <w:tcPr>
            <w:tcW w:w="1165" w:type="dxa"/>
            <w:vAlign w:val="center"/>
          </w:tcPr>
          <w:p w:rsidR="00592679" w:rsidRPr="00671676" w:rsidRDefault="00592679" w:rsidP="00EF6E43">
            <w:pPr>
              <w:spacing w:after="0"/>
              <w:contextualSpacing/>
              <w:jc w:val="center"/>
            </w:pPr>
            <w:r w:rsidRPr="00671676">
              <w:t>SM</w:t>
            </w:r>
          </w:p>
        </w:tc>
        <w:tc>
          <w:tcPr>
            <w:tcW w:w="4616" w:type="dxa"/>
          </w:tcPr>
          <w:p w:rsidR="00592679" w:rsidRPr="00671676" w:rsidRDefault="00592679" w:rsidP="00EF6E43">
            <w:pPr>
              <w:spacing w:after="0"/>
              <w:contextualSpacing/>
              <w:jc w:val="left"/>
            </w:pPr>
            <w:r w:rsidRPr="00671676">
              <w:t xml:space="preserve">Silty sand with </w:t>
            </w:r>
            <w:r>
              <w:t>low,dry strength</w:t>
            </w:r>
            <w:r w:rsidRPr="00671676">
              <w:t xml:space="preserve"> non plastic fines.</w:t>
            </w:r>
          </w:p>
        </w:tc>
      </w:tr>
      <w:tr w:rsidR="00592679" w:rsidRPr="00671676" w:rsidTr="00EF6E43">
        <w:trPr>
          <w:jc w:val="center"/>
        </w:trPr>
        <w:tc>
          <w:tcPr>
            <w:tcW w:w="808" w:type="dxa"/>
            <w:vMerge/>
            <w:vAlign w:val="center"/>
          </w:tcPr>
          <w:p w:rsidR="00592679" w:rsidRPr="00671676" w:rsidRDefault="00592679" w:rsidP="00EF6E43">
            <w:pPr>
              <w:spacing w:after="0"/>
              <w:contextualSpacing/>
              <w:jc w:val="center"/>
            </w:pPr>
          </w:p>
        </w:tc>
        <w:tc>
          <w:tcPr>
            <w:tcW w:w="2031" w:type="dxa"/>
            <w:vMerge/>
          </w:tcPr>
          <w:p w:rsidR="00592679" w:rsidRPr="00671676" w:rsidRDefault="00592679" w:rsidP="00EF6E43">
            <w:pPr>
              <w:spacing w:after="0"/>
              <w:contextualSpacing/>
              <w:jc w:val="left"/>
            </w:pPr>
          </w:p>
        </w:tc>
        <w:tc>
          <w:tcPr>
            <w:tcW w:w="1235" w:type="dxa"/>
            <w:vMerge/>
            <w:vAlign w:val="center"/>
          </w:tcPr>
          <w:p w:rsidR="00592679" w:rsidRPr="00671676" w:rsidRDefault="00592679" w:rsidP="00EF6E43">
            <w:pPr>
              <w:spacing w:after="0"/>
              <w:contextualSpacing/>
              <w:jc w:val="left"/>
            </w:pPr>
          </w:p>
        </w:tc>
        <w:tc>
          <w:tcPr>
            <w:tcW w:w="1165" w:type="dxa"/>
            <w:vAlign w:val="center"/>
          </w:tcPr>
          <w:p w:rsidR="00592679" w:rsidRPr="00671676" w:rsidRDefault="00592679" w:rsidP="00EF6E43">
            <w:pPr>
              <w:spacing w:after="0"/>
              <w:contextualSpacing/>
              <w:jc w:val="center"/>
            </w:pPr>
            <w:r w:rsidRPr="00671676">
              <w:t>SC</w:t>
            </w:r>
          </w:p>
        </w:tc>
        <w:tc>
          <w:tcPr>
            <w:tcW w:w="4616" w:type="dxa"/>
          </w:tcPr>
          <w:p w:rsidR="00592679" w:rsidRPr="00671676" w:rsidRDefault="00592679" w:rsidP="00EF6E43">
            <w:pPr>
              <w:spacing w:after="0"/>
              <w:contextualSpacing/>
              <w:jc w:val="left"/>
            </w:pPr>
            <w:r w:rsidRPr="00671676">
              <w:t xml:space="preserve">Clayey sand with plastic </w:t>
            </w:r>
            <w:r>
              <w:t xml:space="preserve">fines </w:t>
            </w:r>
            <w:r w:rsidRPr="00671676">
              <w:t>l sufficient to bind and medium  to high dry strengths.</w:t>
            </w:r>
          </w:p>
        </w:tc>
      </w:tr>
      <w:tr w:rsidR="00592679" w:rsidRPr="00671676" w:rsidTr="00EF6E43">
        <w:trPr>
          <w:trHeight w:val="629"/>
          <w:jc w:val="center"/>
        </w:trPr>
        <w:tc>
          <w:tcPr>
            <w:tcW w:w="808" w:type="dxa"/>
            <w:vMerge w:val="restart"/>
            <w:textDirection w:val="btLr"/>
            <w:vAlign w:val="center"/>
          </w:tcPr>
          <w:p w:rsidR="00592679" w:rsidRPr="00473396" w:rsidRDefault="00592679" w:rsidP="00EF6E43">
            <w:pPr>
              <w:spacing w:after="0"/>
              <w:contextualSpacing/>
              <w:jc w:val="center"/>
              <w:rPr>
                <w:b/>
              </w:rPr>
            </w:pPr>
            <w:r w:rsidRPr="00820822">
              <w:rPr>
                <w:b/>
              </w:rPr>
              <w:t>Fine Grained Soils</w:t>
            </w:r>
          </w:p>
          <w:p w:rsidR="00592679" w:rsidRPr="00671676" w:rsidRDefault="00592679" w:rsidP="00EF6E43">
            <w:pPr>
              <w:spacing w:after="0"/>
              <w:contextualSpacing/>
              <w:jc w:val="center"/>
            </w:pPr>
            <w:r w:rsidRPr="00671676">
              <w:t>&gt;50% of the soil passes the 0.075mm sieve</w:t>
            </w:r>
          </w:p>
        </w:tc>
        <w:tc>
          <w:tcPr>
            <w:tcW w:w="2031" w:type="dxa"/>
            <w:vMerge w:val="restart"/>
          </w:tcPr>
          <w:p w:rsidR="00592679" w:rsidRPr="00671676" w:rsidRDefault="00592679" w:rsidP="00EF6E43">
            <w:pPr>
              <w:spacing w:after="0"/>
              <w:contextualSpacing/>
              <w:jc w:val="left"/>
            </w:pPr>
            <w:r w:rsidRPr="00671676">
              <w:t>Silts and Clays:</w:t>
            </w:r>
          </w:p>
          <w:p w:rsidR="00592679" w:rsidRPr="00671676" w:rsidRDefault="00592679" w:rsidP="00EF6E43">
            <w:pPr>
              <w:spacing w:after="0"/>
              <w:contextualSpacing/>
              <w:jc w:val="left"/>
            </w:pPr>
            <w:r w:rsidRPr="00671676">
              <w:t xml:space="preserve">With LL &lt; 50% (Suffix: L or I  is based on Atterberg Limits) </w:t>
            </w:r>
          </w:p>
          <w:p w:rsidR="00592679" w:rsidRPr="00671676" w:rsidRDefault="00592679" w:rsidP="00EF6E43">
            <w:pPr>
              <w:spacing w:after="0"/>
              <w:contextualSpacing/>
              <w:jc w:val="left"/>
            </w:pPr>
            <w:r w:rsidRPr="00671676">
              <w:t>(refer to chart)</w:t>
            </w:r>
          </w:p>
        </w:tc>
        <w:tc>
          <w:tcPr>
            <w:tcW w:w="1235" w:type="dxa"/>
            <w:vMerge w:val="restart"/>
            <w:textDirection w:val="btLr"/>
            <w:vAlign w:val="center"/>
          </w:tcPr>
          <w:p w:rsidR="00592679" w:rsidRPr="00671676" w:rsidRDefault="00592679" w:rsidP="00EF6E43">
            <w:pPr>
              <w:spacing w:after="0"/>
              <w:contextualSpacing/>
              <w:jc w:val="left"/>
            </w:pPr>
            <w:r w:rsidRPr="00671676">
              <w:t>M – Silt</w:t>
            </w:r>
          </w:p>
          <w:p w:rsidR="00592679" w:rsidRPr="00671676" w:rsidRDefault="00592679" w:rsidP="00EF6E43">
            <w:pPr>
              <w:spacing w:after="0"/>
              <w:contextualSpacing/>
              <w:jc w:val="left"/>
            </w:pPr>
            <w:r w:rsidRPr="00671676">
              <w:t>C – Clay</w:t>
            </w:r>
          </w:p>
          <w:p w:rsidR="00592679" w:rsidRPr="00671676" w:rsidRDefault="00592679" w:rsidP="00EF6E43">
            <w:pPr>
              <w:spacing w:after="0"/>
              <w:contextualSpacing/>
              <w:jc w:val="left"/>
            </w:pPr>
            <w:r w:rsidRPr="00671676">
              <w:t>O - Organic</w:t>
            </w:r>
          </w:p>
        </w:tc>
        <w:tc>
          <w:tcPr>
            <w:tcW w:w="1165" w:type="dxa"/>
            <w:vAlign w:val="center"/>
          </w:tcPr>
          <w:p w:rsidR="00592679" w:rsidRPr="00671676" w:rsidRDefault="00592679" w:rsidP="00EF6E43">
            <w:pPr>
              <w:spacing w:after="0"/>
              <w:contextualSpacing/>
              <w:jc w:val="center"/>
            </w:pPr>
            <w:r w:rsidRPr="00671676">
              <w:t>ML</w:t>
            </w:r>
          </w:p>
        </w:tc>
        <w:tc>
          <w:tcPr>
            <w:tcW w:w="4616" w:type="dxa"/>
          </w:tcPr>
          <w:p w:rsidR="00592679" w:rsidRPr="00671676" w:rsidRDefault="00592679" w:rsidP="00EF6E43">
            <w:pPr>
              <w:spacing w:after="0"/>
              <w:contextualSpacing/>
              <w:jc w:val="left"/>
            </w:pPr>
            <w:r w:rsidRPr="00671676">
              <w:t>Inorganic silts and very fine sands, rock</w:t>
            </w:r>
          </w:p>
          <w:p w:rsidR="00592679" w:rsidRPr="00671676" w:rsidRDefault="00592679" w:rsidP="00EF6E43">
            <w:pPr>
              <w:spacing w:after="0"/>
              <w:contextualSpacing/>
              <w:jc w:val="left"/>
            </w:pPr>
            <w:r w:rsidRPr="00671676">
              <w:t>flour or clayey fine silts with low (L) plasticity</w:t>
            </w:r>
          </w:p>
        </w:tc>
      </w:tr>
      <w:tr w:rsidR="00592679" w:rsidRPr="00671676" w:rsidTr="00EF6E43">
        <w:trPr>
          <w:jc w:val="center"/>
        </w:trPr>
        <w:tc>
          <w:tcPr>
            <w:tcW w:w="808" w:type="dxa"/>
            <w:vMerge/>
          </w:tcPr>
          <w:p w:rsidR="00592679" w:rsidRPr="00671676" w:rsidRDefault="00592679" w:rsidP="00EF6E43">
            <w:pPr>
              <w:spacing w:after="0"/>
              <w:contextualSpacing/>
            </w:pPr>
          </w:p>
        </w:tc>
        <w:tc>
          <w:tcPr>
            <w:tcW w:w="2031" w:type="dxa"/>
            <w:vMerge/>
          </w:tcPr>
          <w:p w:rsidR="00592679" w:rsidRPr="00671676" w:rsidRDefault="00592679" w:rsidP="00EF6E43">
            <w:pPr>
              <w:spacing w:after="0"/>
              <w:contextualSpacing/>
              <w:jc w:val="left"/>
            </w:pPr>
          </w:p>
        </w:tc>
        <w:tc>
          <w:tcPr>
            <w:tcW w:w="1235" w:type="dxa"/>
            <w:vMerge/>
            <w:vAlign w:val="center"/>
          </w:tcPr>
          <w:p w:rsidR="00592679" w:rsidRPr="00671676" w:rsidRDefault="00592679" w:rsidP="00EF6E43">
            <w:pPr>
              <w:spacing w:after="0"/>
              <w:contextualSpacing/>
              <w:jc w:val="left"/>
            </w:pPr>
          </w:p>
        </w:tc>
        <w:tc>
          <w:tcPr>
            <w:tcW w:w="1165" w:type="dxa"/>
            <w:vAlign w:val="center"/>
          </w:tcPr>
          <w:p w:rsidR="00592679" w:rsidRPr="00671676" w:rsidRDefault="00592679" w:rsidP="00EF6E43">
            <w:pPr>
              <w:spacing w:after="0"/>
              <w:contextualSpacing/>
              <w:jc w:val="center"/>
            </w:pPr>
            <w:r w:rsidRPr="00671676">
              <w:t>CL-CI</w:t>
            </w:r>
          </w:p>
        </w:tc>
        <w:tc>
          <w:tcPr>
            <w:tcW w:w="4616" w:type="dxa"/>
          </w:tcPr>
          <w:p w:rsidR="00592679" w:rsidRPr="00671676" w:rsidRDefault="00592679" w:rsidP="00EF6E43">
            <w:pPr>
              <w:spacing w:after="0"/>
              <w:contextualSpacing/>
              <w:jc w:val="left"/>
            </w:pPr>
            <w:r w:rsidRPr="00671676">
              <w:t>Inorganic clays of low (L) to intermediate (I) plasticity; gravelly clays, sand clays and silty clays</w:t>
            </w:r>
          </w:p>
        </w:tc>
      </w:tr>
      <w:tr w:rsidR="00592679" w:rsidRPr="00671676" w:rsidTr="00EF6E43">
        <w:trPr>
          <w:jc w:val="center"/>
        </w:trPr>
        <w:tc>
          <w:tcPr>
            <w:tcW w:w="808" w:type="dxa"/>
            <w:vMerge/>
          </w:tcPr>
          <w:p w:rsidR="00592679" w:rsidRPr="00671676" w:rsidRDefault="00592679" w:rsidP="00EF6E43">
            <w:pPr>
              <w:spacing w:after="0"/>
              <w:contextualSpacing/>
            </w:pPr>
          </w:p>
        </w:tc>
        <w:tc>
          <w:tcPr>
            <w:tcW w:w="2031" w:type="dxa"/>
            <w:vMerge/>
          </w:tcPr>
          <w:p w:rsidR="00592679" w:rsidRPr="00671676" w:rsidRDefault="00592679" w:rsidP="00EF6E43">
            <w:pPr>
              <w:spacing w:after="0"/>
              <w:contextualSpacing/>
              <w:jc w:val="left"/>
            </w:pPr>
          </w:p>
        </w:tc>
        <w:tc>
          <w:tcPr>
            <w:tcW w:w="1235" w:type="dxa"/>
            <w:vMerge/>
            <w:vAlign w:val="center"/>
          </w:tcPr>
          <w:p w:rsidR="00592679" w:rsidRPr="00671676" w:rsidRDefault="00592679" w:rsidP="00EF6E43">
            <w:pPr>
              <w:spacing w:after="0"/>
              <w:contextualSpacing/>
              <w:jc w:val="left"/>
            </w:pPr>
          </w:p>
        </w:tc>
        <w:tc>
          <w:tcPr>
            <w:tcW w:w="1165" w:type="dxa"/>
            <w:vAlign w:val="center"/>
          </w:tcPr>
          <w:p w:rsidR="00592679" w:rsidRPr="00671676" w:rsidRDefault="00592679" w:rsidP="00EF6E43">
            <w:pPr>
              <w:spacing w:after="0"/>
              <w:contextualSpacing/>
              <w:jc w:val="center"/>
            </w:pPr>
            <w:r w:rsidRPr="00671676">
              <w:t>OL</w:t>
            </w:r>
          </w:p>
        </w:tc>
        <w:tc>
          <w:tcPr>
            <w:tcW w:w="4616" w:type="dxa"/>
          </w:tcPr>
          <w:p w:rsidR="00592679" w:rsidRPr="00671676" w:rsidRDefault="00592679" w:rsidP="00EF6E43">
            <w:pPr>
              <w:spacing w:after="0"/>
              <w:contextualSpacing/>
              <w:jc w:val="left"/>
            </w:pPr>
            <w:r w:rsidRPr="00671676">
              <w:t>Organic silts and organic silty clays of low plasticity</w:t>
            </w:r>
          </w:p>
        </w:tc>
      </w:tr>
      <w:tr w:rsidR="00592679" w:rsidRPr="00671676" w:rsidTr="00EF6E43">
        <w:trPr>
          <w:cantSplit/>
          <w:trHeight w:val="657"/>
          <w:jc w:val="center"/>
        </w:trPr>
        <w:tc>
          <w:tcPr>
            <w:tcW w:w="808" w:type="dxa"/>
            <w:vMerge/>
          </w:tcPr>
          <w:p w:rsidR="00592679" w:rsidRPr="00671676" w:rsidRDefault="00592679" w:rsidP="00EF6E43">
            <w:pPr>
              <w:spacing w:after="0"/>
              <w:contextualSpacing/>
            </w:pPr>
          </w:p>
        </w:tc>
        <w:tc>
          <w:tcPr>
            <w:tcW w:w="2031" w:type="dxa"/>
            <w:vMerge w:val="restart"/>
          </w:tcPr>
          <w:p w:rsidR="00592679" w:rsidRPr="00671676" w:rsidRDefault="00592679" w:rsidP="00EF6E43">
            <w:pPr>
              <w:spacing w:after="0"/>
              <w:contextualSpacing/>
              <w:jc w:val="left"/>
            </w:pPr>
            <w:r w:rsidRPr="00671676">
              <w:t>Silts and Clay:</w:t>
            </w:r>
          </w:p>
          <w:p w:rsidR="00592679" w:rsidRPr="00671676" w:rsidRDefault="00592679" w:rsidP="00EF6E43">
            <w:pPr>
              <w:spacing w:after="0"/>
              <w:contextualSpacing/>
              <w:jc w:val="left"/>
            </w:pPr>
            <w:r w:rsidRPr="00671676">
              <w:t>with LL &gt; 50%</w:t>
            </w:r>
          </w:p>
          <w:p w:rsidR="00592679" w:rsidRPr="00671676" w:rsidRDefault="00592679" w:rsidP="00EF6E43">
            <w:pPr>
              <w:spacing w:after="0"/>
              <w:contextualSpacing/>
              <w:jc w:val="left"/>
            </w:pPr>
            <w:r w:rsidRPr="00671676">
              <w:t>(Suffix: H is based on Atterberg Limits)</w:t>
            </w:r>
          </w:p>
          <w:p w:rsidR="00592679" w:rsidRPr="00671676" w:rsidRDefault="00592679" w:rsidP="00EF6E43">
            <w:pPr>
              <w:spacing w:after="0"/>
              <w:contextualSpacing/>
              <w:jc w:val="left"/>
            </w:pPr>
            <w:r w:rsidRPr="00671676">
              <w:t>(refer to chart)</w:t>
            </w:r>
          </w:p>
        </w:tc>
        <w:tc>
          <w:tcPr>
            <w:tcW w:w="1235" w:type="dxa"/>
            <w:vMerge w:val="restart"/>
            <w:textDirection w:val="btLr"/>
            <w:vAlign w:val="center"/>
          </w:tcPr>
          <w:p w:rsidR="00592679" w:rsidRPr="00671676" w:rsidRDefault="00592679" w:rsidP="00EF6E43">
            <w:pPr>
              <w:spacing w:after="0"/>
              <w:contextualSpacing/>
              <w:jc w:val="left"/>
            </w:pPr>
            <w:r w:rsidRPr="00671676">
              <w:t>M – Silt</w:t>
            </w:r>
          </w:p>
          <w:p w:rsidR="00592679" w:rsidRPr="00671676" w:rsidRDefault="00592679" w:rsidP="00EF6E43">
            <w:pPr>
              <w:spacing w:after="0"/>
              <w:contextualSpacing/>
              <w:jc w:val="left"/>
            </w:pPr>
            <w:r w:rsidRPr="00671676">
              <w:t>C – Clay</w:t>
            </w:r>
          </w:p>
          <w:p w:rsidR="00592679" w:rsidRPr="00671676" w:rsidRDefault="00592679" w:rsidP="00EF6E43">
            <w:pPr>
              <w:spacing w:after="0"/>
              <w:contextualSpacing/>
              <w:jc w:val="left"/>
            </w:pPr>
            <w:r w:rsidRPr="00671676">
              <w:t>O - Organic</w:t>
            </w:r>
          </w:p>
        </w:tc>
        <w:tc>
          <w:tcPr>
            <w:tcW w:w="1165" w:type="dxa"/>
            <w:vAlign w:val="center"/>
          </w:tcPr>
          <w:p w:rsidR="00592679" w:rsidRPr="00671676" w:rsidRDefault="00592679" w:rsidP="00EF6E43">
            <w:pPr>
              <w:spacing w:after="0"/>
              <w:contextualSpacing/>
              <w:jc w:val="center"/>
            </w:pPr>
            <w:r w:rsidRPr="00671676">
              <w:t>MH</w:t>
            </w:r>
          </w:p>
        </w:tc>
        <w:tc>
          <w:tcPr>
            <w:tcW w:w="4616" w:type="dxa"/>
          </w:tcPr>
          <w:p w:rsidR="00592679" w:rsidRPr="00671676" w:rsidRDefault="00592679" w:rsidP="00EF6E43">
            <w:pPr>
              <w:spacing w:after="0"/>
              <w:contextualSpacing/>
              <w:jc w:val="left"/>
            </w:pPr>
            <w:r w:rsidRPr="00671676">
              <w:t>Inorganic silts, micaceous or diatomaceous earths, fine sandy silts. The red volcaniic soils of North Tasmania, classify as MH</w:t>
            </w:r>
          </w:p>
        </w:tc>
      </w:tr>
      <w:tr w:rsidR="00592679" w:rsidRPr="00671676" w:rsidTr="00EF6E43">
        <w:trPr>
          <w:jc w:val="center"/>
        </w:trPr>
        <w:tc>
          <w:tcPr>
            <w:tcW w:w="808" w:type="dxa"/>
            <w:vMerge/>
          </w:tcPr>
          <w:p w:rsidR="00592679" w:rsidRPr="00671676" w:rsidRDefault="00592679" w:rsidP="00EF6E43">
            <w:pPr>
              <w:spacing w:after="0"/>
              <w:contextualSpacing/>
            </w:pPr>
          </w:p>
        </w:tc>
        <w:tc>
          <w:tcPr>
            <w:tcW w:w="2031" w:type="dxa"/>
            <w:vMerge/>
          </w:tcPr>
          <w:p w:rsidR="00592679" w:rsidRPr="00671676" w:rsidRDefault="00592679" w:rsidP="00EF6E43">
            <w:pPr>
              <w:spacing w:after="0"/>
              <w:contextualSpacing/>
              <w:jc w:val="left"/>
            </w:pPr>
          </w:p>
        </w:tc>
        <w:tc>
          <w:tcPr>
            <w:tcW w:w="1235" w:type="dxa"/>
            <w:vMerge/>
          </w:tcPr>
          <w:p w:rsidR="00592679" w:rsidRPr="00671676" w:rsidRDefault="00592679" w:rsidP="00EF6E43">
            <w:pPr>
              <w:spacing w:after="0"/>
              <w:contextualSpacing/>
            </w:pPr>
          </w:p>
        </w:tc>
        <w:tc>
          <w:tcPr>
            <w:tcW w:w="1165" w:type="dxa"/>
            <w:vAlign w:val="center"/>
          </w:tcPr>
          <w:p w:rsidR="00592679" w:rsidRPr="00671676" w:rsidRDefault="00592679" w:rsidP="00EF6E43">
            <w:pPr>
              <w:spacing w:after="0"/>
              <w:contextualSpacing/>
              <w:jc w:val="center"/>
            </w:pPr>
            <w:r w:rsidRPr="00671676">
              <w:t>CH</w:t>
            </w:r>
          </w:p>
        </w:tc>
        <w:tc>
          <w:tcPr>
            <w:tcW w:w="4616" w:type="dxa"/>
          </w:tcPr>
          <w:p w:rsidR="00592679" w:rsidRPr="00671676" w:rsidRDefault="00592679" w:rsidP="00EF6E43">
            <w:pPr>
              <w:spacing w:after="0"/>
              <w:contextualSpacing/>
              <w:jc w:val="left"/>
            </w:pPr>
            <w:r w:rsidRPr="00671676">
              <w:t>Inorganic clays of high plasticity.</w:t>
            </w:r>
          </w:p>
          <w:p w:rsidR="00592679" w:rsidRPr="00671676" w:rsidRDefault="00592679" w:rsidP="00EF6E43">
            <w:pPr>
              <w:spacing w:after="0"/>
              <w:contextualSpacing/>
              <w:jc w:val="left"/>
            </w:pPr>
            <w:r w:rsidRPr="00671676">
              <w:t>They include expansive soils, cracking clays</w:t>
            </w:r>
          </w:p>
        </w:tc>
      </w:tr>
      <w:tr w:rsidR="00592679" w:rsidRPr="00671676" w:rsidTr="00EF6E43">
        <w:trPr>
          <w:jc w:val="center"/>
        </w:trPr>
        <w:tc>
          <w:tcPr>
            <w:tcW w:w="808" w:type="dxa"/>
            <w:vMerge/>
          </w:tcPr>
          <w:p w:rsidR="00592679" w:rsidRPr="00671676" w:rsidRDefault="00592679" w:rsidP="00EF6E43">
            <w:pPr>
              <w:spacing w:after="0"/>
              <w:contextualSpacing/>
            </w:pPr>
          </w:p>
        </w:tc>
        <w:tc>
          <w:tcPr>
            <w:tcW w:w="2031" w:type="dxa"/>
            <w:vMerge/>
          </w:tcPr>
          <w:p w:rsidR="00592679" w:rsidRPr="00671676" w:rsidRDefault="00592679" w:rsidP="00EF6E43">
            <w:pPr>
              <w:spacing w:after="0"/>
              <w:contextualSpacing/>
              <w:jc w:val="left"/>
            </w:pPr>
          </w:p>
        </w:tc>
        <w:tc>
          <w:tcPr>
            <w:tcW w:w="1235" w:type="dxa"/>
            <w:vMerge/>
          </w:tcPr>
          <w:p w:rsidR="00592679" w:rsidRPr="00671676" w:rsidRDefault="00592679" w:rsidP="00EF6E43">
            <w:pPr>
              <w:spacing w:after="0"/>
              <w:contextualSpacing/>
            </w:pPr>
          </w:p>
        </w:tc>
        <w:tc>
          <w:tcPr>
            <w:tcW w:w="1165" w:type="dxa"/>
            <w:vAlign w:val="center"/>
          </w:tcPr>
          <w:p w:rsidR="00592679" w:rsidRPr="00671676" w:rsidRDefault="00592679" w:rsidP="00EF6E43">
            <w:pPr>
              <w:spacing w:after="0"/>
              <w:contextualSpacing/>
              <w:jc w:val="center"/>
            </w:pPr>
            <w:r w:rsidRPr="00671676">
              <w:t>OH</w:t>
            </w:r>
          </w:p>
        </w:tc>
        <w:tc>
          <w:tcPr>
            <w:tcW w:w="4616" w:type="dxa"/>
          </w:tcPr>
          <w:p w:rsidR="00592679" w:rsidRPr="00671676" w:rsidRDefault="00592679" w:rsidP="00EF6E43">
            <w:pPr>
              <w:spacing w:after="0"/>
              <w:contextualSpacing/>
              <w:jc w:val="left"/>
            </w:pPr>
            <w:r w:rsidRPr="00671676">
              <w:t>Organic clays of medium to high plasticity, organic silts</w:t>
            </w:r>
          </w:p>
        </w:tc>
      </w:tr>
      <w:tr w:rsidR="00592679" w:rsidRPr="00671676" w:rsidTr="00EF6E43">
        <w:trPr>
          <w:trHeight w:val="110"/>
          <w:jc w:val="center"/>
        </w:trPr>
        <w:tc>
          <w:tcPr>
            <w:tcW w:w="808" w:type="dxa"/>
            <w:vMerge/>
          </w:tcPr>
          <w:p w:rsidR="00592679" w:rsidRPr="00671676" w:rsidRDefault="00592679" w:rsidP="00EF6E43">
            <w:pPr>
              <w:spacing w:after="0"/>
              <w:contextualSpacing/>
            </w:pPr>
          </w:p>
        </w:tc>
        <w:tc>
          <w:tcPr>
            <w:tcW w:w="3266" w:type="dxa"/>
            <w:gridSpan w:val="2"/>
          </w:tcPr>
          <w:p w:rsidR="00592679" w:rsidRPr="00671676" w:rsidRDefault="00592679" w:rsidP="00EF6E43">
            <w:pPr>
              <w:spacing w:after="0"/>
              <w:contextualSpacing/>
              <w:jc w:val="left"/>
            </w:pPr>
            <w:r w:rsidRPr="00671676">
              <w:t>Highly Organic Soil</w:t>
            </w:r>
          </w:p>
        </w:tc>
        <w:tc>
          <w:tcPr>
            <w:tcW w:w="1165" w:type="dxa"/>
            <w:vAlign w:val="center"/>
          </w:tcPr>
          <w:p w:rsidR="00592679" w:rsidRPr="00671676" w:rsidRDefault="00592679" w:rsidP="00EF6E43">
            <w:pPr>
              <w:spacing w:after="0"/>
              <w:contextualSpacing/>
              <w:jc w:val="center"/>
            </w:pPr>
            <w:r w:rsidRPr="00671676">
              <w:t>Pt</w:t>
            </w:r>
          </w:p>
        </w:tc>
        <w:tc>
          <w:tcPr>
            <w:tcW w:w="4616" w:type="dxa"/>
          </w:tcPr>
          <w:p w:rsidR="00592679" w:rsidRPr="00671676" w:rsidRDefault="00592679" w:rsidP="00EF6E43">
            <w:pPr>
              <w:spacing w:after="0"/>
              <w:contextualSpacing/>
              <w:jc w:val="left"/>
            </w:pPr>
            <w:r w:rsidRPr="00671676">
              <w:t>Peat and other highly organic</w:t>
            </w:r>
            <w:r>
              <w:t xml:space="preserve"> soil</w:t>
            </w:r>
          </w:p>
        </w:tc>
      </w:tr>
    </w:tbl>
    <w:p w:rsidR="0015389A" w:rsidRDefault="0015389A" w:rsidP="00592679">
      <w:pPr>
        <w:contextualSpacing/>
        <w:rPr>
          <w:i/>
        </w:rPr>
      </w:pPr>
    </w:p>
    <w:p w:rsidR="00592679" w:rsidRPr="00671676" w:rsidRDefault="00592679" w:rsidP="00592679">
      <w:pPr>
        <w:contextualSpacing/>
        <w:rPr>
          <w:i/>
        </w:rPr>
      </w:pPr>
      <w:r w:rsidRPr="00671676">
        <w:rPr>
          <w:i/>
        </w:rPr>
        <w:t>Notes:</w:t>
      </w:r>
    </w:p>
    <w:p w:rsidR="00592679" w:rsidRPr="00C60DBA" w:rsidRDefault="00592679" w:rsidP="00C60DBA">
      <w:pPr>
        <w:pStyle w:val="ListParagraph"/>
        <w:numPr>
          <w:ilvl w:val="0"/>
          <w:numId w:val="23"/>
        </w:numPr>
        <w:ind w:left="851" w:hanging="284"/>
        <w:rPr>
          <w:i/>
        </w:rPr>
      </w:pPr>
      <w:r w:rsidRPr="00C60DBA">
        <w:rPr>
          <w:i/>
        </w:rPr>
        <w:t>Applies to materials passing 63mm sieve, cobbles (60 – 200mm) and boulders (&gt;200mm) not included.</w:t>
      </w:r>
    </w:p>
    <w:p w:rsidR="00592679" w:rsidRPr="00C60DBA" w:rsidRDefault="00592679" w:rsidP="00C60DBA">
      <w:pPr>
        <w:pStyle w:val="ListParagraph"/>
        <w:numPr>
          <w:ilvl w:val="0"/>
          <w:numId w:val="23"/>
        </w:numPr>
        <w:ind w:left="851" w:hanging="284"/>
        <w:rPr>
          <w:i/>
        </w:rPr>
      </w:pPr>
      <w:r w:rsidRPr="00C60DBA">
        <w:rPr>
          <w:i/>
        </w:rPr>
        <w:t>The term coarse fraction refers to material retained on the 0.075mm sieve.  The fine fraction refers to material passing this sieve.</w:t>
      </w:r>
    </w:p>
    <w:p w:rsidR="00592679" w:rsidRPr="00C60DBA" w:rsidRDefault="00592679" w:rsidP="00C60DBA">
      <w:pPr>
        <w:pStyle w:val="ListParagraph"/>
        <w:numPr>
          <w:ilvl w:val="0"/>
          <w:numId w:val="23"/>
        </w:numPr>
        <w:ind w:left="851" w:hanging="284"/>
        <w:rPr>
          <w:i/>
        </w:rPr>
      </w:pPr>
      <w:r w:rsidRPr="00C60DBA">
        <w:rPr>
          <w:i/>
        </w:rPr>
        <w:t xml:space="preserve">Note that Atterberg limits are performed on materials passing the 0.425mm sieve. </w:t>
      </w:r>
    </w:p>
    <w:p w:rsidR="00592679" w:rsidRPr="00C60DBA" w:rsidRDefault="00592679" w:rsidP="00C60DBA">
      <w:pPr>
        <w:pStyle w:val="ListParagraph"/>
        <w:numPr>
          <w:ilvl w:val="0"/>
          <w:numId w:val="23"/>
        </w:numPr>
        <w:ind w:left="851" w:hanging="284"/>
        <w:rPr>
          <w:i/>
        </w:rPr>
      </w:pPr>
      <w:r w:rsidRPr="00C60DBA">
        <w:rPr>
          <w:i/>
        </w:rPr>
        <w:t>Soils possessing characteristic of two groups are designated by a combination of group symbols.</w:t>
      </w:r>
    </w:p>
    <w:p w:rsidR="00592679" w:rsidRPr="00C60DBA" w:rsidRDefault="00592679" w:rsidP="00C60DBA">
      <w:pPr>
        <w:pStyle w:val="ListParagraph"/>
        <w:numPr>
          <w:ilvl w:val="0"/>
          <w:numId w:val="23"/>
        </w:numPr>
        <w:ind w:left="851" w:hanging="284"/>
        <w:rPr>
          <w:i/>
        </w:rPr>
      </w:pPr>
      <w:r w:rsidRPr="00C60DBA">
        <w:rPr>
          <w:i/>
        </w:rPr>
        <w:lastRenderedPageBreak/>
        <w:t>The A-Line in the attached chart determines if a soil is classified a silt (below) or clay (above).</w:t>
      </w:r>
    </w:p>
    <w:p w:rsidR="00592679" w:rsidRDefault="00592679" w:rsidP="00592679">
      <w:pPr>
        <w:contextualSpacing/>
      </w:pPr>
    </w:p>
    <w:p w:rsidR="00592679" w:rsidRDefault="00592679" w:rsidP="00592679">
      <w:pPr>
        <w:contextualSpacing/>
      </w:pPr>
      <w:r>
        <w:rPr>
          <w:noProof/>
          <w:lang w:eastAsia="en-AU"/>
        </w:rPr>
        <w:drawing>
          <wp:inline distT="0" distB="0" distL="0" distR="0">
            <wp:extent cx="6181725" cy="4343400"/>
            <wp:effectExtent l="19050" t="0" r="9525" b="0"/>
            <wp:docPr id="1" name="Picture 1" descr="DOC170910-0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OC170910-0001"/>
                    <pic:cNvPicPr>
                      <a:picLocks noChangeAspect="1" noChangeArrowheads="1"/>
                    </pic:cNvPicPr>
                  </pic:nvPicPr>
                  <pic:blipFill>
                    <a:blip r:embed="rId11" cstate="print"/>
                    <a:srcRect/>
                    <a:stretch>
                      <a:fillRect/>
                    </a:stretch>
                  </pic:blipFill>
                  <pic:spPr bwMode="auto">
                    <a:xfrm>
                      <a:off x="0" y="0"/>
                      <a:ext cx="6181725" cy="4343400"/>
                    </a:xfrm>
                    <a:prstGeom prst="rect">
                      <a:avLst/>
                    </a:prstGeom>
                    <a:noFill/>
                    <a:ln w="9525">
                      <a:noFill/>
                      <a:miter lim="800000"/>
                      <a:headEnd/>
                      <a:tailEnd/>
                    </a:ln>
                  </pic:spPr>
                </pic:pic>
              </a:graphicData>
            </a:graphic>
          </wp:inline>
        </w:drawing>
      </w:r>
    </w:p>
    <w:p w:rsidR="00592679" w:rsidRDefault="00592679" w:rsidP="00592679">
      <w:pPr>
        <w:contextualSpacing/>
      </w:pPr>
    </w:p>
    <w:p w:rsidR="00DF07CA" w:rsidRDefault="00DF07CA" w:rsidP="00592679">
      <w:pPr>
        <w:contextualSpacing/>
      </w:pPr>
    </w:p>
    <w:p w:rsidR="00DF07CA" w:rsidRDefault="00DF07CA" w:rsidP="00592679">
      <w:pPr>
        <w:contextualSpacing/>
      </w:pPr>
    </w:p>
    <w:p w:rsidR="00DF07CA" w:rsidRDefault="00DF07CA" w:rsidP="00592679">
      <w:pPr>
        <w:contextualSpacing/>
      </w:pPr>
    </w:p>
    <w:p w:rsidR="00DF07CA" w:rsidRDefault="00DF07CA" w:rsidP="00592679">
      <w:pPr>
        <w:contextualSpacing/>
      </w:pPr>
    </w:p>
    <w:p w:rsidR="00DF07CA" w:rsidRDefault="00DF07CA" w:rsidP="00592679">
      <w:pPr>
        <w:contextualSpacing/>
      </w:pPr>
    </w:p>
    <w:p w:rsidR="00DF07CA" w:rsidRDefault="00DF07CA" w:rsidP="00592679">
      <w:pPr>
        <w:contextualSpacing/>
      </w:pPr>
    </w:p>
    <w:p w:rsidR="00DF07CA" w:rsidRDefault="00DF07CA" w:rsidP="00592679">
      <w:pPr>
        <w:contextualSpacing/>
      </w:pPr>
    </w:p>
    <w:p w:rsidR="00DF07CA" w:rsidRDefault="00DF07CA" w:rsidP="00592679">
      <w:pPr>
        <w:contextualSpacing/>
      </w:pPr>
    </w:p>
    <w:p w:rsidR="00DF07CA" w:rsidRDefault="00DF07CA" w:rsidP="00592679">
      <w:pPr>
        <w:contextualSpacing/>
      </w:pPr>
    </w:p>
    <w:p w:rsidR="00DF07CA" w:rsidRDefault="00DF07CA" w:rsidP="00592679">
      <w:pPr>
        <w:contextualSpacing/>
      </w:pPr>
    </w:p>
    <w:p w:rsidR="00DF07CA" w:rsidRDefault="00DF07CA" w:rsidP="00592679">
      <w:pPr>
        <w:contextualSpacing/>
      </w:pPr>
    </w:p>
    <w:p w:rsidR="00DF07CA" w:rsidRDefault="00DF07CA" w:rsidP="00592679">
      <w:pPr>
        <w:contextualSpacing/>
      </w:pPr>
    </w:p>
    <w:p w:rsidR="00DF07CA" w:rsidRDefault="00DF07CA" w:rsidP="00592679">
      <w:pPr>
        <w:contextualSpacing/>
      </w:pPr>
    </w:p>
    <w:p w:rsidR="00EB06B6" w:rsidRDefault="00EB06B6" w:rsidP="00EB06B6"/>
    <w:p w:rsidR="00EB06B6" w:rsidRDefault="00EB06B6" w:rsidP="00EB06B6"/>
    <w:p w:rsidR="00EB06B6" w:rsidRDefault="00EB06B6" w:rsidP="006B4257"/>
    <w:p w:rsidR="00EB06B6" w:rsidRDefault="00EB06B6" w:rsidP="00EB06B6"/>
    <w:p w:rsidR="00EB06B6" w:rsidRDefault="00EB06B6" w:rsidP="00EB06B6"/>
    <w:p w:rsidR="00EB06B6" w:rsidRDefault="00EB06B6" w:rsidP="00EB06B6"/>
    <w:p w:rsidR="00EB06B6" w:rsidRDefault="00EB06B6" w:rsidP="00EB06B6"/>
    <w:p w:rsidR="00EB06B6" w:rsidRDefault="00EB06B6" w:rsidP="00EB06B6"/>
    <w:p w:rsidR="00EB06B6" w:rsidRDefault="00EB06B6" w:rsidP="00EB06B6"/>
    <w:p w:rsidR="00EB06B6" w:rsidRPr="00EB06B6" w:rsidRDefault="00EB06B6" w:rsidP="00EB06B6"/>
    <w:p w:rsidR="00F37269" w:rsidRDefault="00F37269" w:rsidP="00F37269">
      <w:pPr>
        <w:spacing w:after="0"/>
        <w:rPr>
          <w:color w:val="FF0000"/>
          <w:sz w:val="18"/>
          <w:szCs w:val="18"/>
        </w:rPr>
      </w:pPr>
    </w:p>
    <w:p w:rsidR="00F37269" w:rsidRPr="00F37269" w:rsidRDefault="00F37269" w:rsidP="00F37269">
      <w:pPr>
        <w:spacing w:after="0"/>
        <w:rPr>
          <w:color w:val="FF0000"/>
          <w:sz w:val="18"/>
          <w:szCs w:val="18"/>
        </w:rPr>
      </w:pPr>
    </w:p>
    <w:p w:rsidR="00724FBA" w:rsidRPr="006D5C35" w:rsidRDefault="00A1166A" w:rsidP="006E6661">
      <w:pPr>
        <w:tabs>
          <w:tab w:val="left" w:pos="426"/>
        </w:tabs>
        <w:spacing w:after="0"/>
        <w:ind w:left="720"/>
        <w:rPr>
          <w:color w:val="FF0000"/>
        </w:rPr>
      </w:pPr>
      <w:r>
        <w:rPr>
          <w:noProof/>
          <w:color w:val="FF0000"/>
          <w:lang w:eastAsia="en-AU"/>
        </w:rPr>
        <mc:AlternateContent>
          <mc:Choice Requires="wps">
            <w:drawing>
              <wp:anchor distT="0" distB="0" distL="114300" distR="114300" simplePos="0" relativeHeight="251666432" behindDoc="0" locked="0" layoutInCell="1" allowOverlap="1">
                <wp:simplePos x="0" y="0"/>
                <wp:positionH relativeFrom="margin">
                  <wp:align>right</wp:align>
                </wp:positionH>
                <wp:positionV relativeFrom="margin">
                  <wp:align>bottom</wp:align>
                </wp:positionV>
                <wp:extent cx="2971800" cy="2828925"/>
                <wp:effectExtent l="0" t="0" r="0" b="0"/>
                <wp:wrapSquare wrapText="bothSides"/>
                <wp:docPr id="4"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0" cy="28289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55D80" w:rsidRPr="00F37269" w:rsidRDefault="00555D80" w:rsidP="00881159">
                            <w:pPr>
                              <w:spacing w:before="60"/>
                              <w:ind w:left="697"/>
                              <w:jc w:val="left"/>
                              <w:rPr>
                                <w:rFonts w:cs="Arial"/>
                                <w:b/>
                                <w:bCs/>
                                <w:snapToGrid w:val="0"/>
                                <w:color w:val="FFFFFF"/>
                              </w:rPr>
                            </w:pPr>
                            <w:r w:rsidRPr="00F37269">
                              <w:rPr>
                                <w:rFonts w:cs="Arial"/>
                                <w:b/>
                                <w:bCs/>
                                <w:snapToGrid w:val="0"/>
                                <w:color w:val="FFFFFF"/>
                              </w:rPr>
                              <w:t>TRA</w:t>
                            </w:r>
                            <w:r>
                              <w:rPr>
                                <w:rFonts w:cs="Arial"/>
                                <w:b/>
                                <w:bCs/>
                                <w:snapToGrid w:val="0"/>
                                <w:color w:val="FFFFFF"/>
                              </w:rPr>
                              <w:t xml:space="preserve">NSPORT </w:t>
                            </w:r>
                            <w:r w:rsidRPr="00F37269">
                              <w:rPr>
                                <w:rFonts w:cs="Arial"/>
                                <w:b/>
                                <w:bCs/>
                                <w:snapToGrid w:val="0"/>
                                <w:color w:val="FFFFFF"/>
                              </w:rPr>
                              <w:t xml:space="preserve">INFRASTRUCTURE </w:t>
                            </w:r>
                            <w:r>
                              <w:rPr>
                                <w:rFonts w:cs="Arial"/>
                                <w:b/>
                                <w:bCs/>
                                <w:snapToGrid w:val="0"/>
                                <w:color w:val="FFFFFF"/>
                              </w:rPr>
                              <w:t>SERVICES DIVISION</w:t>
                            </w:r>
                          </w:p>
                          <w:p w:rsidR="00555D80" w:rsidRPr="00F37269" w:rsidRDefault="00555D80" w:rsidP="00881159">
                            <w:pPr>
                              <w:pStyle w:val="BodyText"/>
                              <w:spacing w:before="60"/>
                              <w:ind w:left="697"/>
                              <w:jc w:val="left"/>
                              <w:rPr>
                                <w:bCs/>
                                <w:color w:val="FFFFFF"/>
                              </w:rPr>
                            </w:pPr>
                            <w:r w:rsidRPr="00F37269">
                              <w:rPr>
                                <w:color w:val="FFFFFF"/>
                              </w:rPr>
                              <w:t xml:space="preserve">Department </w:t>
                            </w:r>
                            <w:r w:rsidRPr="00F37269">
                              <w:rPr>
                                <w:i/>
                                <w:color w:val="FFFFFF"/>
                              </w:rPr>
                              <w:t>of</w:t>
                            </w:r>
                            <w:r w:rsidRPr="00F37269">
                              <w:rPr>
                                <w:color w:val="FFFFFF"/>
                              </w:rPr>
                              <w:t xml:space="preserve"> Infrastructure, </w:t>
                            </w:r>
                          </w:p>
                          <w:p w:rsidR="00555D80" w:rsidRPr="00F37269" w:rsidRDefault="00555D80" w:rsidP="00881159">
                            <w:pPr>
                              <w:pStyle w:val="BodyText"/>
                              <w:spacing w:before="60"/>
                              <w:ind w:left="697"/>
                              <w:jc w:val="left"/>
                              <w:rPr>
                                <w:bCs/>
                                <w:color w:val="FFFFFF"/>
                              </w:rPr>
                            </w:pPr>
                            <w:r w:rsidRPr="00F37269">
                              <w:rPr>
                                <w:color w:val="FFFFFF"/>
                              </w:rPr>
                              <w:t xml:space="preserve">Energy </w:t>
                            </w:r>
                            <w:r w:rsidRPr="00F37269">
                              <w:rPr>
                                <w:i/>
                                <w:color w:val="FFFFFF"/>
                              </w:rPr>
                              <w:t>and</w:t>
                            </w:r>
                            <w:r w:rsidRPr="00F37269">
                              <w:rPr>
                                <w:color w:val="FFFFFF"/>
                              </w:rPr>
                              <w:t xml:space="preserve"> Resources</w:t>
                            </w:r>
                          </w:p>
                          <w:p w:rsidR="00555D80" w:rsidRPr="00F37269" w:rsidRDefault="00555D80" w:rsidP="00881159">
                            <w:pPr>
                              <w:pStyle w:val="BodyText"/>
                              <w:spacing w:before="60"/>
                              <w:ind w:left="697"/>
                              <w:jc w:val="left"/>
                              <w:rPr>
                                <w:b/>
                                <w:bCs/>
                                <w:color w:val="FFFFFF"/>
                              </w:rPr>
                            </w:pPr>
                          </w:p>
                          <w:p w:rsidR="00555D80" w:rsidRPr="00F37269" w:rsidRDefault="00555D80" w:rsidP="00881159">
                            <w:pPr>
                              <w:spacing w:before="60"/>
                              <w:ind w:left="697"/>
                              <w:jc w:val="left"/>
                              <w:rPr>
                                <w:rFonts w:cs="Arial"/>
                                <w:snapToGrid w:val="0"/>
                                <w:color w:val="FFFFFF"/>
                              </w:rPr>
                            </w:pPr>
                            <w:r w:rsidRPr="00F37269">
                              <w:rPr>
                                <w:rFonts w:cs="Arial"/>
                                <w:snapToGrid w:val="0"/>
                                <w:color w:val="FFFFFF"/>
                              </w:rPr>
                              <w:t>GPO Box 936, Hobart 7001</w:t>
                            </w:r>
                          </w:p>
                          <w:p w:rsidR="00555D80" w:rsidRPr="00F37269" w:rsidRDefault="00555D80" w:rsidP="00881159">
                            <w:pPr>
                              <w:spacing w:before="60"/>
                              <w:ind w:left="697"/>
                              <w:jc w:val="left"/>
                              <w:rPr>
                                <w:rFonts w:cs="Arial"/>
                                <w:snapToGrid w:val="0"/>
                                <w:color w:val="FFFFFF"/>
                              </w:rPr>
                            </w:pPr>
                            <w:r w:rsidRPr="00F37269">
                              <w:rPr>
                                <w:rFonts w:cs="Arial"/>
                                <w:snapToGrid w:val="0"/>
                                <w:color w:val="FFFFFF"/>
                              </w:rPr>
                              <w:t>Ph: 1300 135 513</w:t>
                            </w:r>
                          </w:p>
                          <w:p w:rsidR="00555D80" w:rsidRPr="00F37269" w:rsidRDefault="00555D80" w:rsidP="00881159">
                            <w:pPr>
                              <w:spacing w:before="60"/>
                              <w:ind w:left="697"/>
                              <w:jc w:val="left"/>
                              <w:rPr>
                                <w:rFonts w:cs="Arial"/>
                                <w:snapToGrid w:val="0"/>
                                <w:color w:val="FFFFFF"/>
                              </w:rPr>
                            </w:pPr>
                            <w:r w:rsidRPr="00F37269">
                              <w:rPr>
                                <w:rFonts w:cs="Arial"/>
                                <w:snapToGrid w:val="0"/>
                                <w:color w:val="FFFFFF"/>
                              </w:rPr>
                              <w:t xml:space="preserve">Email: </w:t>
                            </w:r>
                            <w:hyperlink r:id="rId12" w:history="1">
                              <w:r w:rsidRPr="00F37269">
                                <w:rPr>
                                  <w:rStyle w:val="Hyperlink"/>
                                  <w:rFonts w:cs="Arial"/>
                                  <w:snapToGrid w:val="0"/>
                                  <w:color w:val="FFFFFF"/>
                                </w:rPr>
                                <w:t>webmaster@dier.tas.gov.au</w:t>
                              </w:r>
                            </w:hyperlink>
                          </w:p>
                          <w:p w:rsidR="00555D80" w:rsidRPr="008F705C" w:rsidRDefault="00555D80" w:rsidP="00881159">
                            <w:pPr>
                              <w:spacing w:before="60"/>
                              <w:ind w:left="697"/>
                              <w:jc w:val="left"/>
                              <w:rPr>
                                <w:snapToGrid w:val="0"/>
                                <w:color w:val="FFFFFF"/>
                              </w:rPr>
                            </w:pPr>
                            <w:r w:rsidRPr="00F37269">
                              <w:rPr>
                                <w:rFonts w:cs="Arial"/>
                                <w:snapToGrid w:val="0"/>
                                <w:color w:val="FFFFFF"/>
                              </w:rPr>
                              <w:t xml:space="preserve">Visit: </w:t>
                            </w:r>
                            <w:hyperlink r:id="rId13" w:history="1">
                              <w:r w:rsidRPr="00F37269">
                                <w:rPr>
                                  <w:rStyle w:val="Hyperlink"/>
                                  <w:rFonts w:cs="Arial"/>
                                  <w:snapToGrid w:val="0"/>
                                  <w:color w:val="FFFFFF"/>
                                </w:rPr>
                                <w:t>www.dier.tas.gov.au</w:t>
                              </w:r>
                            </w:hyperlink>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9" o:spid="_x0000_s1028" type="#_x0000_t202" style="position:absolute;left:0;text-align:left;margin-left:182.8pt;margin-top:0;width:234pt;height:222.75pt;z-index:251666432;visibility:visible;mso-wrap-style:square;mso-width-percent:0;mso-height-percent:0;mso-wrap-distance-left:9pt;mso-wrap-distance-top:0;mso-wrap-distance-right:9pt;mso-wrap-distance-bottom:0;mso-position-horizontal:right;mso-position-horizontal-relative:margin;mso-position-vertical:bottom;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" filled="f" stroked="f">
                <v:textbox>
                  <w:txbxContent>
                    <w:p w:rsidR="00555D80" w:rsidRPr="00F37269" w:rsidRDefault="00555D80" w:rsidP="00881159">
                      <w:pPr>
                        <w:spacing w:before="60"/>
                        <w:ind w:left="697"/>
                        <w:jc w:val="left"/>
                        <w:rPr>
                          <w:rFonts w:cs="Arial"/>
                          <w:b/>
                          <w:bCs/>
                          <w:snapToGrid w:val="0"/>
                          <w:color w:val="FFFFFF"/>
                        </w:rPr>
                      </w:pPr>
                      <w:r w:rsidRPr="00F37269">
                        <w:rPr>
                          <w:rFonts w:cs="Arial"/>
                          <w:b/>
                          <w:bCs/>
                          <w:snapToGrid w:val="0"/>
                          <w:color w:val="FFFFFF"/>
                        </w:rPr>
                        <w:t>TRA</w:t>
                      </w:r>
                      <w:r>
                        <w:rPr>
                          <w:rFonts w:cs="Arial"/>
                          <w:b/>
                          <w:bCs/>
                          <w:snapToGrid w:val="0"/>
                          <w:color w:val="FFFFFF"/>
                        </w:rPr>
                        <w:t xml:space="preserve">NSPORT </w:t>
                      </w:r>
                      <w:r w:rsidRPr="00F37269">
                        <w:rPr>
                          <w:rFonts w:cs="Arial"/>
                          <w:b/>
                          <w:bCs/>
                          <w:snapToGrid w:val="0"/>
                          <w:color w:val="FFFFFF"/>
                        </w:rPr>
                        <w:t xml:space="preserve">INFRASTRUCTURE </w:t>
                      </w:r>
                      <w:r>
                        <w:rPr>
                          <w:rFonts w:cs="Arial"/>
                          <w:b/>
                          <w:bCs/>
                          <w:snapToGrid w:val="0"/>
                          <w:color w:val="FFFFFF"/>
                        </w:rPr>
                        <w:t>SERVICES DIVISION</w:t>
                      </w:r>
                    </w:p>
                    <w:p w:rsidR="00555D80" w:rsidRPr="00F37269" w:rsidRDefault="00555D80" w:rsidP="00881159">
                      <w:pPr>
                        <w:pStyle w:val="BodyText"/>
                        <w:spacing w:before="60"/>
                        <w:ind w:left="697"/>
                        <w:jc w:val="left"/>
                        <w:rPr>
                          <w:bCs/>
                          <w:color w:val="FFFFFF"/>
                        </w:rPr>
                      </w:pPr>
                      <w:r w:rsidRPr="00F37269">
                        <w:rPr>
                          <w:color w:val="FFFFFF"/>
                        </w:rPr>
                        <w:t xml:space="preserve">Department </w:t>
                      </w:r>
                      <w:r w:rsidRPr="00F37269">
                        <w:rPr>
                          <w:i/>
                          <w:color w:val="FFFFFF"/>
                        </w:rPr>
                        <w:t>of</w:t>
                      </w:r>
                      <w:r w:rsidRPr="00F37269">
                        <w:rPr>
                          <w:color w:val="FFFFFF"/>
                        </w:rPr>
                        <w:t xml:space="preserve"> Infrastructure, </w:t>
                      </w:r>
                    </w:p>
                    <w:p w:rsidR="00555D80" w:rsidRPr="00F37269" w:rsidRDefault="00555D80" w:rsidP="00881159">
                      <w:pPr>
                        <w:pStyle w:val="BodyText"/>
                        <w:spacing w:before="60"/>
                        <w:ind w:left="697"/>
                        <w:jc w:val="left"/>
                        <w:rPr>
                          <w:bCs/>
                          <w:color w:val="FFFFFF"/>
                        </w:rPr>
                      </w:pPr>
                      <w:r w:rsidRPr="00F37269">
                        <w:rPr>
                          <w:color w:val="FFFFFF"/>
                        </w:rPr>
                        <w:t xml:space="preserve">Energy </w:t>
                      </w:r>
                      <w:r w:rsidRPr="00F37269">
                        <w:rPr>
                          <w:i/>
                          <w:color w:val="FFFFFF"/>
                        </w:rPr>
                        <w:t>and</w:t>
                      </w:r>
                      <w:r w:rsidRPr="00F37269">
                        <w:rPr>
                          <w:color w:val="FFFFFF"/>
                        </w:rPr>
                        <w:t xml:space="preserve"> Resources</w:t>
                      </w:r>
                    </w:p>
                    <w:p w:rsidR="00555D80" w:rsidRPr="00F37269" w:rsidRDefault="00555D80" w:rsidP="00881159">
                      <w:pPr>
                        <w:pStyle w:val="BodyText"/>
                        <w:spacing w:before="60"/>
                        <w:ind w:left="697"/>
                        <w:jc w:val="left"/>
                        <w:rPr>
                          <w:b/>
                          <w:bCs/>
                          <w:color w:val="FFFFFF"/>
                        </w:rPr>
                      </w:pPr>
                    </w:p>
                    <w:p w:rsidR="00555D80" w:rsidRPr="00F37269" w:rsidRDefault="00555D80" w:rsidP="00881159">
                      <w:pPr>
                        <w:spacing w:before="60"/>
                        <w:ind w:left="697"/>
                        <w:jc w:val="left"/>
                        <w:rPr>
                          <w:rFonts w:cs="Arial"/>
                          <w:snapToGrid w:val="0"/>
                          <w:color w:val="FFFFFF"/>
                        </w:rPr>
                      </w:pPr>
                      <w:r w:rsidRPr="00F37269">
                        <w:rPr>
                          <w:rFonts w:cs="Arial"/>
                          <w:snapToGrid w:val="0"/>
                          <w:color w:val="FFFFFF"/>
                        </w:rPr>
                        <w:t>GPO Box 936, Hobart 7001</w:t>
                      </w:r>
                    </w:p>
                    <w:p w:rsidR="00555D80" w:rsidRPr="00F37269" w:rsidRDefault="00555D80" w:rsidP="00881159">
                      <w:pPr>
                        <w:spacing w:before="60"/>
                        <w:ind w:left="697"/>
                        <w:jc w:val="left"/>
                        <w:rPr>
                          <w:rFonts w:cs="Arial"/>
                          <w:snapToGrid w:val="0"/>
                          <w:color w:val="FFFFFF"/>
                        </w:rPr>
                      </w:pPr>
                      <w:r w:rsidRPr="00F37269">
                        <w:rPr>
                          <w:rFonts w:cs="Arial"/>
                          <w:snapToGrid w:val="0"/>
                          <w:color w:val="FFFFFF"/>
                        </w:rPr>
                        <w:t>Ph: 1300 135 513</w:t>
                      </w:r>
                    </w:p>
                    <w:p w:rsidR="00555D80" w:rsidRPr="00F37269" w:rsidRDefault="00555D80" w:rsidP="00881159">
                      <w:pPr>
                        <w:spacing w:before="60"/>
                        <w:ind w:left="697"/>
                        <w:jc w:val="left"/>
                        <w:rPr>
                          <w:rFonts w:cs="Arial"/>
                          <w:snapToGrid w:val="0"/>
                          <w:color w:val="FFFFFF"/>
                        </w:rPr>
                      </w:pPr>
                      <w:r w:rsidRPr="00F37269">
                        <w:rPr>
                          <w:rFonts w:cs="Arial"/>
                          <w:snapToGrid w:val="0"/>
                          <w:color w:val="FFFFFF"/>
                        </w:rPr>
                        <w:t xml:space="preserve">Email: </w:t>
                      </w:r>
                      <w:hyperlink r:id="rId14" w:history="1">
                        <w:r w:rsidRPr="00F37269">
                          <w:rPr>
                            <w:rStyle w:val="Hyperlink"/>
                            <w:rFonts w:cs="Arial"/>
                            <w:snapToGrid w:val="0"/>
                            <w:color w:val="FFFFFF"/>
                          </w:rPr>
                          <w:t>webmaster@dier.tas.gov.au</w:t>
                        </w:r>
                      </w:hyperlink>
                    </w:p>
                    <w:p w:rsidR="00555D80" w:rsidRPr="008F705C" w:rsidRDefault="00555D80" w:rsidP="00881159">
                      <w:pPr>
                        <w:spacing w:before="60"/>
                        <w:ind w:left="697"/>
                        <w:jc w:val="left"/>
                        <w:rPr>
                          <w:snapToGrid w:val="0"/>
                          <w:color w:val="FFFFFF"/>
                        </w:rPr>
                      </w:pPr>
                      <w:r w:rsidRPr="00F37269">
                        <w:rPr>
                          <w:rFonts w:cs="Arial"/>
                          <w:snapToGrid w:val="0"/>
                          <w:color w:val="FFFFFF"/>
                        </w:rPr>
                        <w:t xml:space="preserve">Visit: </w:t>
                      </w:r>
                      <w:hyperlink r:id="rId15" w:history="1">
                        <w:r w:rsidRPr="00F37269">
                          <w:rPr>
                            <w:rStyle w:val="Hyperlink"/>
                            <w:rFonts w:cs="Arial"/>
                            <w:snapToGrid w:val="0"/>
                            <w:color w:val="FFFFFF"/>
                          </w:rPr>
                          <w:t>www.dier.tas.gov.au</w:t>
                        </w:r>
                      </w:hyperlink>
                    </w:p>
                  </w:txbxContent>
                </v:textbox>
                <w10:wrap type="square" anchorx="margin" anchory="margin"/>
              </v:shape>
            </w:pict>
          </mc:Fallback>
        </mc:AlternateContent>
      </w:r>
      <w:r w:rsidR="00F37269">
        <w:rPr>
          <w:noProof/>
          <w:color w:val="FF0000"/>
          <w:lang w:eastAsia="en-AU"/>
        </w:rPr>
        <w:drawing>
          <wp:anchor distT="0" distB="0" distL="114300" distR="114300" simplePos="0" relativeHeight="251665408" behindDoc="1" locked="0" layoutInCell="0" allowOverlap="1">
            <wp:simplePos x="0" y="0"/>
            <wp:positionH relativeFrom="page">
              <wp:posOffset>-133350</wp:posOffset>
            </wp:positionH>
            <wp:positionV relativeFrom="page">
              <wp:posOffset>0</wp:posOffset>
            </wp:positionV>
            <wp:extent cx="7743825" cy="10696575"/>
            <wp:effectExtent l="19050" t="0" r="9525" b="0"/>
            <wp:wrapNone/>
            <wp:docPr id="2" name="Picture 8" descr="backcov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backcover"/>
                    <pic:cNvPicPr>
                      <a:picLocks noChangeAspect="1" noChangeArrowheads="1"/>
                    </pic:cNvPicPr>
                  </pic:nvPicPr>
                  <pic:blipFill>
                    <a:blip r:embed="rId16" cstate="print"/>
                    <a:srcRect/>
                    <a:stretch>
                      <a:fillRect/>
                    </a:stretch>
                  </pic:blipFill>
                  <pic:spPr bwMode="auto">
                    <a:xfrm>
                      <a:off x="0" y="0"/>
                      <a:ext cx="7743825" cy="10696575"/>
                    </a:xfrm>
                    <a:prstGeom prst="rect">
                      <a:avLst/>
                    </a:prstGeom>
                    <a:noFill/>
                  </pic:spPr>
                </pic:pic>
              </a:graphicData>
            </a:graphic>
          </wp:anchor>
        </w:drawing>
      </w:r>
    </w:p>
    <w:sectPr w:rsidR="00724FBA" w:rsidRPr="006D5C35" w:rsidSect="00F37269">
      <w:headerReference w:type="even" r:id="rId17"/>
      <w:headerReference w:type="default" r:id="rId18"/>
      <w:footerReference w:type="default" r:id="rId19"/>
      <w:headerReference w:type="first" r:id="rId20"/>
      <w:footerReference w:type="first" r:id="rId21"/>
      <w:endnotePr>
        <w:numFmt w:val="decimal"/>
      </w:endnotePr>
      <w:pgSz w:w="11907" w:h="16840"/>
      <w:pgMar w:top="1134" w:right="1134" w:bottom="1134" w:left="1134" w:header="709" w:footer="465" w:gutter="0"/>
      <w:cols w:space="720"/>
      <w:noEndnote/>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55D80" w:rsidRDefault="00555D80">
      <w:pPr>
        <w:spacing w:line="20" w:lineRule="exact"/>
      </w:pPr>
    </w:p>
  </w:endnote>
  <w:endnote w:type="continuationSeparator" w:id="0">
    <w:p w:rsidR="00555D80" w:rsidRDefault="00555D80">
      <w:r>
        <w:t xml:space="preserve"> </w:t>
      </w:r>
    </w:p>
  </w:endnote>
  <w:endnote w:type="continuationNotice" w:id="1">
    <w:p w:rsidR="00555D80" w:rsidRDefault="00555D80">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GillSans-Light">
    <w:altName w:val="GillSans Light"/>
    <w:panose1 w:val="00000000000000000000"/>
    <w:charset w:val="4D"/>
    <w:family w:val="auto"/>
    <w:notTrueType/>
    <w:pitch w:val="default"/>
    <w:sig w:usb0="03000000" w:usb1="00000000" w:usb2="00000000" w:usb3="00000000" w:csb0="00000001" w:csb1="00000000"/>
  </w:font>
  <w:font w:name="Times-Roman">
    <w:altName w:val="Times"/>
    <w:panose1 w:val="00000000000000000000"/>
    <w:charset w:val="4D"/>
    <w:family w:val="auto"/>
    <w:notTrueType/>
    <w:pitch w:val="default"/>
    <w:sig w:usb0="03000000" w:usb1="00000000" w:usb2="00000000" w:usb3="00000000" w:csb0="00000001" w:csb1="00000000"/>
  </w:font>
  <w:font w:name="GillSans">
    <w:panose1 w:val="00000000000000000000"/>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Bookman">
    <w:altName w:val="Bookman Old Style"/>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55D80" w:rsidRPr="00401BDB" w:rsidRDefault="00555D80" w:rsidP="004133C6">
    <w:pPr>
      <w:pStyle w:val="Footer"/>
      <w:pBdr>
        <w:top w:val="single" w:sz="12" w:space="1" w:color="auto"/>
      </w:pBdr>
      <w:tabs>
        <w:tab w:val="clear" w:pos="4153"/>
        <w:tab w:val="clear" w:pos="8306"/>
        <w:tab w:val="right" w:pos="9639"/>
      </w:tabs>
      <w:rPr>
        <w:rFonts w:cstheme="minorHAnsi"/>
        <w:sz w:val="18"/>
        <w:szCs w:val="18"/>
      </w:rPr>
    </w:pPr>
    <w:r w:rsidRPr="00401BDB">
      <w:rPr>
        <w:rFonts w:cstheme="minorHAnsi"/>
        <w:sz w:val="18"/>
        <w:szCs w:val="18"/>
      </w:rPr>
      <w:t>Edition 1 / Revision 0</w:t>
    </w:r>
    <w:r w:rsidRPr="00401BDB">
      <w:rPr>
        <w:rFonts w:cstheme="minorHAnsi"/>
        <w:sz w:val="18"/>
        <w:szCs w:val="18"/>
      </w:rPr>
      <w:tab/>
      <w:t xml:space="preserve">Page </w:t>
    </w:r>
    <w:r w:rsidR="00A30CD3" w:rsidRPr="00401BDB">
      <w:rPr>
        <w:rFonts w:cstheme="minorHAnsi"/>
        <w:sz w:val="18"/>
        <w:szCs w:val="18"/>
      </w:rPr>
      <w:fldChar w:fldCharType="begin"/>
    </w:r>
    <w:r w:rsidRPr="00401BDB">
      <w:rPr>
        <w:rFonts w:cstheme="minorHAnsi"/>
        <w:sz w:val="18"/>
        <w:szCs w:val="18"/>
      </w:rPr>
      <w:instrText xml:space="preserve"> PAGE   \* MERGEFORMAT </w:instrText>
    </w:r>
    <w:r w:rsidR="00A30CD3" w:rsidRPr="00401BDB">
      <w:rPr>
        <w:rFonts w:cstheme="minorHAnsi"/>
        <w:sz w:val="18"/>
        <w:szCs w:val="18"/>
      </w:rPr>
      <w:fldChar w:fldCharType="separate"/>
    </w:r>
    <w:r w:rsidR="00A1166A">
      <w:rPr>
        <w:rFonts w:cstheme="minorHAnsi"/>
        <w:noProof/>
        <w:sz w:val="18"/>
        <w:szCs w:val="18"/>
      </w:rPr>
      <w:t>2</w:t>
    </w:r>
    <w:r w:rsidR="00A30CD3" w:rsidRPr="00401BDB">
      <w:rPr>
        <w:rFonts w:cstheme="minorHAnsi"/>
        <w:sz w:val="18"/>
        <w:szCs w:val="18"/>
      </w:rPr>
      <w:fldChar w:fldCharType="end"/>
    </w:r>
  </w:p>
  <w:p w:rsidR="00555D80" w:rsidRPr="004133C6" w:rsidRDefault="00555D80" w:rsidP="004133C6">
    <w:pPr>
      <w:pStyle w:val="Footer"/>
      <w:pBdr>
        <w:top w:val="single" w:sz="12" w:space="1" w:color="auto"/>
      </w:pBdr>
      <w:tabs>
        <w:tab w:val="clear" w:pos="4153"/>
        <w:tab w:val="clear" w:pos="8306"/>
        <w:tab w:val="right" w:pos="9639"/>
      </w:tabs>
      <w:rPr>
        <w:rFonts w:cstheme="minorHAnsi"/>
        <w:sz w:val="18"/>
        <w:szCs w:val="18"/>
      </w:rPr>
    </w:pPr>
    <w:r>
      <w:rPr>
        <w:rFonts w:cstheme="minorHAnsi"/>
        <w:sz w:val="18"/>
        <w:szCs w:val="18"/>
      </w:rPr>
      <w:t>June 2013</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55D80" w:rsidRPr="00CC2897" w:rsidRDefault="00555D80" w:rsidP="00CC2897">
    <w:pPr>
      <w:tabs>
        <w:tab w:val="right" w:pos="9025"/>
      </w:tabs>
      <w:suppressAutoHyphens/>
      <w:rPr>
        <w:rFonts w:ascii="Bookman" w:hAnsi="Bookman"/>
        <w:spacing w:val="-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55D80" w:rsidRDefault="00555D80">
      <w:r>
        <w:separator/>
      </w:r>
    </w:p>
  </w:footnote>
  <w:footnote w:type="continuationSeparator" w:id="0">
    <w:p w:rsidR="00555D80" w:rsidRDefault="00555D80">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55D80" w:rsidRDefault="00A1166A">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67" type="#_x0000_t136" style="position:absolute;left:0;text-align:left;margin-left:0;margin-top:0;width:599.5pt;height:79.9pt;rotation:315;z-index:-251631616;mso-position-horizontal:center;mso-position-horizontal-relative:margin;mso-position-vertical:center;mso-position-vertical-relative:margin" o:allowincell="f" fillcolor="red" stroked="f">
          <v:fill opacity=".5"/>
          <v:textpath style="font-family:&quot;Verdana&quot;;font-size:1pt" string="Draft Sep 2012"/>
          <w10:wrap anchorx="margin" anchory="margin"/>
        </v:shape>
      </w:pict>
    </w:r>
    <w:r>
      <w:rPr>
        <w:noProof/>
      </w:rPr>
      <w:pict>
        <v:shape id="_x0000_s2060" type="#_x0000_t136" style="position:absolute;left:0;text-align:left;margin-left:0;margin-top:0;width:622.85pt;height:56.6pt;rotation:315;z-index:-251641856;mso-position-horizontal:center;mso-position-horizontal-relative:margin;mso-position-vertical:center;mso-position-vertical-relative:margin" o:allowincell="f" fillcolor="red" stroked="f">
          <v:fill opacity=".5"/>
          <v:textpath style="font-family:&quot;Verdana&quot;;font-size:1pt" string="Draft December 2011"/>
          <w10:wrap anchorx="margin" anchory="margin"/>
        </v:shape>
      </w:pict>
    </w:r>
    <w:r>
      <w:rPr>
        <w:noProof/>
      </w:rPr>
      <w:pict>
        <v:shape id="_x0000_s2056" type="#_x0000_t136" style="position:absolute;left:0;text-align:left;margin-left:0;margin-top:0;width:603.95pt;height:75.45pt;rotation:315;z-index:-251648000;mso-position-horizontal:center;mso-position-horizontal-relative:margin;mso-position-vertical:center;mso-position-vertical-relative:margin" o:allowincell="f" fillcolor="red" stroked="f">
          <v:fill opacity=".5"/>
          <v:textpath style="font-family:&quot;Verdana&quot;;font-size:1pt" string="Draft Nov 2011"/>
          <w10:wrap anchorx="margin" anchory="margin"/>
        </v:shape>
      </w:pict>
    </w:r>
    <w:r>
      <w:rPr>
        <w:noProof/>
      </w:rPr>
      <w:pict>
        <v:shape id="_x0000_s2052" type="#_x0000_t136" style="position:absolute;left:0;text-align:left;margin-left:0;margin-top:0;width:509.6pt;height:169.85pt;rotation:315;z-index:-251654144;mso-position-horizontal:center;mso-position-horizontal-relative:margin;mso-position-vertical:center;mso-position-vertical-relative:margin" o:allowincell="f" fillcolor="red" stroked="f">
          <v:fill opacity=".5"/>
          <v:textpath style="font-family:&quot;Verdana&quot;;font-size:1pt" string="DRAFT"/>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55D80" w:rsidRPr="004133C6" w:rsidRDefault="00555D80" w:rsidP="004133C6">
    <w:pPr>
      <w:pBdr>
        <w:bottom w:val="single" w:sz="12" w:space="1" w:color="auto"/>
      </w:pBdr>
      <w:spacing w:after="240"/>
      <w:jc w:val="center"/>
      <w:rPr>
        <w:rFonts w:asciiTheme="minorHAnsi" w:hAnsiTheme="minorHAnsi" w:cstheme="minorHAnsi"/>
        <w:b/>
        <w:sz w:val="24"/>
        <w:szCs w:val="24"/>
      </w:rPr>
    </w:pPr>
    <w:r>
      <w:rPr>
        <w:rFonts w:asciiTheme="minorHAnsi" w:hAnsiTheme="minorHAnsi" w:cstheme="minorHAnsi"/>
        <w:b/>
        <w:sz w:val="24"/>
        <w:szCs w:val="24"/>
      </w:rPr>
      <w:t>R23</w:t>
    </w:r>
    <w:r w:rsidRPr="00095FA8">
      <w:rPr>
        <w:rFonts w:asciiTheme="minorHAnsi" w:hAnsiTheme="minorHAnsi" w:cstheme="minorHAnsi"/>
        <w:b/>
        <w:sz w:val="24"/>
        <w:szCs w:val="24"/>
      </w:rPr>
      <w:t xml:space="preserve"> – </w:t>
    </w:r>
    <w:r>
      <w:rPr>
        <w:rFonts w:asciiTheme="minorHAnsi" w:hAnsiTheme="minorHAnsi" w:cstheme="minorHAnsi"/>
        <w:b/>
        <w:sz w:val="24"/>
        <w:szCs w:val="24"/>
      </w:rPr>
      <w:t>Subgrade Zone</w:t>
    </w:r>
    <w:r w:rsidRPr="00095FA8">
      <w:rPr>
        <w:rFonts w:asciiTheme="minorHAnsi" w:hAnsiTheme="minorHAnsi" w:cstheme="minorHAnsi"/>
        <w:b/>
        <w:sz w:val="24"/>
        <w:szCs w:val="24"/>
      </w:rPr>
      <w:ptab w:relativeTo="margin" w:alignment="center" w:leader="none"/>
    </w:r>
    <w:r w:rsidRPr="00095FA8">
      <w:rPr>
        <w:rFonts w:asciiTheme="minorHAnsi" w:hAnsiTheme="minorHAnsi" w:cstheme="minorHAnsi"/>
        <w:b/>
        <w:sz w:val="24"/>
        <w:szCs w:val="24"/>
      </w:rPr>
      <w:ptab w:relativeTo="margin" w:alignment="right" w:leader="none"/>
    </w:r>
    <w:r w:rsidRPr="00095FA8">
      <w:rPr>
        <w:rFonts w:asciiTheme="minorHAnsi" w:hAnsiTheme="minorHAnsi" w:cstheme="minorHAnsi"/>
        <w:b/>
        <w:sz w:val="24"/>
        <w:szCs w:val="24"/>
      </w:rPr>
      <w:t>DIER</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55D80" w:rsidRDefault="00555D80">
    <w:pPr>
      <w:tabs>
        <w:tab w:val="center" w:pos="4512"/>
        <w:tab w:val="right" w:pos="9025"/>
      </w:tabs>
      <w:suppressAutoHyphens/>
      <w:rPr>
        <w:rFonts w:ascii="Bookman" w:hAnsi="Bookman"/>
        <w:spacing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19027A"/>
    <w:multiLevelType w:val="hybridMultilevel"/>
    <w:tmpl w:val="67ACC25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nsid w:val="03306F2F"/>
    <w:multiLevelType w:val="hybridMultilevel"/>
    <w:tmpl w:val="7F8C9B4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nsid w:val="04265878"/>
    <w:multiLevelType w:val="hybridMultilevel"/>
    <w:tmpl w:val="A55C4718"/>
    <w:lvl w:ilvl="0" w:tplc="8828D4F0">
      <w:start w:val="1"/>
      <w:numFmt w:val="lowerRoman"/>
      <w:lvlText w:val="%1."/>
      <w:lvlJc w:val="left"/>
      <w:pPr>
        <w:ind w:left="2358" w:hanging="360"/>
      </w:pPr>
      <w:rPr>
        <w:rFonts w:hint="default"/>
      </w:rPr>
    </w:lvl>
    <w:lvl w:ilvl="1" w:tplc="0C090019" w:tentative="1">
      <w:start w:val="1"/>
      <w:numFmt w:val="lowerLetter"/>
      <w:lvlText w:val="%2."/>
      <w:lvlJc w:val="left"/>
      <w:pPr>
        <w:ind w:left="3078" w:hanging="360"/>
      </w:pPr>
    </w:lvl>
    <w:lvl w:ilvl="2" w:tplc="0C09001B" w:tentative="1">
      <w:start w:val="1"/>
      <w:numFmt w:val="lowerRoman"/>
      <w:lvlText w:val="%3."/>
      <w:lvlJc w:val="right"/>
      <w:pPr>
        <w:ind w:left="3798" w:hanging="180"/>
      </w:pPr>
    </w:lvl>
    <w:lvl w:ilvl="3" w:tplc="0C09000F" w:tentative="1">
      <w:start w:val="1"/>
      <w:numFmt w:val="decimal"/>
      <w:lvlText w:val="%4."/>
      <w:lvlJc w:val="left"/>
      <w:pPr>
        <w:ind w:left="4518" w:hanging="360"/>
      </w:pPr>
    </w:lvl>
    <w:lvl w:ilvl="4" w:tplc="0C090019" w:tentative="1">
      <w:start w:val="1"/>
      <w:numFmt w:val="lowerLetter"/>
      <w:lvlText w:val="%5."/>
      <w:lvlJc w:val="left"/>
      <w:pPr>
        <w:ind w:left="5238" w:hanging="360"/>
      </w:pPr>
    </w:lvl>
    <w:lvl w:ilvl="5" w:tplc="0C09001B" w:tentative="1">
      <w:start w:val="1"/>
      <w:numFmt w:val="lowerRoman"/>
      <w:lvlText w:val="%6."/>
      <w:lvlJc w:val="right"/>
      <w:pPr>
        <w:ind w:left="5958" w:hanging="180"/>
      </w:pPr>
    </w:lvl>
    <w:lvl w:ilvl="6" w:tplc="0C09000F" w:tentative="1">
      <w:start w:val="1"/>
      <w:numFmt w:val="decimal"/>
      <w:lvlText w:val="%7."/>
      <w:lvlJc w:val="left"/>
      <w:pPr>
        <w:ind w:left="6678" w:hanging="360"/>
      </w:pPr>
    </w:lvl>
    <w:lvl w:ilvl="7" w:tplc="0C090019" w:tentative="1">
      <w:start w:val="1"/>
      <w:numFmt w:val="lowerLetter"/>
      <w:lvlText w:val="%8."/>
      <w:lvlJc w:val="left"/>
      <w:pPr>
        <w:ind w:left="7398" w:hanging="360"/>
      </w:pPr>
    </w:lvl>
    <w:lvl w:ilvl="8" w:tplc="0C09001B" w:tentative="1">
      <w:start w:val="1"/>
      <w:numFmt w:val="lowerRoman"/>
      <w:lvlText w:val="%9."/>
      <w:lvlJc w:val="right"/>
      <w:pPr>
        <w:ind w:left="8118" w:hanging="180"/>
      </w:pPr>
    </w:lvl>
  </w:abstractNum>
  <w:abstractNum w:abstractNumId="3">
    <w:nsid w:val="067F6FA8"/>
    <w:multiLevelType w:val="hybridMultilevel"/>
    <w:tmpl w:val="92960F98"/>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nsid w:val="07421413"/>
    <w:multiLevelType w:val="hybridMultilevel"/>
    <w:tmpl w:val="9A88F47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nsid w:val="14495BE7"/>
    <w:multiLevelType w:val="hybridMultilevel"/>
    <w:tmpl w:val="FD647FC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nsid w:val="199770DE"/>
    <w:multiLevelType w:val="hybridMultilevel"/>
    <w:tmpl w:val="962EE36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nsid w:val="1F2F14DA"/>
    <w:multiLevelType w:val="hybridMultilevel"/>
    <w:tmpl w:val="3E105C4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nsid w:val="1F7B564D"/>
    <w:multiLevelType w:val="hybridMultilevel"/>
    <w:tmpl w:val="1EEA557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nsid w:val="22A300BF"/>
    <w:multiLevelType w:val="hybridMultilevel"/>
    <w:tmpl w:val="B4328B1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nsid w:val="22BF4478"/>
    <w:multiLevelType w:val="hybridMultilevel"/>
    <w:tmpl w:val="E572E3CA"/>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nsid w:val="32D72CDC"/>
    <w:multiLevelType w:val="hybridMultilevel"/>
    <w:tmpl w:val="67BC2B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nsid w:val="375C7565"/>
    <w:multiLevelType w:val="hybridMultilevel"/>
    <w:tmpl w:val="F528B30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nsid w:val="389B5D44"/>
    <w:multiLevelType w:val="hybridMultilevel"/>
    <w:tmpl w:val="7FD825F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nsid w:val="3B101B6C"/>
    <w:multiLevelType w:val="hybridMultilevel"/>
    <w:tmpl w:val="445E2C7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nsid w:val="4C0E6F67"/>
    <w:multiLevelType w:val="hybridMultilevel"/>
    <w:tmpl w:val="27A8CB8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nsid w:val="53D97545"/>
    <w:multiLevelType w:val="hybridMultilevel"/>
    <w:tmpl w:val="64EC137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nsid w:val="54B62233"/>
    <w:multiLevelType w:val="hybridMultilevel"/>
    <w:tmpl w:val="6512C30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nsid w:val="55026300"/>
    <w:multiLevelType w:val="hybridMultilevel"/>
    <w:tmpl w:val="60FC3A7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nsid w:val="65262AE0"/>
    <w:multiLevelType w:val="hybridMultilevel"/>
    <w:tmpl w:val="4172225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nsid w:val="76806AEF"/>
    <w:multiLevelType w:val="hybridMultilevel"/>
    <w:tmpl w:val="6086743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nsid w:val="7B997FAB"/>
    <w:multiLevelType w:val="hybridMultilevel"/>
    <w:tmpl w:val="2946A88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nsid w:val="7BB118B0"/>
    <w:multiLevelType w:val="hybridMultilevel"/>
    <w:tmpl w:val="9D56665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5"/>
  </w:num>
  <w:num w:numId="2">
    <w:abstractNumId w:val="11"/>
  </w:num>
  <w:num w:numId="3">
    <w:abstractNumId w:val="1"/>
  </w:num>
  <w:num w:numId="4">
    <w:abstractNumId w:val="15"/>
  </w:num>
  <w:num w:numId="5">
    <w:abstractNumId w:val="17"/>
  </w:num>
  <w:num w:numId="6">
    <w:abstractNumId w:val="22"/>
  </w:num>
  <w:num w:numId="7">
    <w:abstractNumId w:val="21"/>
  </w:num>
  <w:num w:numId="8">
    <w:abstractNumId w:val="9"/>
  </w:num>
  <w:num w:numId="9">
    <w:abstractNumId w:val="0"/>
  </w:num>
  <w:num w:numId="10">
    <w:abstractNumId w:val="8"/>
  </w:num>
  <w:num w:numId="11">
    <w:abstractNumId w:val="13"/>
  </w:num>
  <w:num w:numId="12">
    <w:abstractNumId w:val="19"/>
  </w:num>
  <w:num w:numId="13">
    <w:abstractNumId w:val="20"/>
  </w:num>
  <w:num w:numId="14">
    <w:abstractNumId w:val="12"/>
  </w:num>
  <w:num w:numId="15">
    <w:abstractNumId w:val="18"/>
  </w:num>
  <w:num w:numId="16">
    <w:abstractNumId w:val="7"/>
  </w:num>
  <w:num w:numId="17">
    <w:abstractNumId w:val="16"/>
  </w:num>
  <w:num w:numId="18">
    <w:abstractNumId w:val="10"/>
  </w:num>
  <w:num w:numId="19">
    <w:abstractNumId w:val="6"/>
  </w:num>
  <w:num w:numId="20">
    <w:abstractNumId w:val="3"/>
  </w:num>
  <w:num w:numId="21">
    <w:abstractNumId w:val="2"/>
  </w:num>
  <w:num w:numId="22">
    <w:abstractNumId w:val="14"/>
  </w:num>
  <w:num w:numId="23">
    <w:abstractNumId w:val="4"/>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en-AU" w:vendorID="64" w:dllVersion="131077" w:nlCheck="1" w:checkStyle="1"/>
  <w:activeWritingStyle w:appName="MSWord" w:lang="en-AU" w:vendorID="64" w:dllVersion="131078" w:nlCheck="1" w:checkStyle="1"/>
  <w:activeWritingStyle w:appName="MSWord" w:lang="en-US" w:vendorID="64" w:dllVersion="131078" w:nlCheck="1" w:checkStyle="1"/>
  <w:activeWritingStyle w:appName="MSWord" w:lang="en-GB" w:vendorID="64" w:dllVersion="131078" w:nlCheck="1" w:checkStyle="1"/>
  <w:activeWritingStyle w:appName="MSWord" w:lang="fr-FR" w:vendorID="64" w:dllVersion="131078" w:nlCheck="1" w:checkStyle="1"/>
  <w:documentProtection w:edit="readOnly" w:enforcement="1" w:cryptProviderType="rsaFull" w:cryptAlgorithmClass="hash" w:cryptAlgorithmType="typeAny" w:cryptAlgorithmSid="4" w:cryptSpinCount="100000" w:hash="HgBDrjOaG3QBb6ONDHvWvNYve24=" w:salt="tcgtqJ3Ww83uyC33x5NdIQ=="/>
  <w:defaultTabStop w:val="720"/>
  <w:hyphenationZone w:val="916"/>
  <w:doNotHyphenateCaps/>
  <w:drawingGridHorizontalSpacing w:val="100"/>
  <w:displayHorizontalDrawingGridEvery w:val="0"/>
  <w:displayVerticalDrawingGridEvery w:val="0"/>
  <w:doNotShadeFormData/>
  <w:noPunctuationKerning/>
  <w:characterSpacingControl w:val="doNotCompress"/>
  <w:hdrShapeDefaults>
    <o:shapedefaults v:ext="edit" spidmax="2068"/>
    <o:shapelayout v:ext="edit">
      <o:idmap v:ext="edit" data="2"/>
    </o:shapelayout>
  </w:hdrShapeDefaults>
  <w:footnotePr>
    <w:footnote w:id="-1"/>
    <w:footnote w:id="0"/>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676A3"/>
    <w:rsid w:val="00000597"/>
    <w:rsid w:val="00004101"/>
    <w:rsid w:val="00004231"/>
    <w:rsid w:val="000072D5"/>
    <w:rsid w:val="00010106"/>
    <w:rsid w:val="0001681B"/>
    <w:rsid w:val="000177CE"/>
    <w:rsid w:val="000211FA"/>
    <w:rsid w:val="00026328"/>
    <w:rsid w:val="00026BAA"/>
    <w:rsid w:val="00027005"/>
    <w:rsid w:val="00030DCF"/>
    <w:rsid w:val="000330B6"/>
    <w:rsid w:val="00036830"/>
    <w:rsid w:val="00042207"/>
    <w:rsid w:val="00045753"/>
    <w:rsid w:val="00052380"/>
    <w:rsid w:val="00064A1E"/>
    <w:rsid w:val="000667C3"/>
    <w:rsid w:val="00070333"/>
    <w:rsid w:val="00071751"/>
    <w:rsid w:val="000746C9"/>
    <w:rsid w:val="00075F07"/>
    <w:rsid w:val="00083511"/>
    <w:rsid w:val="00085345"/>
    <w:rsid w:val="000A270C"/>
    <w:rsid w:val="000A3C9B"/>
    <w:rsid w:val="000A4F40"/>
    <w:rsid w:val="000B1089"/>
    <w:rsid w:val="000B126D"/>
    <w:rsid w:val="000B53B3"/>
    <w:rsid w:val="000C1830"/>
    <w:rsid w:val="000C7213"/>
    <w:rsid w:val="000D5B0A"/>
    <w:rsid w:val="000E0E25"/>
    <w:rsid w:val="000E2837"/>
    <w:rsid w:val="000E38D9"/>
    <w:rsid w:val="000E4742"/>
    <w:rsid w:val="000E4E4B"/>
    <w:rsid w:val="000F58AE"/>
    <w:rsid w:val="00110BFB"/>
    <w:rsid w:val="00111AE5"/>
    <w:rsid w:val="001134A4"/>
    <w:rsid w:val="001240AC"/>
    <w:rsid w:val="001300EB"/>
    <w:rsid w:val="001304D8"/>
    <w:rsid w:val="00130680"/>
    <w:rsid w:val="00143FA2"/>
    <w:rsid w:val="00144AFA"/>
    <w:rsid w:val="001477B6"/>
    <w:rsid w:val="0015389A"/>
    <w:rsid w:val="0015396D"/>
    <w:rsid w:val="00161027"/>
    <w:rsid w:val="001708C9"/>
    <w:rsid w:val="00171F6A"/>
    <w:rsid w:val="00172188"/>
    <w:rsid w:val="001861CE"/>
    <w:rsid w:val="00187960"/>
    <w:rsid w:val="001918FA"/>
    <w:rsid w:val="0019489A"/>
    <w:rsid w:val="00196A8F"/>
    <w:rsid w:val="001A51B6"/>
    <w:rsid w:val="001C1497"/>
    <w:rsid w:val="001D61B4"/>
    <w:rsid w:val="001E0A85"/>
    <w:rsid w:val="001E0D13"/>
    <w:rsid w:val="001E5254"/>
    <w:rsid w:val="001E6DE0"/>
    <w:rsid w:val="001F0A79"/>
    <w:rsid w:val="001F59AB"/>
    <w:rsid w:val="001F6A7B"/>
    <w:rsid w:val="00200377"/>
    <w:rsid w:val="0021152D"/>
    <w:rsid w:val="0021433C"/>
    <w:rsid w:val="00215A64"/>
    <w:rsid w:val="00230013"/>
    <w:rsid w:val="00231DF4"/>
    <w:rsid w:val="0024098F"/>
    <w:rsid w:val="00241B19"/>
    <w:rsid w:val="002456EE"/>
    <w:rsid w:val="00255EAF"/>
    <w:rsid w:val="00263BD0"/>
    <w:rsid w:val="00267B94"/>
    <w:rsid w:val="00274517"/>
    <w:rsid w:val="0028241C"/>
    <w:rsid w:val="00290630"/>
    <w:rsid w:val="00292D20"/>
    <w:rsid w:val="00292F20"/>
    <w:rsid w:val="002A3AFE"/>
    <w:rsid w:val="002A4FB8"/>
    <w:rsid w:val="002A58F4"/>
    <w:rsid w:val="002A7147"/>
    <w:rsid w:val="002B3833"/>
    <w:rsid w:val="002C1398"/>
    <w:rsid w:val="002C31C0"/>
    <w:rsid w:val="002D3520"/>
    <w:rsid w:val="002D5A11"/>
    <w:rsid w:val="002D6CF8"/>
    <w:rsid w:val="002E060E"/>
    <w:rsid w:val="002E5CDE"/>
    <w:rsid w:val="002F5A39"/>
    <w:rsid w:val="002F6D81"/>
    <w:rsid w:val="00300DEC"/>
    <w:rsid w:val="003037D0"/>
    <w:rsid w:val="003212A6"/>
    <w:rsid w:val="00325FFF"/>
    <w:rsid w:val="0033168E"/>
    <w:rsid w:val="00335363"/>
    <w:rsid w:val="00342377"/>
    <w:rsid w:val="003547FC"/>
    <w:rsid w:val="00357513"/>
    <w:rsid w:val="00361D12"/>
    <w:rsid w:val="0037207F"/>
    <w:rsid w:val="00381CC0"/>
    <w:rsid w:val="00382E2A"/>
    <w:rsid w:val="003A19F5"/>
    <w:rsid w:val="003B2899"/>
    <w:rsid w:val="003C04B5"/>
    <w:rsid w:val="003C1F2C"/>
    <w:rsid w:val="003C7297"/>
    <w:rsid w:val="003D6E62"/>
    <w:rsid w:val="003E51EB"/>
    <w:rsid w:val="003E6FD1"/>
    <w:rsid w:val="003F0039"/>
    <w:rsid w:val="00407950"/>
    <w:rsid w:val="00411E47"/>
    <w:rsid w:val="004133C6"/>
    <w:rsid w:val="004331A1"/>
    <w:rsid w:val="00436D83"/>
    <w:rsid w:val="004428E1"/>
    <w:rsid w:val="00442BEE"/>
    <w:rsid w:val="0044571C"/>
    <w:rsid w:val="004461D9"/>
    <w:rsid w:val="00446E59"/>
    <w:rsid w:val="0044709A"/>
    <w:rsid w:val="004676A3"/>
    <w:rsid w:val="00467F1E"/>
    <w:rsid w:val="00480275"/>
    <w:rsid w:val="00482695"/>
    <w:rsid w:val="004855A3"/>
    <w:rsid w:val="00491B44"/>
    <w:rsid w:val="004951FF"/>
    <w:rsid w:val="00496EC8"/>
    <w:rsid w:val="004A31BE"/>
    <w:rsid w:val="004A72C9"/>
    <w:rsid w:val="004A7CD3"/>
    <w:rsid w:val="004B54F7"/>
    <w:rsid w:val="004C2647"/>
    <w:rsid w:val="004C44C1"/>
    <w:rsid w:val="004D0373"/>
    <w:rsid w:val="004D0E79"/>
    <w:rsid w:val="004D286B"/>
    <w:rsid w:val="004D4533"/>
    <w:rsid w:val="004E0D8C"/>
    <w:rsid w:val="004E2E95"/>
    <w:rsid w:val="004E3971"/>
    <w:rsid w:val="004E5859"/>
    <w:rsid w:val="004E790B"/>
    <w:rsid w:val="00502590"/>
    <w:rsid w:val="00502A23"/>
    <w:rsid w:val="0050470A"/>
    <w:rsid w:val="00504D18"/>
    <w:rsid w:val="0050566E"/>
    <w:rsid w:val="0050637B"/>
    <w:rsid w:val="00507C03"/>
    <w:rsid w:val="00510E70"/>
    <w:rsid w:val="00512E4B"/>
    <w:rsid w:val="005137C0"/>
    <w:rsid w:val="0051736E"/>
    <w:rsid w:val="0052459D"/>
    <w:rsid w:val="005264D9"/>
    <w:rsid w:val="005324ED"/>
    <w:rsid w:val="00535236"/>
    <w:rsid w:val="005356C3"/>
    <w:rsid w:val="0053704B"/>
    <w:rsid w:val="0053710F"/>
    <w:rsid w:val="0054119A"/>
    <w:rsid w:val="00554EBE"/>
    <w:rsid w:val="00555D80"/>
    <w:rsid w:val="00572ED2"/>
    <w:rsid w:val="00582060"/>
    <w:rsid w:val="00585492"/>
    <w:rsid w:val="005874A4"/>
    <w:rsid w:val="005909C6"/>
    <w:rsid w:val="00592679"/>
    <w:rsid w:val="00595B9E"/>
    <w:rsid w:val="005970FC"/>
    <w:rsid w:val="005A2E29"/>
    <w:rsid w:val="005A5FEE"/>
    <w:rsid w:val="005B757C"/>
    <w:rsid w:val="005C01DE"/>
    <w:rsid w:val="005C0BF5"/>
    <w:rsid w:val="005C341C"/>
    <w:rsid w:val="005C47B1"/>
    <w:rsid w:val="005C65E1"/>
    <w:rsid w:val="005D3508"/>
    <w:rsid w:val="005E398B"/>
    <w:rsid w:val="005E3A98"/>
    <w:rsid w:val="005E5D66"/>
    <w:rsid w:val="005F138E"/>
    <w:rsid w:val="005F55B5"/>
    <w:rsid w:val="006022F0"/>
    <w:rsid w:val="00603236"/>
    <w:rsid w:val="0060465D"/>
    <w:rsid w:val="00612634"/>
    <w:rsid w:val="00613FDA"/>
    <w:rsid w:val="006157A5"/>
    <w:rsid w:val="0061759D"/>
    <w:rsid w:val="00621E8E"/>
    <w:rsid w:val="00623CDA"/>
    <w:rsid w:val="00624D75"/>
    <w:rsid w:val="006264BD"/>
    <w:rsid w:val="00627B0B"/>
    <w:rsid w:val="00633C49"/>
    <w:rsid w:val="0063473D"/>
    <w:rsid w:val="0063672E"/>
    <w:rsid w:val="00652AD6"/>
    <w:rsid w:val="006576BC"/>
    <w:rsid w:val="006601AC"/>
    <w:rsid w:val="00661439"/>
    <w:rsid w:val="00666D5B"/>
    <w:rsid w:val="0067095E"/>
    <w:rsid w:val="00670BCB"/>
    <w:rsid w:val="0067141A"/>
    <w:rsid w:val="006720D2"/>
    <w:rsid w:val="0067272A"/>
    <w:rsid w:val="006770FD"/>
    <w:rsid w:val="00680348"/>
    <w:rsid w:val="00683E54"/>
    <w:rsid w:val="00684747"/>
    <w:rsid w:val="00690B3F"/>
    <w:rsid w:val="00691365"/>
    <w:rsid w:val="0069268F"/>
    <w:rsid w:val="00697DB9"/>
    <w:rsid w:val="006A27C9"/>
    <w:rsid w:val="006A3CBD"/>
    <w:rsid w:val="006A5577"/>
    <w:rsid w:val="006B1113"/>
    <w:rsid w:val="006B2543"/>
    <w:rsid w:val="006B4257"/>
    <w:rsid w:val="006B49FC"/>
    <w:rsid w:val="006B599B"/>
    <w:rsid w:val="006B650F"/>
    <w:rsid w:val="006C67A3"/>
    <w:rsid w:val="006D2AA6"/>
    <w:rsid w:val="006D5C35"/>
    <w:rsid w:val="006E3FC0"/>
    <w:rsid w:val="006E6661"/>
    <w:rsid w:val="006F0D0F"/>
    <w:rsid w:val="006F48FD"/>
    <w:rsid w:val="006F59CE"/>
    <w:rsid w:val="006F7A59"/>
    <w:rsid w:val="006F7F51"/>
    <w:rsid w:val="007019E9"/>
    <w:rsid w:val="0070685C"/>
    <w:rsid w:val="007156C7"/>
    <w:rsid w:val="00722F1B"/>
    <w:rsid w:val="00724D3A"/>
    <w:rsid w:val="00724FBA"/>
    <w:rsid w:val="00725D30"/>
    <w:rsid w:val="00731E77"/>
    <w:rsid w:val="00732827"/>
    <w:rsid w:val="00740952"/>
    <w:rsid w:val="007549D7"/>
    <w:rsid w:val="00754D81"/>
    <w:rsid w:val="00762984"/>
    <w:rsid w:val="00766232"/>
    <w:rsid w:val="0077792B"/>
    <w:rsid w:val="007855D8"/>
    <w:rsid w:val="007942E7"/>
    <w:rsid w:val="00796295"/>
    <w:rsid w:val="007A2B72"/>
    <w:rsid w:val="007B53AF"/>
    <w:rsid w:val="007C077F"/>
    <w:rsid w:val="007C67B3"/>
    <w:rsid w:val="007D6FEE"/>
    <w:rsid w:val="007D7111"/>
    <w:rsid w:val="007F7176"/>
    <w:rsid w:val="008064AC"/>
    <w:rsid w:val="00810649"/>
    <w:rsid w:val="00814294"/>
    <w:rsid w:val="0081447F"/>
    <w:rsid w:val="00830148"/>
    <w:rsid w:val="00835C9A"/>
    <w:rsid w:val="00836B1B"/>
    <w:rsid w:val="00836F7D"/>
    <w:rsid w:val="008445DF"/>
    <w:rsid w:val="00851B4A"/>
    <w:rsid w:val="008524C7"/>
    <w:rsid w:val="00862A13"/>
    <w:rsid w:val="00865B86"/>
    <w:rsid w:val="0088080D"/>
    <w:rsid w:val="008809D6"/>
    <w:rsid w:val="00881159"/>
    <w:rsid w:val="00883CC5"/>
    <w:rsid w:val="0088460B"/>
    <w:rsid w:val="0089400B"/>
    <w:rsid w:val="008944FA"/>
    <w:rsid w:val="008965D3"/>
    <w:rsid w:val="008A2CCA"/>
    <w:rsid w:val="008A688F"/>
    <w:rsid w:val="008C27A9"/>
    <w:rsid w:val="008C5A70"/>
    <w:rsid w:val="008C739E"/>
    <w:rsid w:val="008E37DC"/>
    <w:rsid w:val="008E44D1"/>
    <w:rsid w:val="008E684E"/>
    <w:rsid w:val="008F222C"/>
    <w:rsid w:val="008F61EC"/>
    <w:rsid w:val="008F7BC6"/>
    <w:rsid w:val="0090337E"/>
    <w:rsid w:val="00903B67"/>
    <w:rsid w:val="00912A7A"/>
    <w:rsid w:val="009273DE"/>
    <w:rsid w:val="00930619"/>
    <w:rsid w:val="00930EAB"/>
    <w:rsid w:val="009314D2"/>
    <w:rsid w:val="00932103"/>
    <w:rsid w:val="0093684E"/>
    <w:rsid w:val="009369C0"/>
    <w:rsid w:val="0094414B"/>
    <w:rsid w:val="00945B01"/>
    <w:rsid w:val="009504D6"/>
    <w:rsid w:val="00952A50"/>
    <w:rsid w:val="00956AAA"/>
    <w:rsid w:val="00956D3D"/>
    <w:rsid w:val="00956D99"/>
    <w:rsid w:val="0096458C"/>
    <w:rsid w:val="00965E63"/>
    <w:rsid w:val="00971DE1"/>
    <w:rsid w:val="00973550"/>
    <w:rsid w:val="009747F0"/>
    <w:rsid w:val="00977A66"/>
    <w:rsid w:val="009817F7"/>
    <w:rsid w:val="009852B0"/>
    <w:rsid w:val="00992417"/>
    <w:rsid w:val="009A0D9D"/>
    <w:rsid w:val="009A18BC"/>
    <w:rsid w:val="009A40C9"/>
    <w:rsid w:val="009A7451"/>
    <w:rsid w:val="009B3D24"/>
    <w:rsid w:val="009B411B"/>
    <w:rsid w:val="009B514C"/>
    <w:rsid w:val="009C4F6C"/>
    <w:rsid w:val="009D2D05"/>
    <w:rsid w:val="009D5353"/>
    <w:rsid w:val="009E00CE"/>
    <w:rsid w:val="009E12C4"/>
    <w:rsid w:val="009E1326"/>
    <w:rsid w:val="009E134B"/>
    <w:rsid w:val="009E67E8"/>
    <w:rsid w:val="009F026B"/>
    <w:rsid w:val="009F198A"/>
    <w:rsid w:val="009F7C46"/>
    <w:rsid w:val="00A005E9"/>
    <w:rsid w:val="00A03738"/>
    <w:rsid w:val="00A1166A"/>
    <w:rsid w:val="00A155E8"/>
    <w:rsid w:val="00A24BBD"/>
    <w:rsid w:val="00A30A22"/>
    <w:rsid w:val="00A30CD3"/>
    <w:rsid w:val="00A3308C"/>
    <w:rsid w:val="00A3396E"/>
    <w:rsid w:val="00A351F2"/>
    <w:rsid w:val="00A41491"/>
    <w:rsid w:val="00A4215F"/>
    <w:rsid w:val="00A42A40"/>
    <w:rsid w:val="00A44F8F"/>
    <w:rsid w:val="00A57859"/>
    <w:rsid w:val="00A57FAE"/>
    <w:rsid w:val="00A64160"/>
    <w:rsid w:val="00A76D9F"/>
    <w:rsid w:val="00A82F7C"/>
    <w:rsid w:val="00A849BD"/>
    <w:rsid w:val="00A8568A"/>
    <w:rsid w:val="00A85726"/>
    <w:rsid w:val="00AA5FB9"/>
    <w:rsid w:val="00AA7B70"/>
    <w:rsid w:val="00AB12E5"/>
    <w:rsid w:val="00AC02D3"/>
    <w:rsid w:val="00AD13A9"/>
    <w:rsid w:val="00AD15B3"/>
    <w:rsid w:val="00AD1D5C"/>
    <w:rsid w:val="00AD6981"/>
    <w:rsid w:val="00AE191B"/>
    <w:rsid w:val="00AE261B"/>
    <w:rsid w:val="00AF49B7"/>
    <w:rsid w:val="00AF6DB6"/>
    <w:rsid w:val="00B02B13"/>
    <w:rsid w:val="00B07A60"/>
    <w:rsid w:val="00B10C93"/>
    <w:rsid w:val="00B15C85"/>
    <w:rsid w:val="00B20DC2"/>
    <w:rsid w:val="00B301DB"/>
    <w:rsid w:val="00B3708E"/>
    <w:rsid w:val="00B41444"/>
    <w:rsid w:val="00B41C26"/>
    <w:rsid w:val="00B43418"/>
    <w:rsid w:val="00B531D2"/>
    <w:rsid w:val="00B573EE"/>
    <w:rsid w:val="00B61407"/>
    <w:rsid w:val="00B6551F"/>
    <w:rsid w:val="00B66233"/>
    <w:rsid w:val="00B860A6"/>
    <w:rsid w:val="00B94062"/>
    <w:rsid w:val="00B9525A"/>
    <w:rsid w:val="00BA5F48"/>
    <w:rsid w:val="00BC0FC6"/>
    <w:rsid w:val="00BC5378"/>
    <w:rsid w:val="00BC7F5A"/>
    <w:rsid w:val="00BD11C9"/>
    <w:rsid w:val="00BE18DA"/>
    <w:rsid w:val="00BE6ED2"/>
    <w:rsid w:val="00BF14AB"/>
    <w:rsid w:val="00BF216F"/>
    <w:rsid w:val="00BF63B0"/>
    <w:rsid w:val="00BF69BA"/>
    <w:rsid w:val="00BF6ADC"/>
    <w:rsid w:val="00BF7D08"/>
    <w:rsid w:val="00C00752"/>
    <w:rsid w:val="00C02115"/>
    <w:rsid w:val="00C055C0"/>
    <w:rsid w:val="00C05F2C"/>
    <w:rsid w:val="00C130E2"/>
    <w:rsid w:val="00C2112C"/>
    <w:rsid w:val="00C21A7E"/>
    <w:rsid w:val="00C23666"/>
    <w:rsid w:val="00C27166"/>
    <w:rsid w:val="00C33941"/>
    <w:rsid w:val="00C4450B"/>
    <w:rsid w:val="00C45653"/>
    <w:rsid w:val="00C508D8"/>
    <w:rsid w:val="00C56FA4"/>
    <w:rsid w:val="00C60DBA"/>
    <w:rsid w:val="00C66528"/>
    <w:rsid w:val="00C7047D"/>
    <w:rsid w:val="00C71B04"/>
    <w:rsid w:val="00C73BE6"/>
    <w:rsid w:val="00C80511"/>
    <w:rsid w:val="00C80A96"/>
    <w:rsid w:val="00C821D8"/>
    <w:rsid w:val="00C845CC"/>
    <w:rsid w:val="00C84AE9"/>
    <w:rsid w:val="00C90A46"/>
    <w:rsid w:val="00C9555E"/>
    <w:rsid w:val="00CA39D1"/>
    <w:rsid w:val="00CA59B0"/>
    <w:rsid w:val="00CA7F0B"/>
    <w:rsid w:val="00CB04D8"/>
    <w:rsid w:val="00CC2069"/>
    <w:rsid w:val="00CC2897"/>
    <w:rsid w:val="00CD4FB6"/>
    <w:rsid w:val="00CE3FCF"/>
    <w:rsid w:val="00CE625E"/>
    <w:rsid w:val="00CF46C8"/>
    <w:rsid w:val="00D0078E"/>
    <w:rsid w:val="00D0232A"/>
    <w:rsid w:val="00D041B4"/>
    <w:rsid w:val="00D079BF"/>
    <w:rsid w:val="00D121D7"/>
    <w:rsid w:val="00D125D6"/>
    <w:rsid w:val="00D12861"/>
    <w:rsid w:val="00D1382E"/>
    <w:rsid w:val="00D32118"/>
    <w:rsid w:val="00D32AE1"/>
    <w:rsid w:val="00D3507B"/>
    <w:rsid w:val="00D42447"/>
    <w:rsid w:val="00D43F78"/>
    <w:rsid w:val="00D46222"/>
    <w:rsid w:val="00D46292"/>
    <w:rsid w:val="00D50BC5"/>
    <w:rsid w:val="00D70F20"/>
    <w:rsid w:val="00D74926"/>
    <w:rsid w:val="00D84E16"/>
    <w:rsid w:val="00D86BE7"/>
    <w:rsid w:val="00DA2370"/>
    <w:rsid w:val="00DA47F2"/>
    <w:rsid w:val="00DA685C"/>
    <w:rsid w:val="00DB0598"/>
    <w:rsid w:val="00DB292C"/>
    <w:rsid w:val="00DC3D46"/>
    <w:rsid w:val="00DC77B4"/>
    <w:rsid w:val="00DE1074"/>
    <w:rsid w:val="00DE44B8"/>
    <w:rsid w:val="00DE547E"/>
    <w:rsid w:val="00DF007C"/>
    <w:rsid w:val="00DF07CA"/>
    <w:rsid w:val="00DF07EC"/>
    <w:rsid w:val="00DF1452"/>
    <w:rsid w:val="00E01171"/>
    <w:rsid w:val="00E04DB6"/>
    <w:rsid w:val="00E107CB"/>
    <w:rsid w:val="00E10DF9"/>
    <w:rsid w:val="00E23529"/>
    <w:rsid w:val="00E317BE"/>
    <w:rsid w:val="00E32072"/>
    <w:rsid w:val="00E329C2"/>
    <w:rsid w:val="00E331B6"/>
    <w:rsid w:val="00E34BA2"/>
    <w:rsid w:val="00E40FE4"/>
    <w:rsid w:val="00E4492D"/>
    <w:rsid w:val="00E543B8"/>
    <w:rsid w:val="00E54CFA"/>
    <w:rsid w:val="00E55006"/>
    <w:rsid w:val="00E5555F"/>
    <w:rsid w:val="00E56EFE"/>
    <w:rsid w:val="00E5707E"/>
    <w:rsid w:val="00E8086A"/>
    <w:rsid w:val="00E93E90"/>
    <w:rsid w:val="00EA2E1F"/>
    <w:rsid w:val="00EA3EBE"/>
    <w:rsid w:val="00EB05D0"/>
    <w:rsid w:val="00EB06B6"/>
    <w:rsid w:val="00EB542B"/>
    <w:rsid w:val="00EB58AF"/>
    <w:rsid w:val="00EB5A91"/>
    <w:rsid w:val="00EB6083"/>
    <w:rsid w:val="00EB7723"/>
    <w:rsid w:val="00EC1228"/>
    <w:rsid w:val="00EC50F2"/>
    <w:rsid w:val="00EC5A7E"/>
    <w:rsid w:val="00EE427D"/>
    <w:rsid w:val="00EF4861"/>
    <w:rsid w:val="00EF6E43"/>
    <w:rsid w:val="00F01E24"/>
    <w:rsid w:val="00F024E0"/>
    <w:rsid w:val="00F07C1F"/>
    <w:rsid w:val="00F07F43"/>
    <w:rsid w:val="00F17D7F"/>
    <w:rsid w:val="00F2076D"/>
    <w:rsid w:val="00F21174"/>
    <w:rsid w:val="00F21BEA"/>
    <w:rsid w:val="00F34B41"/>
    <w:rsid w:val="00F3724E"/>
    <w:rsid w:val="00F37269"/>
    <w:rsid w:val="00F4014F"/>
    <w:rsid w:val="00F413B6"/>
    <w:rsid w:val="00F442C3"/>
    <w:rsid w:val="00F50B7F"/>
    <w:rsid w:val="00F6443B"/>
    <w:rsid w:val="00F65D7B"/>
    <w:rsid w:val="00F66AAD"/>
    <w:rsid w:val="00F8798F"/>
    <w:rsid w:val="00F9262A"/>
    <w:rsid w:val="00F9408E"/>
    <w:rsid w:val="00FB00F4"/>
    <w:rsid w:val="00FB1C95"/>
    <w:rsid w:val="00FB319C"/>
    <w:rsid w:val="00FB31BE"/>
    <w:rsid w:val="00FB3243"/>
    <w:rsid w:val="00FD1B92"/>
    <w:rsid w:val="00FD4814"/>
    <w:rsid w:val="00FD7DD5"/>
    <w:rsid w:val="00FE3961"/>
    <w:rsid w:val="00FE656E"/>
    <w:rsid w:val="00FF2937"/>
    <w:rsid w:val="00FF3066"/>
    <w:rsid w:val="00FF45C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68"/>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0" w:unhideWhenUsed="0" w:qFormat="1"/>
    <w:lsdException w:name="heading 6" w:semiHidden="0" w:uiPriority="9" w:unhideWhenUsed="0" w:qFormat="1"/>
    <w:lsdException w:name="heading 7" w:uiPriority="9"/>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lsdException w:name="macro" w:uiPriority="0"/>
    <w:lsdException w:name="Title" w:semiHidden="0" w:uiPriority="10" w:unhideWhenUsed="0"/>
    <w:lsdException w:name="Default Paragraph Font" w:uiPriority="1"/>
    <w:lsdException w:name="Body Text" w:uiPriority="0" w:qFormat="1"/>
    <w:lsdException w:name="Subtitle" w:semiHidden="0" w:uiPriority="11" w:unhideWhenUsed="0"/>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6B4257"/>
    <w:pPr>
      <w:tabs>
        <w:tab w:val="left" w:pos="567"/>
        <w:tab w:val="left" w:pos="1134"/>
      </w:tabs>
      <w:spacing w:after="60"/>
      <w:jc w:val="both"/>
    </w:pPr>
    <w:rPr>
      <w:rFonts w:ascii="Verdana" w:hAnsi="Verdana"/>
      <w:lang w:eastAsia="en-US"/>
    </w:rPr>
  </w:style>
  <w:style w:type="paragraph" w:styleId="Heading1">
    <w:name w:val="heading 1"/>
    <w:basedOn w:val="Normal"/>
    <w:next w:val="Normal"/>
    <w:qFormat/>
    <w:rsid w:val="00075F07"/>
    <w:pPr>
      <w:keepNext/>
      <w:suppressAutoHyphens/>
      <w:outlineLvl w:val="0"/>
    </w:pPr>
    <w:rPr>
      <w:b/>
      <w:bCs/>
      <w:caps/>
      <w:sz w:val="22"/>
    </w:rPr>
  </w:style>
  <w:style w:type="paragraph" w:styleId="Heading2">
    <w:name w:val="heading 2"/>
    <w:basedOn w:val="Normal"/>
    <w:next w:val="Normal"/>
    <w:qFormat/>
    <w:rsid w:val="00075F07"/>
    <w:pPr>
      <w:keepNext/>
      <w:outlineLvl w:val="1"/>
    </w:pPr>
    <w:rPr>
      <w:b/>
      <w:i/>
    </w:rPr>
  </w:style>
  <w:style w:type="paragraph" w:styleId="Heading3">
    <w:name w:val="heading 3"/>
    <w:basedOn w:val="Normal"/>
    <w:next w:val="Normal"/>
    <w:qFormat/>
    <w:rsid w:val="00075F07"/>
    <w:pPr>
      <w:keepNext/>
      <w:tabs>
        <w:tab w:val="left" w:pos="284"/>
        <w:tab w:val="left" w:pos="1418"/>
      </w:tabs>
      <w:outlineLvl w:val="2"/>
    </w:pPr>
    <w:rPr>
      <w:b/>
      <w:i/>
    </w:rPr>
  </w:style>
  <w:style w:type="paragraph" w:styleId="Heading4">
    <w:name w:val="heading 4"/>
    <w:basedOn w:val="Normal"/>
    <w:next w:val="Normal"/>
    <w:qFormat/>
    <w:rsid w:val="00971DE1"/>
    <w:pPr>
      <w:keepNext/>
      <w:tabs>
        <w:tab w:val="center" w:pos="4820"/>
        <w:tab w:val="center" w:pos="9356"/>
      </w:tabs>
      <w:suppressAutoHyphens/>
      <w:contextualSpacing/>
      <w:outlineLvl w:val="3"/>
    </w:pPr>
    <w:rPr>
      <w:b/>
    </w:rPr>
  </w:style>
  <w:style w:type="paragraph" w:styleId="Heading5">
    <w:name w:val="heading 5"/>
    <w:basedOn w:val="Normal"/>
    <w:next w:val="Normal"/>
    <w:qFormat/>
    <w:rsid w:val="00482695"/>
    <w:pPr>
      <w:keepNext/>
      <w:tabs>
        <w:tab w:val="left" w:pos="1701"/>
        <w:tab w:val="center" w:pos="8789"/>
      </w:tabs>
      <w:suppressAutoHyphens/>
      <w:outlineLvl w:val="4"/>
    </w:pPr>
    <w:rPr>
      <w:rFonts w:ascii="Arial" w:hAnsi="Arial"/>
      <w:b/>
      <w:spacing w:val="-2"/>
      <w:sz w:val="22"/>
    </w:rPr>
  </w:style>
  <w:style w:type="paragraph" w:styleId="Heading6">
    <w:name w:val="heading 6"/>
    <w:basedOn w:val="Normal"/>
    <w:next w:val="Normal"/>
    <w:qFormat/>
    <w:rsid w:val="00482695"/>
    <w:pPr>
      <w:keepNext/>
      <w:tabs>
        <w:tab w:val="left" w:pos="1080"/>
        <w:tab w:val="left" w:pos="1680"/>
        <w:tab w:val="center" w:pos="9356"/>
      </w:tabs>
      <w:suppressAutoHyphens/>
      <w:spacing w:line="360" w:lineRule="auto"/>
      <w:outlineLvl w:val="5"/>
    </w:pPr>
    <w:rPr>
      <w:rFonts w:ascii="Arial" w:hAnsi="Arial"/>
      <w:b/>
      <w:spacing w:val="-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482695"/>
  </w:style>
  <w:style w:type="character" w:styleId="EndnoteReference">
    <w:name w:val="endnote reference"/>
    <w:basedOn w:val="DefaultParagraphFont"/>
    <w:semiHidden/>
    <w:rsid w:val="00482695"/>
    <w:rPr>
      <w:vertAlign w:val="superscript"/>
    </w:rPr>
  </w:style>
  <w:style w:type="paragraph" w:styleId="FootnoteText">
    <w:name w:val="footnote text"/>
    <w:basedOn w:val="Normal"/>
    <w:semiHidden/>
    <w:rsid w:val="00482695"/>
  </w:style>
  <w:style w:type="character" w:styleId="FootnoteReference">
    <w:name w:val="footnote reference"/>
    <w:basedOn w:val="DefaultParagraphFont"/>
    <w:semiHidden/>
    <w:rsid w:val="00482695"/>
    <w:rPr>
      <w:vertAlign w:val="superscript"/>
    </w:rPr>
  </w:style>
  <w:style w:type="character" w:customStyle="1" w:styleId="Document8">
    <w:name w:val="Document 8"/>
    <w:basedOn w:val="DefaultParagraphFont"/>
    <w:rsid w:val="00482695"/>
  </w:style>
  <w:style w:type="character" w:customStyle="1" w:styleId="Document4">
    <w:name w:val="Document 4"/>
    <w:basedOn w:val="DefaultParagraphFont"/>
    <w:rsid w:val="00482695"/>
    <w:rPr>
      <w:b/>
      <w:i/>
      <w:sz w:val="24"/>
    </w:rPr>
  </w:style>
  <w:style w:type="character" w:customStyle="1" w:styleId="Document6">
    <w:name w:val="Document 6"/>
    <w:basedOn w:val="DefaultParagraphFont"/>
    <w:rsid w:val="00482695"/>
  </w:style>
  <w:style w:type="character" w:customStyle="1" w:styleId="Document5">
    <w:name w:val="Document 5"/>
    <w:basedOn w:val="DefaultParagraphFont"/>
    <w:rsid w:val="00482695"/>
  </w:style>
  <w:style w:type="character" w:customStyle="1" w:styleId="Document2">
    <w:name w:val="Document 2"/>
    <w:basedOn w:val="DefaultParagraphFont"/>
    <w:rsid w:val="00482695"/>
    <w:rPr>
      <w:rFonts w:ascii="Courier" w:hAnsi="Courier"/>
      <w:noProof w:val="0"/>
      <w:sz w:val="24"/>
      <w:lang w:val="en-US"/>
    </w:rPr>
  </w:style>
  <w:style w:type="character" w:customStyle="1" w:styleId="Document7">
    <w:name w:val="Document 7"/>
    <w:basedOn w:val="DefaultParagraphFont"/>
    <w:rsid w:val="00482695"/>
  </w:style>
  <w:style w:type="character" w:customStyle="1" w:styleId="Bibliogrphy">
    <w:name w:val="Bibliogrphy"/>
    <w:basedOn w:val="DefaultParagraphFont"/>
    <w:rsid w:val="00482695"/>
  </w:style>
  <w:style w:type="paragraph" w:customStyle="1" w:styleId="RightPar1">
    <w:name w:val="Right Par 1"/>
    <w:rsid w:val="00482695"/>
    <w:pPr>
      <w:tabs>
        <w:tab w:val="left" w:pos="-720"/>
        <w:tab w:val="left" w:pos="0"/>
        <w:tab w:val="decimal" w:pos="720"/>
      </w:tabs>
      <w:suppressAutoHyphens/>
      <w:ind w:left="720"/>
    </w:pPr>
    <w:rPr>
      <w:rFonts w:ascii="Courier" w:hAnsi="Courier"/>
      <w:sz w:val="24"/>
      <w:lang w:val="en-US" w:eastAsia="en-US"/>
    </w:rPr>
  </w:style>
  <w:style w:type="paragraph" w:customStyle="1" w:styleId="RightPar2">
    <w:name w:val="Right Par 2"/>
    <w:rsid w:val="00482695"/>
    <w:pPr>
      <w:tabs>
        <w:tab w:val="left" w:pos="-720"/>
        <w:tab w:val="left" w:pos="0"/>
        <w:tab w:val="left" w:pos="720"/>
        <w:tab w:val="decimal" w:pos="1440"/>
      </w:tabs>
      <w:suppressAutoHyphens/>
      <w:ind w:left="1440"/>
    </w:pPr>
    <w:rPr>
      <w:rFonts w:ascii="Courier" w:hAnsi="Courier"/>
      <w:sz w:val="24"/>
      <w:lang w:val="en-US" w:eastAsia="en-US"/>
    </w:rPr>
  </w:style>
  <w:style w:type="character" w:customStyle="1" w:styleId="Document3">
    <w:name w:val="Document 3"/>
    <w:basedOn w:val="DefaultParagraphFont"/>
    <w:rsid w:val="00482695"/>
    <w:rPr>
      <w:rFonts w:ascii="Courier" w:hAnsi="Courier"/>
      <w:noProof w:val="0"/>
      <w:sz w:val="24"/>
      <w:lang w:val="en-US"/>
    </w:rPr>
  </w:style>
  <w:style w:type="paragraph" w:customStyle="1" w:styleId="RightPar3">
    <w:name w:val="Right Par 3"/>
    <w:rsid w:val="00482695"/>
    <w:pPr>
      <w:tabs>
        <w:tab w:val="left" w:pos="-720"/>
        <w:tab w:val="left" w:pos="0"/>
        <w:tab w:val="left" w:pos="720"/>
        <w:tab w:val="left" w:pos="1440"/>
        <w:tab w:val="decimal" w:pos="2160"/>
      </w:tabs>
      <w:suppressAutoHyphens/>
      <w:ind w:left="2160"/>
    </w:pPr>
    <w:rPr>
      <w:rFonts w:ascii="Courier" w:hAnsi="Courier"/>
      <w:sz w:val="24"/>
      <w:lang w:val="en-US" w:eastAsia="en-US"/>
    </w:rPr>
  </w:style>
  <w:style w:type="paragraph" w:customStyle="1" w:styleId="RightPar4">
    <w:name w:val="Right Par 4"/>
    <w:rsid w:val="00482695"/>
    <w:pPr>
      <w:tabs>
        <w:tab w:val="left" w:pos="-720"/>
        <w:tab w:val="left" w:pos="0"/>
        <w:tab w:val="left" w:pos="720"/>
        <w:tab w:val="left" w:pos="1440"/>
        <w:tab w:val="left" w:pos="2160"/>
        <w:tab w:val="decimal" w:pos="2880"/>
      </w:tabs>
      <w:suppressAutoHyphens/>
      <w:ind w:left="2880"/>
    </w:pPr>
    <w:rPr>
      <w:rFonts w:ascii="Courier" w:hAnsi="Courier"/>
      <w:sz w:val="24"/>
      <w:lang w:val="en-US" w:eastAsia="en-US"/>
    </w:rPr>
  </w:style>
  <w:style w:type="paragraph" w:customStyle="1" w:styleId="RightPar5">
    <w:name w:val="Right Par 5"/>
    <w:rsid w:val="00482695"/>
    <w:pPr>
      <w:tabs>
        <w:tab w:val="left" w:pos="-720"/>
        <w:tab w:val="left" w:pos="0"/>
        <w:tab w:val="left" w:pos="720"/>
        <w:tab w:val="left" w:pos="1440"/>
        <w:tab w:val="left" w:pos="2160"/>
        <w:tab w:val="left" w:pos="2880"/>
        <w:tab w:val="decimal" w:pos="3600"/>
      </w:tabs>
      <w:suppressAutoHyphens/>
      <w:ind w:left="3600"/>
    </w:pPr>
    <w:rPr>
      <w:rFonts w:ascii="Courier" w:hAnsi="Courier"/>
      <w:sz w:val="24"/>
      <w:lang w:val="en-US" w:eastAsia="en-US"/>
    </w:rPr>
  </w:style>
  <w:style w:type="paragraph" w:customStyle="1" w:styleId="RightPar6">
    <w:name w:val="Right Par 6"/>
    <w:rsid w:val="00482695"/>
    <w:pPr>
      <w:tabs>
        <w:tab w:val="left" w:pos="-720"/>
        <w:tab w:val="left" w:pos="0"/>
        <w:tab w:val="left" w:pos="720"/>
        <w:tab w:val="left" w:pos="1440"/>
        <w:tab w:val="left" w:pos="2160"/>
        <w:tab w:val="left" w:pos="2880"/>
        <w:tab w:val="left" w:pos="3600"/>
        <w:tab w:val="decimal" w:pos="4320"/>
      </w:tabs>
      <w:suppressAutoHyphens/>
      <w:ind w:left="4320"/>
    </w:pPr>
    <w:rPr>
      <w:rFonts w:ascii="Courier" w:hAnsi="Courier"/>
      <w:sz w:val="24"/>
      <w:lang w:val="en-US" w:eastAsia="en-US"/>
    </w:rPr>
  </w:style>
  <w:style w:type="paragraph" w:customStyle="1" w:styleId="RightPar7">
    <w:name w:val="Right Par 7"/>
    <w:rsid w:val="00482695"/>
    <w:pPr>
      <w:tabs>
        <w:tab w:val="left" w:pos="-720"/>
        <w:tab w:val="left" w:pos="0"/>
        <w:tab w:val="left" w:pos="720"/>
        <w:tab w:val="left" w:pos="1440"/>
        <w:tab w:val="left" w:pos="2160"/>
        <w:tab w:val="left" w:pos="2880"/>
        <w:tab w:val="left" w:pos="3600"/>
        <w:tab w:val="left" w:pos="4320"/>
        <w:tab w:val="decimal" w:pos="5040"/>
      </w:tabs>
      <w:suppressAutoHyphens/>
      <w:ind w:left="5040"/>
    </w:pPr>
    <w:rPr>
      <w:rFonts w:ascii="Courier" w:hAnsi="Courier"/>
      <w:sz w:val="24"/>
      <w:lang w:val="en-US" w:eastAsia="en-US"/>
    </w:rPr>
  </w:style>
  <w:style w:type="paragraph" w:customStyle="1" w:styleId="RightPar8">
    <w:name w:val="Right Par 8"/>
    <w:rsid w:val="00482695"/>
    <w:pPr>
      <w:tabs>
        <w:tab w:val="left" w:pos="-720"/>
        <w:tab w:val="left" w:pos="0"/>
        <w:tab w:val="left" w:pos="720"/>
        <w:tab w:val="left" w:pos="1440"/>
        <w:tab w:val="left" w:pos="2160"/>
        <w:tab w:val="left" w:pos="2880"/>
        <w:tab w:val="left" w:pos="3600"/>
        <w:tab w:val="left" w:pos="4320"/>
        <w:tab w:val="left" w:pos="5040"/>
        <w:tab w:val="decimal" w:pos="5760"/>
      </w:tabs>
      <w:suppressAutoHyphens/>
      <w:ind w:left="5760"/>
    </w:pPr>
    <w:rPr>
      <w:rFonts w:ascii="Courier" w:hAnsi="Courier"/>
      <w:sz w:val="24"/>
      <w:lang w:val="en-US" w:eastAsia="en-US"/>
    </w:rPr>
  </w:style>
  <w:style w:type="paragraph" w:customStyle="1" w:styleId="Document1">
    <w:name w:val="Document 1"/>
    <w:rsid w:val="00482695"/>
    <w:pPr>
      <w:keepNext/>
      <w:keepLines/>
      <w:tabs>
        <w:tab w:val="left" w:pos="-720"/>
      </w:tabs>
      <w:suppressAutoHyphens/>
    </w:pPr>
    <w:rPr>
      <w:rFonts w:ascii="Courier" w:hAnsi="Courier"/>
      <w:sz w:val="24"/>
      <w:lang w:val="en-US" w:eastAsia="en-US"/>
    </w:rPr>
  </w:style>
  <w:style w:type="character" w:customStyle="1" w:styleId="TechInit">
    <w:name w:val="Tech Init"/>
    <w:basedOn w:val="DefaultParagraphFont"/>
    <w:rsid w:val="00482695"/>
    <w:rPr>
      <w:rFonts w:ascii="Courier" w:hAnsi="Courier"/>
      <w:noProof w:val="0"/>
      <w:sz w:val="24"/>
      <w:lang w:val="en-US"/>
    </w:rPr>
  </w:style>
  <w:style w:type="paragraph" w:customStyle="1" w:styleId="Technical5">
    <w:name w:val="Technical 5"/>
    <w:rsid w:val="00482695"/>
    <w:pPr>
      <w:tabs>
        <w:tab w:val="left" w:pos="-720"/>
      </w:tabs>
      <w:suppressAutoHyphens/>
      <w:ind w:firstLine="720"/>
    </w:pPr>
    <w:rPr>
      <w:rFonts w:ascii="Courier" w:hAnsi="Courier"/>
      <w:b/>
      <w:sz w:val="24"/>
      <w:lang w:val="en-US" w:eastAsia="en-US"/>
    </w:rPr>
  </w:style>
  <w:style w:type="paragraph" w:customStyle="1" w:styleId="Technical6">
    <w:name w:val="Technical 6"/>
    <w:rsid w:val="00482695"/>
    <w:pPr>
      <w:tabs>
        <w:tab w:val="left" w:pos="-720"/>
      </w:tabs>
      <w:suppressAutoHyphens/>
      <w:ind w:firstLine="720"/>
    </w:pPr>
    <w:rPr>
      <w:rFonts w:ascii="Courier" w:hAnsi="Courier"/>
      <w:b/>
      <w:sz w:val="24"/>
      <w:lang w:val="en-US" w:eastAsia="en-US"/>
    </w:rPr>
  </w:style>
  <w:style w:type="character" w:customStyle="1" w:styleId="Technical2">
    <w:name w:val="Technical 2"/>
    <w:basedOn w:val="DefaultParagraphFont"/>
    <w:rsid w:val="00482695"/>
    <w:rPr>
      <w:rFonts w:ascii="Courier" w:hAnsi="Courier"/>
      <w:noProof w:val="0"/>
      <w:sz w:val="24"/>
      <w:lang w:val="en-US"/>
    </w:rPr>
  </w:style>
  <w:style w:type="character" w:customStyle="1" w:styleId="Technical3">
    <w:name w:val="Technical 3"/>
    <w:basedOn w:val="DefaultParagraphFont"/>
    <w:rsid w:val="00482695"/>
    <w:rPr>
      <w:rFonts w:ascii="Courier" w:hAnsi="Courier"/>
      <w:noProof w:val="0"/>
      <w:sz w:val="24"/>
      <w:lang w:val="en-US"/>
    </w:rPr>
  </w:style>
  <w:style w:type="paragraph" w:customStyle="1" w:styleId="Technical4">
    <w:name w:val="Technical 4"/>
    <w:rsid w:val="00482695"/>
    <w:pPr>
      <w:tabs>
        <w:tab w:val="left" w:pos="-720"/>
      </w:tabs>
      <w:suppressAutoHyphens/>
    </w:pPr>
    <w:rPr>
      <w:rFonts w:ascii="Courier" w:hAnsi="Courier"/>
      <w:b/>
      <w:sz w:val="24"/>
      <w:lang w:val="en-US" w:eastAsia="en-US"/>
    </w:rPr>
  </w:style>
  <w:style w:type="character" w:customStyle="1" w:styleId="Technical1">
    <w:name w:val="Technical 1"/>
    <w:basedOn w:val="DefaultParagraphFont"/>
    <w:rsid w:val="00482695"/>
    <w:rPr>
      <w:rFonts w:ascii="Courier" w:hAnsi="Courier"/>
      <w:noProof w:val="0"/>
      <w:sz w:val="24"/>
      <w:lang w:val="en-US"/>
    </w:rPr>
  </w:style>
  <w:style w:type="paragraph" w:customStyle="1" w:styleId="Technical7">
    <w:name w:val="Technical 7"/>
    <w:rsid w:val="00482695"/>
    <w:pPr>
      <w:tabs>
        <w:tab w:val="left" w:pos="-720"/>
      </w:tabs>
      <w:suppressAutoHyphens/>
      <w:ind w:firstLine="720"/>
    </w:pPr>
    <w:rPr>
      <w:rFonts w:ascii="Courier" w:hAnsi="Courier"/>
      <w:b/>
      <w:sz w:val="24"/>
      <w:lang w:val="en-US" w:eastAsia="en-US"/>
    </w:rPr>
  </w:style>
  <w:style w:type="paragraph" w:customStyle="1" w:styleId="Technical8">
    <w:name w:val="Technical 8"/>
    <w:rsid w:val="00482695"/>
    <w:pPr>
      <w:tabs>
        <w:tab w:val="left" w:pos="-720"/>
      </w:tabs>
      <w:suppressAutoHyphens/>
      <w:ind w:firstLine="720"/>
    </w:pPr>
    <w:rPr>
      <w:rFonts w:ascii="Courier" w:hAnsi="Courier"/>
      <w:b/>
      <w:sz w:val="24"/>
      <w:lang w:val="en-US" w:eastAsia="en-US"/>
    </w:rPr>
  </w:style>
  <w:style w:type="character" w:customStyle="1" w:styleId="DocInit">
    <w:name w:val="Doc Init"/>
    <w:basedOn w:val="DefaultParagraphFont"/>
    <w:rsid w:val="00482695"/>
  </w:style>
  <w:style w:type="paragraph" w:styleId="TOC1">
    <w:name w:val="toc 1"/>
    <w:basedOn w:val="Normal"/>
    <w:next w:val="Normal"/>
    <w:uiPriority w:val="39"/>
    <w:rsid w:val="00722F1B"/>
    <w:pPr>
      <w:tabs>
        <w:tab w:val="center" w:pos="9356"/>
        <w:tab w:val="center" w:pos="9639"/>
      </w:tabs>
    </w:pPr>
    <w:rPr>
      <w:caps/>
      <w:sz w:val="22"/>
    </w:rPr>
  </w:style>
  <w:style w:type="paragraph" w:styleId="TOC2">
    <w:name w:val="toc 2"/>
    <w:basedOn w:val="Normal"/>
    <w:next w:val="Normal"/>
    <w:uiPriority w:val="39"/>
    <w:rsid w:val="00722F1B"/>
    <w:pPr>
      <w:tabs>
        <w:tab w:val="left" w:pos="1418"/>
        <w:tab w:val="center" w:pos="9356"/>
        <w:tab w:val="center" w:pos="9639"/>
      </w:tabs>
      <w:ind w:left="284"/>
      <w:contextualSpacing/>
    </w:pPr>
    <w:rPr>
      <w:i/>
    </w:rPr>
  </w:style>
  <w:style w:type="paragraph" w:styleId="TOC3">
    <w:name w:val="toc 3"/>
    <w:basedOn w:val="Normal"/>
    <w:next w:val="Normal"/>
    <w:semiHidden/>
    <w:rsid w:val="00722F1B"/>
    <w:pPr>
      <w:tabs>
        <w:tab w:val="left" w:pos="1985"/>
        <w:tab w:val="center" w:pos="9356"/>
        <w:tab w:val="center" w:pos="9639"/>
      </w:tabs>
      <w:ind w:left="567"/>
      <w:contextualSpacing/>
    </w:pPr>
    <w:rPr>
      <w:i/>
    </w:rPr>
  </w:style>
  <w:style w:type="paragraph" w:styleId="TOC4">
    <w:name w:val="toc 4"/>
    <w:basedOn w:val="Normal"/>
    <w:next w:val="Normal"/>
    <w:semiHidden/>
    <w:rsid w:val="00482695"/>
    <w:pPr>
      <w:ind w:left="480"/>
    </w:pPr>
    <w:rPr>
      <w:rFonts w:ascii="Times New Roman" w:hAnsi="Times New Roman"/>
    </w:rPr>
  </w:style>
  <w:style w:type="paragraph" w:styleId="TOC5">
    <w:name w:val="toc 5"/>
    <w:basedOn w:val="Normal"/>
    <w:next w:val="Normal"/>
    <w:semiHidden/>
    <w:rsid w:val="00482695"/>
    <w:pPr>
      <w:ind w:left="720"/>
    </w:pPr>
    <w:rPr>
      <w:rFonts w:ascii="Times New Roman" w:hAnsi="Times New Roman"/>
    </w:rPr>
  </w:style>
  <w:style w:type="paragraph" w:styleId="TOC6">
    <w:name w:val="toc 6"/>
    <w:basedOn w:val="Normal"/>
    <w:next w:val="Normal"/>
    <w:semiHidden/>
    <w:rsid w:val="00482695"/>
    <w:pPr>
      <w:ind w:left="960"/>
    </w:pPr>
    <w:rPr>
      <w:rFonts w:ascii="Times New Roman" w:hAnsi="Times New Roman"/>
    </w:rPr>
  </w:style>
  <w:style w:type="paragraph" w:styleId="TOC7">
    <w:name w:val="toc 7"/>
    <w:basedOn w:val="Normal"/>
    <w:next w:val="Normal"/>
    <w:semiHidden/>
    <w:rsid w:val="00482695"/>
    <w:pPr>
      <w:ind w:left="1200"/>
    </w:pPr>
    <w:rPr>
      <w:rFonts w:ascii="Times New Roman" w:hAnsi="Times New Roman"/>
    </w:rPr>
  </w:style>
  <w:style w:type="paragraph" w:styleId="TOC8">
    <w:name w:val="toc 8"/>
    <w:basedOn w:val="Normal"/>
    <w:next w:val="Normal"/>
    <w:semiHidden/>
    <w:rsid w:val="00482695"/>
    <w:pPr>
      <w:ind w:left="1440"/>
    </w:pPr>
    <w:rPr>
      <w:rFonts w:ascii="Times New Roman" w:hAnsi="Times New Roman"/>
    </w:rPr>
  </w:style>
  <w:style w:type="paragraph" w:styleId="TOC9">
    <w:name w:val="toc 9"/>
    <w:basedOn w:val="Normal"/>
    <w:next w:val="Normal"/>
    <w:semiHidden/>
    <w:rsid w:val="00482695"/>
    <w:pPr>
      <w:ind w:left="1680"/>
    </w:pPr>
    <w:rPr>
      <w:rFonts w:ascii="Times New Roman" w:hAnsi="Times New Roman"/>
    </w:rPr>
  </w:style>
  <w:style w:type="paragraph" w:styleId="Index1">
    <w:name w:val="index 1"/>
    <w:basedOn w:val="Normal"/>
    <w:next w:val="Normal"/>
    <w:semiHidden/>
    <w:rsid w:val="00482695"/>
    <w:pPr>
      <w:tabs>
        <w:tab w:val="right" w:leader="dot" w:pos="9360"/>
      </w:tabs>
      <w:suppressAutoHyphens/>
      <w:ind w:left="1440" w:right="720" w:hanging="1440"/>
    </w:pPr>
    <w:rPr>
      <w:lang w:val="en-US"/>
    </w:rPr>
  </w:style>
  <w:style w:type="paragraph" w:styleId="Index2">
    <w:name w:val="index 2"/>
    <w:basedOn w:val="Normal"/>
    <w:next w:val="Normal"/>
    <w:semiHidden/>
    <w:rsid w:val="00482695"/>
    <w:pPr>
      <w:tabs>
        <w:tab w:val="right" w:leader="dot" w:pos="9360"/>
      </w:tabs>
      <w:suppressAutoHyphens/>
      <w:ind w:left="1440" w:right="720" w:hanging="720"/>
    </w:pPr>
    <w:rPr>
      <w:lang w:val="en-US"/>
    </w:rPr>
  </w:style>
  <w:style w:type="paragraph" w:styleId="TOAHeading">
    <w:name w:val="toa heading"/>
    <w:basedOn w:val="Normal"/>
    <w:next w:val="Normal"/>
    <w:semiHidden/>
    <w:rsid w:val="00482695"/>
    <w:pPr>
      <w:tabs>
        <w:tab w:val="right" w:pos="9360"/>
      </w:tabs>
      <w:suppressAutoHyphens/>
    </w:pPr>
    <w:rPr>
      <w:lang w:val="en-US"/>
    </w:rPr>
  </w:style>
  <w:style w:type="paragraph" w:styleId="Caption">
    <w:name w:val="caption"/>
    <w:basedOn w:val="Normal"/>
    <w:next w:val="Normal"/>
    <w:rsid w:val="00482695"/>
  </w:style>
  <w:style w:type="character" w:customStyle="1" w:styleId="EquationCaption">
    <w:name w:val="_Equation Caption"/>
    <w:rsid w:val="00482695"/>
  </w:style>
  <w:style w:type="paragraph" w:styleId="Header">
    <w:name w:val="header"/>
    <w:basedOn w:val="Normal"/>
    <w:semiHidden/>
    <w:rsid w:val="00482695"/>
    <w:pPr>
      <w:tabs>
        <w:tab w:val="center" w:pos="4153"/>
        <w:tab w:val="right" w:pos="8306"/>
      </w:tabs>
    </w:pPr>
  </w:style>
  <w:style w:type="paragraph" w:styleId="Footer">
    <w:name w:val="footer"/>
    <w:basedOn w:val="Normal"/>
    <w:link w:val="FooterChar"/>
    <w:uiPriority w:val="99"/>
    <w:rsid w:val="00482695"/>
    <w:pPr>
      <w:tabs>
        <w:tab w:val="center" w:pos="4153"/>
        <w:tab w:val="right" w:pos="8306"/>
      </w:tabs>
    </w:pPr>
  </w:style>
  <w:style w:type="character" w:styleId="PageNumber">
    <w:name w:val="page number"/>
    <w:basedOn w:val="DefaultParagraphFont"/>
    <w:semiHidden/>
    <w:rsid w:val="00482695"/>
  </w:style>
  <w:style w:type="paragraph" w:styleId="Title">
    <w:name w:val="Title"/>
    <w:basedOn w:val="Normal"/>
    <w:rsid w:val="00482695"/>
    <w:pPr>
      <w:suppressAutoHyphens/>
      <w:jc w:val="center"/>
    </w:pPr>
    <w:rPr>
      <w:rFonts w:ascii="Arial" w:hAnsi="Arial"/>
      <w:b/>
      <w:spacing w:val="-2"/>
      <w:sz w:val="22"/>
    </w:rPr>
  </w:style>
  <w:style w:type="paragraph" w:styleId="BodyText">
    <w:name w:val="Body Text"/>
    <w:basedOn w:val="Normal"/>
    <w:link w:val="BodyTextChar"/>
    <w:qFormat/>
    <w:rsid w:val="00482695"/>
    <w:pPr>
      <w:tabs>
        <w:tab w:val="left" w:pos="1080"/>
        <w:tab w:val="left" w:pos="1680"/>
        <w:tab w:val="left" w:pos="8280"/>
      </w:tabs>
      <w:suppressAutoHyphens/>
    </w:pPr>
    <w:rPr>
      <w:spacing w:val="-2"/>
    </w:rPr>
  </w:style>
  <w:style w:type="paragraph" w:styleId="Signature">
    <w:name w:val="Signature"/>
    <w:basedOn w:val="Normal"/>
    <w:semiHidden/>
    <w:rsid w:val="00482695"/>
    <w:pPr>
      <w:ind w:left="4252"/>
    </w:pPr>
  </w:style>
  <w:style w:type="paragraph" w:styleId="BodyText2">
    <w:name w:val="Body Text 2"/>
    <w:basedOn w:val="Normal"/>
    <w:semiHidden/>
    <w:rsid w:val="00482695"/>
    <w:rPr>
      <w:spacing w:val="-2"/>
    </w:rPr>
  </w:style>
  <w:style w:type="paragraph" w:styleId="BodyText3">
    <w:name w:val="Body Text 3"/>
    <w:basedOn w:val="Normal"/>
    <w:semiHidden/>
    <w:rsid w:val="00482695"/>
    <w:pPr>
      <w:tabs>
        <w:tab w:val="left" w:pos="1080"/>
        <w:tab w:val="left" w:pos="1680"/>
        <w:tab w:val="left" w:pos="8280"/>
      </w:tabs>
      <w:suppressAutoHyphens/>
    </w:pPr>
    <w:rPr>
      <w:rFonts w:ascii="Arial" w:hAnsi="Arial"/>
      <w:spacing w:val="-2"/>
      <w:sz w:val="22"/>
    </w:rPr>
  </w:style>
  <w:style w:type="paragraph" w:styleId="BalloonText">
    <w:name w:val="Balloon Text"/>
    <w:basedOn w:val="Normal"/>
    <w:link w:val="BalloonTextChar"/>
    <w:uiPriority w:val="99"/>
    <w:semiHidden/>
    <w:unhideWhenUsed/>
    <w:rsid w:val="004676A3"/>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4676A3"/>
    <w:rPr>
      <w:rFonts w:ascii="Tahoma" w:hAnsi="Tahoma" w:cs="Tahoma"/>
      <w:sz w:val="16"/>
      <w:szCs w:val="16"/>
      <w:lang w:eastAsia="en-US"/>
    </w:rPr>
  </w:style>
  <w:style w:type="table" w:styleId="TableGrid">
    <w:name w:val="Table Grid"/>
    <w:basedOn w:val="TableNormal"/>
    <w:uiPriority w:val="59"/>
    <w:rsid w:val="00274517"/>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FooterChar">
    <w:name w:val="Footer Char"/>
    <w:basedOn w:val="DefaultParagraphFont"/>
    <w:link w:val="Footer"/>
    <w:uiPriority w:val="99"/>
    <w:rsid w:val="007A2B72"/>
    <w:rPr>
      <w:rFonts w:ascii="Courier" w:hAnsi="Courier"/>
      <w:sz w:val="24"/>
      <w:lang w:val="en-AU"/>
    </w:rPr>
  </w:style>
  <w:style w:type="character" w:styleId="Hyperlink">
    <w:name w:val="Hyperlink"/>
    <w:basedOn w:val="DefaultParagraphFont"/>
    <w:uiPriority w:val="99"/>
    <w:unhideWhenUsed/>
    <w:rsid w:val="009852B0"/>
    <w:rPr>
      <w:color w:val="0000FF"/>
      <w:u w:val="single"/>
    </w:rPr>
  </w:style>
  <w:style w:type="paragraph" w:styleId="MacroText">
    <w:name w:val="macro"/>
    <w:link w:val="MacroTextChar"/>
    <w:semiHidden/>
    <w:rsid w:val="00292F20"/>
    <w:pPr>
      <w:tabs>
        <w:tab w:val="left" w:pos="480"/>
        <w:tab w:val="left" w:pos="960"/>
        <w:tab w:val="left" w:pos="1440"/>
        <w:tab w:val="left" w:pos="1920"/>
        <w:tab w:val="left" w:pos="2400"/>
        <w:tab w:val="left" w:pos="2880"/>
        <w:tab w:val="left" w:pos="3360"/>
        <w:tab w:val="left" w:pos="3840"/>
        <w:tab w:val="left" w:pos="4320"/>
      </w:tabs>
    </w:pPr>
    <w:rPr>
      <w:rFonts w:ascii="Courier New" w:hAnsi="Courier New"/>
      <w:lang w:eastAsia="en-US"/>
    </w:rPr>
  </w:style>
  <w:style w:type="character" w:customStyle="1" w:styleId="MacroTextChar">
    <w:name w:val="Macro Text Char"/>
    <w:basedOn w:val="DefaultParagraphFont"/>
    <w:link w:val="MacroText"/>
    <w:semiHidden/>
    <w:rsid w:val="00292F20"/>
    <w:rPr>
      <w:rFonts w:ascii="Courier New" w:hAnsi="Courier New"/>
      <w:lang w:eastAsia="en-US"/>
    </w:rPr>
  </w:style>
  <w:style w:type="paragraph" w:styleId="ListParagraph">
    <w:name w:val="List Paragraph"/>
    <w:basedOn w:val="Normal"/>
    <w:uiPriority w:val="34"/>
    <w:rsid w:val="00836F7D"/>
    <w:pPr>
      <w:ind w:left="720"/>
      <w:contextualSpacing/>
      <w:jc w:val="left"/>
    </w:pPr>
  </w:style>
  <w:style w:type="paragraph" w:customStyle="1" w:styleId="Heading5SS">
    <w:name w:val="Heading 5 +SS"/>
    <w:basedOn w:val="Heading5"/>
    <w:rsid w:val="00670BCB"/>
    <w:pPr>
      <w:keepNext w:val="0"/>
      <w:tabs>
        <w:tab w:val="clear" w:pos="1134"/>
        <w:tab w:val="clear" w:pos="1701"/>
        <w:tab w:val="clear" w:pos="8789"/>
        <w:tab w:val="left" w:pos="425"/>
      </w:tabs>
      <w:suppressAutoHyphens w:val="0"/>
      <w:spacing w:after="0"/>
      <w:ind w:left="425" w:hanging="425"/>
      <w:jc w:val="left"/>
    </w:pPr>
    <w:rPr>
      <w:rFonts w:ascii="Times New Roman" w:hAnsi="Times New Roman"/>
      <w:b w:val="0"/>
      <w:spacing w:val="0"/>
      <w:sz w:val="20"/>
      <w:szCs w:val="22"/>
    </w:rPr>
  </w:style>
  <w:style w:type="paragraph" w:customStyle="1" w:styleId="text">
    <w:name w:val="text"/>
    <w:basedOn w:val="Header"/>
    <w:rsid w:val="00F37269"/>
    <w:pPr>
      <w:widowControl w:val="0"/>
      <w:tabs>
        <w:tab w:val="clear" w:pos="4153"/>
        <w:tab w:val="clear" w:pos="8306"/>
        <w:tab w:val="center" w:pos="4320"/>
        <w:tab w:val="right" w:pos="8640"/>
      </w:tabs>
      <w:suppressAutoHyphens/>
      <w:autoSpaceDE w:val="0"/>
      <w:autoSpaceDN w:val="0"/>
      <w:adjustRightInd w:val="0"/>
      <w:spacing w:before="57" w:after="0" w:line="310" w:lineRule="atLeast"/>
      <w:jc w:val="left"/>
      <w:textAlignment w:val="baseline"/>
    </w:pPr>
    <w:rPr>
      <w:rFonts w:ascii="GillSans-Light" w:hAnsi="GillSans-Light"/>
      <w:color w:val="000000"/>
      <w:sz w:val="23"/>
      <w:szCs w:val="23"/>
    </w:rPr>
  </w:style>
  <w:style w:type="paragraph" w:customStyle="1" w:styleId="Noparagraphstyle">
    <w:name w:val="[No paragraph style]"/>
    <w:rsid w:val="00F37269"/>
    <w:pPr>
      <w:widowControl w:val="0"/>
      <w:autoSpaceDE w:val="0"/>
      <w:autoSpaceDN w:val="0"/>
      <w:adjustRightInd w:val="0"/>
      <w:spacing w:line="288" w:lineRule="auto"/>
      <w:textAlignment w:val="center"/>
    </w:pPr>
    <w:rPr>
      <w:rFonts w:ascii="Times-Roman" w:hAnsi="Times-Roman"/>
      <w:color w:val="000000"/>
      <w:sz w:val="24"/>
      <w:szCs w:val="24"/>
      <w:lang w:val="en-GB" w:eastAsia="en-US"/>
    </w:rPr>
  </w:style>
  <w:style w:type="character" w:customStyle="1" w:styleId="BodyTextChar">
    <w:name w:val="Body Text Char"/>
    <w:basedOn w:val="DefaultParagraphFont"/>
    <w:link w:val="BodyText"/>
    <w:rsid w:val="00F37269"/>
    <w:rPr>
      <w:rFonts w:ascii="Verdana" w:hAnsi="Verdana"/>
      <w:spacing w:val="-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0" w:unhideWhenUsed="0" w:qFormat="1"/>
    <w:lsdException w:name="heading 6" w:semiHidden="0" w:uiPriority="9" w:unhideWhenUsed="0" w:qFormat="1"/>
    <w:lsdException w:name="heading 7" w:uiPriority="9"/>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lsdException w:name="macro" w:uiPriority="0"/>
    <w:lsdException w:name="Title" w:semiHidden="0" w:uiPriority="10" w:unhideWhenUsed="0"/>
    <w:lsdException w:name="Default Paragraph Font" w:uiPriority="1"/>
    <w:lsdException w:name="Body Text" w:uiPriority="0" w:qFormat="1"/>
    <w:lsdException w:name="Subtitle" w:semiHidden="0" w:uiPriority="11" w:unhideWhenUsed="0"/>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6B4257"/>
    <w:pPr>
      <w:tabs>
        <w:tab w:val="left" w:pos="567"/>
        <w:tab w:val="left" w:pos="1134"/>
      </w:tabs>
      <w:spacing w:after="60"/>
      <w:jc w:val="both"/>
    </w:pPr>
    <w:rPr>
      <w:rFonts w:ascii="Verdana" w:hAnsi="Verdana"/>
      <w:lang w:eastAsia="en-US"/>
    </w:rPr>
  </w:style>
  <w:style w:type="paragraph" w:styleId="Heading1">
    <w:name w:val="heading 1"/>
    <w:basedOn w:val="Normal"/>
    <w:next w:val="Normal"/>
    <w:qFormat/>
    <w:rsid w:val="00075F07"/>
    <w:pPr>
      <w:keepNext/>
      <w:suppressAutoHyphens/>
      <w:outlineLvl w:val="0"/>
    </w:pPr>
    <w:rPr>
      <w:b/>
      <w:bCs/>
      <w:caps/>
      <w:sz w:val="22"/>
    </w:rPr>
  </w:style>
  <w:style w:type="paragraph" w:styleId="Heading2">
    <w:name w:val="heading 2"/>
    <w:basedOn w:val="Normal"/>
    <w:next w:val="Normal"/>
    <w:qFormat/>
    <w:rsid w:val="00075F07"/>
    <w:pPr>
      <w:keepNext/>
      <w:outlineLvl w:val="1"/>
    </w:pPr>
    <w:rPr>
      <w:b/>
      <w:i/>
    </w:rPr>
  </w:style>
  <w:style w:type="paragraph" w:styleId="Heading3">
    <w:name w:val="heading 3"/>
    <w:basedOn w:val="Normal"/>
    <w:next w:val="Normal"/>
    <w:qFormat/>
    <w:rsid w:val="00075F07"/>
    <w:pPr>
      <w:keepNext/>
      <w:tabs>
        <w:tab w:val="left" w:pos="284"/>
        <w:tab w:val="left" w:pos="1418"/>
      </w:tabs>
      <w:outlineLvl w:val="2"/>
    </w:pPr>
    <w:rPr>
      <w:b/>
      <w:i/>
    </w:rPr>
  </w:style>
  <w:style w:type="paragraph" w:styleId="Heading4">
    <w:name w:val="heading 4"/>
    <w:basedOn w:val="Normal"/>
    <w:next w:val="Normal"/>
    <w:qFormat/>
    <w:rsid w:val="00971DE1"/>
    <w:pPr>
      <w:keepNext/>
      <w:tabs>
        <w:tab w:val="center" w:pos="4820"/>
        <w:tab w:val="center" w:pos="9356"/>
      </w:tabs>
      <w:suppressAutoHyphens/>
      <w:contextualSpacing/>
      <w:outlineLvl w:val="3"/>
    </w:pPr>
    <w:rPr>
      <w:b/>
    </w:rPr>
  </w:style>
  <w:style w:type="paragraph" w:styleId="Heading5">
    <w:name w:val="heading 5"/>
    <w:basedOn w:val="Normal"/>
    <w:next w:val="Normal"/>
    <w:qFormat/>
    <w:rsid w:val="00482695"/>
    <w:pPr>
      <w:keepNext/>
      <w:tabs>
        <w:tab w:val="left" w:pos="1701"/>
        <w:tab w:val="center" w:pos="8789"/>
      </w:tabs>
      <w:suppressAutoHyphens/>
      <w:outlineLvl w:val="4"/>
    </w:pPr>
    <w:rPr>
      <w:rFonts w:ascii="Arial" w:hAnsi="Arial"/>
      <w:b/>
      <w:spacing w:val="-2"/>
      <w:sz w:val="22"/>
    </w:rPr>
  </w:style>
  <w:style w:type="paragraph" w:styleId="Heading6">
    <w:name w:val="heading 6"/>
    <w:basedOn w:val="Normal"/>
    <w:next w:val="Normal"/>
    <w:qFormat/>
    <w:rsid w:val="00482695"/>
    <w:pPr>
      <w:keepNext/>
      <w:tabs>
        <w:tab w:val="left" w:pos="1080"/>
        <w:tab w:val="left" w:pos="1680"/>
        <w:tab w:val="center" w:pos="9356"/>
      </w:tabs>
      <w:suppressAutoHyphens/>
      <w:spacing w:line="360" w:lineRule="auto"/>
      <w:outlineLvl w:val="5"/>
    </w:pPr>
    <w:rPr>
      <w:rFonts w:ascii="Arial" w:hAnsi="Arial"/>
      <w:b/>
      <w:spacing w:val="-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482695"/>
  </w:style>
  <w:style w:type="character" w:styleId="EndnoteReference">
    <w:name w:val="endnote reference"/>
    <w:basedOn w:val="DefaultParagraphFont"/>
    <w:semiHidden/>
    <w:rsid w:val="00482695"/>
    <w:rPr>
      <w:vertAlign w:val="superscript"/>
    </w:rPr>
  </w:style>
  <w:style w:type="paragraph" w:styleId="FootnoteText">
    <w:name w:val="footnote text"/>
    <w:basedOn w:val="Normal"/>
    <w:semiHidden/>
    <w:rsid w:val="00482695"/>
  </w:style>
  <w:style w:type="character" w:styleId="FootnoteReference">
    <w:name w:val="footnote reference"/>
    <w:basedOn w:val="DefaultParagraphFont"/>
    <w:semiHidden/>
    <w:rsid w:val="00482695"/>
    <w:rPr>
      <w:vertAlign w:val="superscript"/>
    </w:rPr>
  </w:style>
  <w:style w:type="character" w:customStyle="1" w:styleId="Document8">
    <w:name w:val="Document 8"/>
    <w:basedOn w:val="DefaultParagraphFont"/>
    <w:rsid w:val="00482695"/>
  </w:style>
  <w:style w:type="character" w:customStyle="1" w:styleId="Document4">
    <w:name w:val="Document 4"/>
    <w:basedOn w:val="DefaultParagraphFont"/>
    <w:rsid w:val="00482695"/>
    <w:rPr>
      <w:b/>
      <w:i/>
      <w:sz w:val="24"/>
    </w:rPr>
  </w:style>
  <w:style w:type="character" w:customStyle="1" w:styleId="Document6">
    <w:name w:val="Document 6"/>
    <w:basedOn w:val="DefaultParagraphFont"/>
    <w:rsid w:val="00482695"/>
  </w:style>
  <w:style w:type="character" w:customStyle="1" w:styleId="Document5">
    <w:name w:val="Document 5"/>
    <w:basedOn w:val="DefaultParagraphFont"/>
    <w:rsid w:val="00482695"/>
  </w:style>
  <w:style w:type="character" w:customStyle="1" w:styleId="Document2">
    <w:name w:val="Document 2"/>
    <w:basedOn w:val="DefaultParagraphFont"/>
    <w:rsid w:val="00482695"/>
    <w:rPr>
      <w:rFonts w:ascii="Courier" w:hAnsi="Courier"/>
      <w:noProof w:val="0"/>
      <w:sz w:val="24"/>
      <w:lang w:val="en-US"/>
    </w:rPr>
  </w:style>
  <w:style w:type="character" w:customStyle="1" w:styleId="Document7">
    <w:name w:val="Document 7"/>
    <w:basedOn w:val="DefaultParagraphFont"/>
    <w:rsid w:val="00482695"/>
  </w:style>
  <w:style w:type="character" w:customStyle="1" w:styleId="Bibliogrphy">
    <w:name w:val="Bibliogrphy"/>
    <w:basedOn w:val="DefaultParagraphFont"/>
    <w:rsid w:val="00482695"/>
  </w:style>
  <w:style w:type="paragraph" w:customStyle="1" w:styleId="RightPar1">
    <w:name w:val="Right Par 1"/>
    <w:rsid w:val="00482695"/>
    <w:pPr>
      <w:tabs>
        <w:tab w:val="left" w:pos="-720"/>
        <w:tab w:val="left" w:pos="0"/>
        <w:tab w:val="decimal" w:pos="720"/>
      </w:tabs>
      <w:suppressAutoHyphens/>
      <w:ind w:left="720"/>
    </w:pPr>
    <w:rPr>
      <w:rFonts w:ascii="Courier" w:hAnsi="Courier"/>
      <w:sz w:val="24"/>
      <w:lang w:val="en-US" w:eastAsia="en-US"/>
    </w:rPr>
  </w:style>
  <w:style w:type="paragraph" w:customStyle="1" w:styleId="RightPar2">
    <w:name w:val="Right Par 2"/>
    <w:rsid w:val="00482695"/>
    <w:pPr>
      <w:tabs>
        <w:tab w:val="left" w:pos="-720"/>
        <w:tab w:val="left" w:pos="0"/>
        <w:tab w:val="left" w:pos="720"/>
        <w:tab w:val="decimal" w:pos="1440"/>
      </w:tabs>
      <w:suppressAutoHyphens/>
      <w:ind w:left="1440"/>
    </w:pPr>
    <w:rPr>
      <w:rFonts w:ascii="Courier" w:hAnsi="Courier"/>
      <w:sz w:val="24"/>
      <w:lang w:val="en-US" w:eastAsia="en-US"/>
    </w:rPr>
  </w:style>
  <w:style w:type="character" w:customStyle="1" w:styleId="Document3">
    <w:name w:val="Document 3"/>
    <w:basedOn w:val="DefaultParagraphFont"/>
    <w:rsid w:val="00482695"/>
    <w:rPr>
      <w:rFonts w:ascii="Courier" w:hAnsi="Courier"/>
      <w:noProof w:val="0"/>
      <w:sz w:val="24"/>
      <w:lang w:val="en-US"/>
    </w:rPr>
  </w:style>
  <w:style w:type="paragraph" w:customStyle="1" w:styleId="RightPar3">
    <w:name w:val="Right Par 3"/>
    <w:rsid w:val="00482695"/>
    <w:pPr>
      <w:tabs>
        <w:tab w:val="left" w:pos="-720"/>
        <w:tab w:val="left" w:pos="0"/>
        <w:tab w:val="left" w:pos="720"/>
        <w:tab w:val="left" w:pos="1440"/>
        <w:tab w:val="decimal" w:pos="2160"/>
      </w:tabs>
      <w:suppressAutoHyphens/>
      <w:ind w:left="2160"/>
    </w:pPr>
    <w:rPr>
      <w:rFonts w:ascii="Courier" w:hAnsi="Courier"/>
      <w:sz w:val="24"/>
      <w:lang w:val="en-US" w:eastAsia="en-US"/>
    </w:rPr>
  </w:style>
  <w:style w:type="paragraph" w:customStyle="1" w:styleId="RightPar4">
    <w:name w:val="Right Par 4"/>
    <w:rsid w:val="00482695"/>
    <w:pPr>
      <w:tabs>
        <w:tab w:val="left" w:pos="-720"/>
        <w:tab w:val="left" w:pos="0"/>
        <w:tab w:val="left" w:pos="720"/>
        <w:tab w:val="left" w:pos="1440"/>
        <w:tab w:val="left" w:pos="2160"/>
        <w:tab w:val="decimal" w:pos="2880"/>
      </w:tabs>
      <w:suppressAutoHyphens/>
      <w:ind w:left="2880"/>
    </w:pPr>
    <w:rPr>
      <w:rFonts w:ascii="Courier" w:hAnsi="Courier"/>
      <w:sz w:val="24"/>
      <w:lang w:val="en-US" w:eastAsia="en-US"/>
    </w:rPr>
  </w:style>
  <w:style w:type="paragraph" w:customStyle="1" w:styleId="RightPar5">
    <w:name w:val="Right Par 5"/>
    <w:rsid w:val="00482695"/>
    <w:pPr>
      <w:tabs>
        <w:tab w:val="left" w:pos="-720"/>
        <w:tab w:val="left" w:pos="0"/>
        <w:tab w:val="left" w:pos="720"/>
        <w:tab w:val="left" w:pos="1440"/>
        <w:tab w:val="left" w:pos="2160"/>
        <w:tab w:val="left" w:pos="2880"/>
        <w:tab w:val="decimal" w:pos="3600"/>
      </w:tabs>
      <w:suppressAutoHyphens/>
      <w:ind w:left="3600"/>
    </w:pPr>
    <w:rPr>
      <w:rFonts w:ascii="Courier" w:hAnsi="Courier"/>
      <w:sz w:val="24"/>
      <w:lang w:val="en-US" w:eastAsia="en-US"/>
    </w:rPr>
  </w:style>
  <w:style w:type="paragraph" w:customStyle="1" w:styleId="RightPar6">
    <w:name w:val="Right Par 6"/>
    <w:rsid w:val="00482695"/>
    <w:pPr>
      <w:tabs>
        <w:tab w:val="left" w:pos="-720"/>
        <w:tab w:val="left" w:pos="0"/>
        <w:tab w:val="left" w:pos="720"/>
        <w:tab w:val="left" w:pos="1440"/>
        <w:tab w:val="left" w:pos="2160"/>
        <w:tab w:val="left" w:pos="2880"/>
        <w:tab w:val="left" w:pos="3600"/>
        <w:tab w:val="decimal" w:pos="4320"/>
      </w:tabs>
      <w:suppressAutoHyphens/>
      <w:ind w:left="4320"/>
    </w:pPr>
    <w:rPr>
      <w:rFonts w:ascii="Courier" w:hAnsi="Courier"/>
      <w:sz w:val="24"/>
      <w:lang w:val="en-US" w:eastAsia="en-US"/>
    </w:rPr>
  </w:style>
  <w:style w:type="paragraph" w:customStyle="1" w:styleId="RightPar7">
    <w:name w:val="Right Par 7"/>
    <w:rsid w:val="00482695"/>
    <w:pPr>
      <w:tabs>
        <w:tab w:val="left" w:pos="-720"/>
        <w:tab w:val="left" w:pos="0"/>
        <w:tab w:val="left" w:pos="720"/>
        <w:tab w:val="left" w:pos="1440"/>
        <w:tab w:val="left" w:pos="2160"/>
        <w:tab w:val="left" w:pos="2880"/>
        <w:tab w:val="left" w:pos="3600"/>
        <w:tab w:val="left" w:pos="4320"/>
        <w:tab w:val="decimal" w:pos="5040"/>
      </w:tabs>
      <w:suppressAutoHyphens/>
      <w:ind w:left="5040"/>
    </w:pPr>
    <w:rPr>
      <w:rFonts w:ascii="Courier" w:hAnsi="Courier"/>
      <w:sz w:val="24"/>
      <w:lang w:val="en-US" w:eastAsia="en-US"/>
    </w:rPr>
  </w:style>
  <w:style w:type="paragraph" w:customStyle="1" w:styleId="RightPar8">
    <w:name w:val="Right Par 8"/>
    <w:rsid w:val="00482695"/>
    <w:pPr>
      <w:tabs>
        <w:tab w:val="left" w:pos="-720"/>
        <w:tab w:val="left" w:pos="0"/>
        <w:tab w:val="left" w:pos="720"/>
        <w:tab w:val="left" w:pos="1440"/>
        <w:tab w:val="left" w:pos="2160"/>
        <w:tab w:val="left" w:pos="2880"/>
        <w:tab w:val="left" w:pos="3600"/>
        <w:tab w:val="left" w:pos="4320"/>
        <w:tab w:val="left" w:pos="5040"/>
        <w:tab w:val="decimal" w:pos="5760"/>
      </w:tabs>
      <w:suppressAutoHyphens/>
      <w:ind w:left="5760"/>
    </w:pPr>
    <w:rPr>
      <w:rFonts w:ascii="Courier" w:hAnsi="Courier"/>
      <w:sz w:val="24"/>
      <w:lang w:val="en-US" w:eastAsia="en-US"/>
    </w:rPr>
  </w:style>
  <w:style w:type="paragraph" w:customStyle="1" w:styleId="Document1">
    <w:name w:val="Document 1"/>
    <w:rsid w:val="00482695"/>
    <w:pPr>
      <w:keepNext/>
      <w:keepLines/>
      <w:tabs>
        <w:tab w:val="left" w:pos="-720"/>
      </w:tabs>
      <w:suppressAutoHyphens/>
    </w:pPr>
    <w:rPr>
      <w:rFonts w:ascii="Courier" w:hAnsi="Courier"/>
      <w:sz w:val="24"/>
      <w:lang w:val="en-US" w:eastAsia="en-US"/>
    </w:rPr>
  </w:style>
  <w:style w:type="character" w:customStyle="1" w:styleId="TechInit">
    <w:name w:val="Tech Init"/>
    <w:basedOn w:val="DefaultParagraphFont"/>
    <w:rsid w:val="00482695"/>
    <w:rPr>
      <w:rFonts w:ascii="Courier" w:hAnsi="Courier"/>
      <w:noProof w:val="0"/>
      <w:sz w:val="24"/>
      <w:lang w:val="en-US"/>
    </w:rPr>
  </w:style>
  <w:style w:type="paragraph" w:customStyle="1" w:styleId="Technical5">
    <w:name w:val="Technical 5"/>
    <w:rsid w:val="00482695"/>
    <w:pPr>
      <w:tabs>
        <w:tab w:val="left" w:pos="-720"/>
      </w:tabs>
      <w:suppressAutoHyphens/>
      <w:ind w:firstLine="720"/>
    </w:pPr>
    <w:rPr>
      <w:rFonts w:ascii="Courier" w:hAnsi="Courier"/>
      <w:b/>
      <w:sz w:val="24"/>
      <w:lang w:val="en-US" w:eastAsia="en-US"/>
    </w:rPr>
  </w:style>
  <w:style w:type="paragraph" w:customStyle="1" w:styleId="Technical6">
    <w:name w:val="Technical 6"/>
    <w:rsid w:val="00482695"/>
    <w:pPr>
      <w:tabs>
        <w:tab w:val="left" w:pos="-720"/>
      </w:tabs>
      <w:suppressAutoHyphens/>
      <w:ind w:firstLine="720"/>
    </w:pPr>
    <w:rPr>
      <w:rFonts w:ascii="Courier" w:hAnsi="Courier"/>
      <w:b/>
      <w:sz w:val="24"/>
      <w:lang w:val="en-US" w:eastAsia="en-US"/>
    </w:rPr>
  </w:style>
  <w:style w:type="character" w:customStyle="1" w:styleId="Technical2">
    <w:name w:val="Technical 2"/>
    <w:basedOn w:val="DefaultParagraphFont"/>
    <w:rsid w:val="00482695"/>
    <w:rPr>
      <w:rFonts w:ascii="Courier" w:hAnsi="Courier"/>
      <w:noProof w:val="0"/>
      <w:sz w:val="24"/>
      <w:lang w:val="en-US"/>
    </w:rPr>
  </w:style>
  <w:style w:type="character" w:customStyle="1" w:styleId="Technical3">
    <w:name w:val="Technical 3"/>
    <w:basedOn w:val="DefaultParagraphFont"/>
    <w:rsid w:val="00482695"/>
    <w:rPr>
      <w:rFonts w:ascii="Courier" w:hAnsi="Courier"/>
      <w:noProof w:val="0"/>
      <w:sz w:val="24"/>
      <w:lang w:val="en-US"/>
    </w:rPr>
  </w:style>
  <w:style w:type="paragraph" w:customStyle="1" w:styleId="Technical4">
    <w:name w:val="Technical 4"/>
    <w:rsid w:val="00482695"/>
    <w:pPr>
      <w:tabs>
        <w:tab w:val="left" w:pos="-720"/>
      </w:tabs>
      <w:suppressAutoHyphens/>
    </w:pPr>
    <w:rPr>
      <w:rFonts w:ascii="Courier" w:hAnsi="Courier"/>
      <w:b/>
      <w:sz w:val="24"/>
      <w:lang w:val="en-US" w:eastAsia="en-US"/>
    </w:rPr>
  </w:style>
  <w:style w:type="character" w:customStyle="1" w:styleId="Technical1">
    <w:name w:val="Technical 1"/>
    <w:basedOn w:val="DefaultParagraphFont"/>
    <w:rsid w:val="00482695"/>
    <w:rPr>
      <w:rFonts w:ascii="Courier" w:hAnsi="Courier"/>
      <w:noProof w:val="0"/>
      <w:sz w:val="24"/>
      <w:lang w:val="en-US"/>
    </w:rPr>
  </w:style>
  <w:style w:type="paragraph" w:customStyle="1" w:styleId="Technical7">
    <w:name w:val="Technical 7"/>
    <w:rsid w:val="00482695"/>
    <w:pPr>
      <w:tabs>
        <w:tab w:val="left" w:pos="-720"/>
      </w:tabs>
      <w:suppressAutoHyphens/>
      <w:ind w:firstLine="720"/>
    </w:pPr>
    <w:rPr>
      <w:rFonts w:ascii="Courier" w:hAnsi="Courier"/>
      <w:b/>
      <w:sz w:val="24"/>
      <w:lang w:val="en-US" w:eastAsia="en-US"/>
    </w:rPr>
  </w:style>
  <w:style w:type="paragraph" w:customStyle="1" w:styleId="Technical8">
    <w:name w:val="Technical 8"/>
    <w:rsid w:val="00482695"/>
    <w:pPr>
      <w:tabs>
        <w:tab w:val="left" w:pos="-720"/>
      </w:tabs>
      <w:suppressAutoHyphens/>
      <w:ind w:firstLine="720"/>
    </w:pPr>
    <w:rPr>
      <w:rFonts w:ascii="Courier" w:hAnsi="Courier"/>
      <w:b/>
      <w:sz w:val="24"/>
      <w:lang w:val="en-US" w:eastAsia="en-US"/>
    </w:rPr>
  </w:style>
  <w:style w:type="character" w:customStyle="1" w:styleId="DocInit">
    <w:name w:val="Doc Init"/>
    <w:basedOn w:val="DefaultParagraphFont"/>
    <w:rsid w:val="00482695"/>
  </w:style>
  <w:style w:type="paragraph" w:styleId="TOC1">
    <w:name w:val="toc 1"/>
    <w:basedOn w:val="Normal"/>
    <w:next w:val="Normal"/>
    <w:uiPriority w:val="39"/>
    <w:rsid w:val="00722F1B"/>
    <w:pPr>
      <w:tabs>
        <w:tab w:val="center" w:pos="9356"/>
        <w:tab w:val="center" w:pos="9639"/>
      </w:tabs>
    </w:pPr>
    <w:rPr>
      <w:caps/>
      <w:sz w:val="22"/>
    </w:rPr>
  </w:style>
  <w:style w:type="paragraph" w:styleId="TOC2">
    <w:name w:val="toc 2"/>
    <w:basedOn w:val="Normal"/>
    <w:next w:val="Normal"/>
    <w:uiPriority w:val="39"/>
    <w:rsid w:val="00722F1B"/>
    <w:pPr>
      <w:tabs>
        <w:tab w:val="left" w:pos="1418"/>
        <w:tab w:val="center" w:pos="9356"/>
        <w:tab w:val="center" w:pos="9639"/>
      </w:tabs>
      <w:ind w:left="284"/>
      <w:contextualSpacing/>
    </w:pPr>
    <w:rPr>
      <w:i/>
    </w:rPr>
  </w:style>
  <w:style w:type="paragraph" w:styleId="TOC3">
    <w:name w:val="toc 3"/>
    <w:basedOn w:val="Normal"/>
    <w:next w:val="Normal"/>
    <w:semiHidden/>
    <w:rsid w:val="00722F1B"/>
    <w:pPr>
      <w:tabs>
        <w:tab w:val="left" w:pos="1985"/>
        <w:tab w:val="center" w:pos="9356"/>
        <w:tab w:val="center" w:pos="9639"/>
      </w:tabs>
      <w:ind w:left="567"/>
      <w:contextualSpacing/>
    </w:pPr>
    <w:rPr>
      <w:i/>
    </w:rPr>
  </w:style>
  <w:style w:type="paragraph" w:styleId="TOC4">
    <w:name w:val="toc 4"/>
    <w:basedOn w:val="Normal"/>
    <w:next w:val="Normal"/>
    <w:semiHidden/>
    <w:rsid w:val="00482695"/>
    <w:pPr>
      <w:ind w:left="480"/>
    </w:pPr>
    <w:rPr>
      <w:rFonts w:ascii="Times New Roman" w:hAnsi="Times New Roman"/>
    </w:rPr>
  </w:style>
  <w:style w:type="paragraph" w:styleId="TOC5">
    <w:name w:val="toc 5"/>
    <w:basedOn w:val="Normal"/>
    <w:next w:val="Normal"/>
    <w:semiHidden/>
    <w:rsid w:val="00482695"/>
    <w:pPr>
      <w:ind w:left="720"/>
    </w:pPr>
    <w:rPr>
      <w:rFonts w:ascii="Times New Roman" w:hAnsi="Times New Roman"/>
    </w:rPr>
  </w:style>
  <w:style w:type="paragraph" w:styleId="TOC6">
    <w:name w:val="toc 6"/>
    <w:basedOn w:val="Normal"/>
    <w:next w:val="Normal"/>
    <w:semiHidden/>
    <w:rsid w:val="00482695"/>
    <w:pPr>
      <w:ind w:left="960"/>
    </w:pPr>
    <w:rPr>
      <w:rFonts w:ascii="Times New Roman" w:hAnsi="Times New Roman"/>
    </w:rPr>
  </w:style>
  <w:style w:type="paragraph" w:styleId="TOC7">
    <w:name w:val="toc 7"/>
    <w:basedOn w:val="Normal"/>
    <w:next w:val="Normal"/>
    <w:semiHidden/>
    <w:rsid w:val="00482695"/>
    <w:pPr>
      <w:ind w:left="1200"/>
    </w:pPr>
    <w:rPr>
      <w:rFonts w:ascii="Times New Roman" w:hAnsi="Times New Roman"/>
    </w:rPr>
  </w:style>
  <w:style w:type="paragraph" w:styleId="TOC8">
    <w:name w:val="toc 8"/>
    <w:basedOn w:val="Normal"/>
    <w:next w:val="Normal"/>
    <w:semiHidden/>
    <w:rsid w:val="00482695"/>
    <w:pPr>
      <w:ind w:left="1440"/>
    </w:pPr>
    <w:rPr>
      <w:rFonts w:ascii="Times New Roman" w:hAnsi="Times New Roman"/>
    </w:rPr>
  </w:style>
  <w:style w:type="paragraph" w:styleId="TOC9">
    <w:name w:val="toc 9"/>
    <w:basedOn w:val="Normal"/>
    <w:next w:val="Normal"/>
    <w:semiHidden/>
    <w:rsid w:val="00482695"/>
    <w:pPr>
      <w:ind w:left="1680"/>
    </w:pPr>
    <w:rPr>
      <w:rFonts w:ascii="Times New Roman" w:hAnsi="Times New Roman"/>
    </w:rPr>
  </w:style>
  <w:style w:type="paragraph" w:styleId="Index1">
    <w:name w:val="index 1"/>
    <w:basedOn w:val="Normal"/>
    <w:next w:val="Normal"/>
    <w:semiHidden/>
    <w:rsid w:val="00482695"/>
    <w:pPr>
      <w:tabs>
        <w:tab w:val="right" w:leader="dot" w:pos="9360"/>
      </w:tabs>
      <w:suppressAutoHyphens/>
      <w:ind w:left="1440" w:right="720" w:hanging="1440"/>
    </w:pPr>
    <w:rPr>
      <w:lang w:val="en-US"/>
    </w:rPr>
  </w:style>
  <w:style w:type="paragraph" w:styleId="Index2">
    <w:name w:val="index 2"/>
    <w:basedOn w:val="Normal"/>
    <w:next w:val="Normal"/>
    <w:semiHidden/>
    <w:rsid w:val="00482695"/>
    <w:pPr>
      <w:tabs>
        <w:tab w:val="right" w:leader="dot" w:pos="9360"/>
      </w:tabs>
      <w:suppressAutoHyphens/>
      <w:ind w:left="1440" w:right="720" w:hanging="720"/>
    </w:pPr>
    <w:rPr>
      <w:lang w:val="en-US"/>
    </w:rPr>
  </w:style>
  <w:style w:type="paragraph" w:styleId="TOAHeading">
    <w:name w:val="toa heading"/>
    <w:basedOn w:val="Normal"/>
    <w:next w:val="Normal"/>
    <w:semiHidden/>
    <w:rsid w:val="00482695"/>
    <w:pPr>
      <w:tabs>
        <w:tab w:val="right" w:pos="9360"/>
      </w:tabs>
      <w:suppressAutoHyphens/>
    </w:pPr>
    <w:rPr>
      <w:lang w:val="en-US"/>
    </w:rPr>
  </w:style>
  <w:style w:type="paragraph" w:styleId="Caption">
    <w:name w:val="caption"/>
    <w:basedOn w:val="Normal"/>
    <w:next w:val="Normal"/>
    <w:rsid w:val="00482695"/>
  </w:style>
  <w:style w:type="character" w:customStyle="1" w:styleId="EquationCaption">
    <w:name w:val="_Equation Caption"/>
    <w:rsid w:val="00482695"/>
  </w:style>
  <w:style w:type="paragraph" w:styleId="Header">
    <w:name w:val="header"/>
    <w:basedOn w:val="Normal"/>
    <w:semiHidden/>
    <w:rsid w:val="00482695"/>
    <w:pPr>
      <w:tabs>
        <w:tab w:val="center" w:pos="4153"/>
        <w:tab w:val="right" w:pos="8306"/>
      </w:tabs>
    </w:pPr>
  </w:style>
  <w:style w:type="paragraph" w:styleId="Footer">
    <w:name w:val="footer"/>
    <w:basedOn w:val="Normal"/>
    <w:link w:val="FooterChar"/>
    <w:uiPriority w:val="99"/>
    <w:rsid w:val="00482695"/>
    <w:pPr>
      <w:tabs>
        <w:tab w:val="center" w:pos="4153"/>
        <w:tab w:val="right" w:pos="8306"/>
      </w:tabs>
    </w:pPr>
  </w:style>
  <w:style w:type="character" w:styleId="PageNumber">
    <w:name w:val="page number"/>
    <w:basedOn w:val="DefaultParagraphFont"/>
    <w:semiHidden/>
    <w:rsid w:val="00482695"/>
  </w:style>
  <w:style w:type="paragraph" w:styleId="Title">
    <w:name w:val="Title"/>
    <w:basedOn w:val="Normal"/>
    <w:rsid w:val="00482695"/>
    <w:pPr>
      <w:suppressAutoHyphens/>
      <w:jc w:val="center"/>
    </w:pPr>
    <w:rPr>
      <w:rFonts w:ascii="Arial" w:hAnsi="Arial"/>
      <w:b/>
      <w:spacing w:val="-2"/>
      <w:sz w:val="22"/>
    </w:rPr>
  </w:style>
  <w:style w:type="paragraph" w:styleId="BodyText">
    <w:name w:val="Body Text"/>
    <w:basedOn w:val="Normal"/>
    <w:link w:val="BodyTextChar"/>
    <w:qFormat/>
    <w:rsid w:val="00482695"/>
    <w:pPr>
      <w:tabs>
        <w:tab w:val="left" w:pos="1080"/>
        <w:tab w:val="left" w:pos="1680"/>
        <w:tab w:val="left" w:pos="8280"/>
      </w:tabs>
      <w:suppressAutoHyphens/>
    </w:pPr>
    <w:rPr>
      <w:spacing w:val="-2"/>
    </w:rPr>
  </w:style>
  <w:style w:type="paragraph" w:styleId="Signature">
    <w:name w:val="Signature"/>
    <w:basedOn w:val="Normal"/>
    <w:semiHidden/>
    <w:rsid w:val="00482695"/>
    <w:pPr>
      <w:ind w:left="4252"/>
    </w:pPr>
  </w:style>
  <w:style w:type="paragraph" w:styleId="BodyText2">
    <w:name w:val="Body Text 2"/>
    <w:basedOn w:val="Normal"/>
    <w:semiHidden/>
    <w:rsid w:val="00482695"/>
    <w:rPr>
      <w:spacing w:val="-2"/>
    </w:rPr>
  </w:style>
  <w:style w:type="paragraph" w:styleId="BodyText3">
    <w:name w:val="Body Text 3"/>
    <w:basedOn w:val="Normal"/>
    <w:semiHidden/>
    <w:rsid w:val="00482695"/>
    <w:pPr>
      <w:tabs>
        <w:tab w:val="left" w:pos="1080"/>
        <w:tab w:val="left" w:pos="1680"/>
        <w:tab w:val="left" w:pos="8280"/>
      </w:tabs>
      <w:suppressAutoHyphens/>
    </w:pPr>
    <w:rPr>
      <w:rFonts w:ascii="Arial" w:hAnsi="Arial"/>
      <w:spacing w:val="-2"/>
      <w:sz w:val="22"/>
    </w:rPr>
  </w:style>
  <w:style w:type="paragraph" w:styleId="BalloonText">
    <w:name w:val="Balloon Text"/>
    <w:basedOn w:val="Normal"/>
    <w:link w:val="BalloonTextChar"/>
    <w:uiPriority w:val="99"/>
    <w:semiHidden/>
    <w:unhideWhenUsed/>
    <w:rsid w:val="004676A3"/>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4676A3"/>
    <w:rPr>
      <w:rFonts w:ascii="Tahoma" w:hAnsi="Tahoma" w:cs="Tahoma"/>
      <w:sz w:val="16"/>
      <w:szCs w:val="16"/>
      <w:lang w:eastAsia="en-US"/>
    </w:rPr>
  </w:style>
  <w:style w:type="table" w:styleId="TableGrid">
    <w:name w:val="Table Grid"/>
    <w:basedOn w:val="TableNormal"/>
    <w:uiPriority w:val="59"/>
    <w:rsid w:val="00274517"/>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FooterChar">
    <w:name w:val="Footer Char"/>
    <w:basedOn w:val="DefaultParagraphFont"/>
    <w:link w:val="Footer"/>
    <w:uiPriority w:val="99"/>
    <w:rsid w:val="007A2B72"/>
    <w:rPr>
      <w:rFonts w:ascii="Courier" w:hAnsi="Courier"/>
      <w:sz w:val="24"/>
      <w:lang w:val="en-AU"/>
    </w:rPr>
  </w:style>
  <w:style w:type="character" w:styleId="Hyperlink">
    <w:name w:val="Hyperlink"/>
    <w:basedOn w:val="DefaultParagraphFont"/>
    <w:uiPriority w:val="99"/>
    <w:unhideWhenUsed/>
    <w:rsid w:val="009852B0"/>
    <w:rPr>
      <w:color w:val="0000FF"/>
      <w:u w:val="single"/>
    </w:rPr>
  </w:style>
  <w:style w:type="paragraph" w:styleId="MacroText">
    <w:name w:val="macro"/>
    <w:link w:val="MacroTextChar"/>
    <w:semiHidden/>
    <w:rsid w:val="00292F20"/>
    <w:pPr>
      <w:tabs>
        <w:tab w:val="left" w:pos="480"/>
        <w:tab w:val="left" w:pos="960"/>
        <w:tab w:val="left" w:pos="1440"/>
        <w:tab w:val="left" w:pos="1920"/>
        <w:tab w:val="left" w:pos="2400"/>
        <w:tab w:val="left" w:pos="2880"/>
        <w:tab w:val="left" w:pos="3360"/>
        <w:tab w:val="left" w:pos="3840"/>
        <w:tab w:val="left" w:pos="4320"/>
      </w:tabs>
    </w:pPr>
    <w:rPr>
      <w:rFonts w:ascii="Courier New" w:hAnsi="Courier New"/>
      <w:lang w:eastAsia="en-US"/>
    </w:rPr>
  </w:style>
  <w:style w:type="character" w:customStyle="1" w:styleId="MacroTextChar">
    <w:name w:val="Macro Text Char"/>
    <w:basedOn w:val="DefaultParagraphFont"/>
    <w:link w:val="MacroText"/>
    <w:semiHidden/>
    <w:rsid w:val="00292F20"/>
    <w:rPr>
      <w:rFonts w:ascii="Courier New" w:hAnsi="Courier New"/>
      <w:lang w:eastAsia="en-US"/>
    </w:rPr>
  </w:style>
  <w:style w:type="paragraph" w:styleId="ListParagraph">
    <w:name w:val="List Paragraph"/>
    <w:basedOn w:val="Normal"/>
    <w:uiPriority w:val="34"/>
    <w:rsid w:val="00836F7D"/>
    <w:pPr>
      <w:ind w:left="720"/>
      <w:contextualSpacing/>
      <w:jc w:val="left"/>
    </w:pPr>
  </w:style>
  <w:style w:type="paragraph" w:customStyle="1" w:styleId="Heading5SS">
    <w:name w:val="Heading 5 +SS"/>
    <w:basedOn w:val="Heading5"/>
    <w:rsid w:val="00670BCB"/>
    <w:pPr>
      <w:keepNext w:val="0"/>
      <w:tabs>
        <w:tab w:val="clear" w:pos="1134"/>
        <w:tab w:val="clear" w:pos="1701"/>
        <w:tab w:val="clear" w:pos="8789"/>
        <w:tab w:val="left" w:pos="425"/>
      </w:tabs>
      <w:suppressAutoHyphens w:val="0"/>
      <w:spacing w:after="0"/>
      <w:ind w:left="425" w:hanging="425"/>
      <w:jc w:val="left"/>
    </w:pPr>
    <w:rPr>
      <w:rFonts w:ascii="Times New Roman" w:hAnsi="Times New Roman"/>
      <w:b w:val="0"/>
      <w:spacing w:val="0"/>
      <w:sz w:val="20"/>
      <w:szCs w:val="22"/>
    </w:rPr>
  </w:style>
  <w:style w:type="paragraph" w:customStyle="1" w:styleId="text">
    <w:name w:val="text"/>
    <w:basedOn w:val="Header"/>
    <w:rsid w:val="00F37269"/>
    <w:pPr>
      <w:widowControl w:val="0"/>
      <w:tabs>
        <w:tab w:val="clear" w:pos="4153"/>
        <w:tab w:val="clear" w:pos="8306"/>
        <w:tab w:val="center" w:pos="4320"/>
        <w:tab w:val="right" w:pos="8640"/>
      </w:tabs>
      <w:suppressAutoHyphens/>
      <w:autoSpaceDE w:val="0"/>
      <w:autoSpaceDN w:val="0"/>
      <w:adjustRightInd w:val="0"/>
      <w:spacing w:before="57" w:after="0" w:line="310" w:lineRule="atLeast"/>
      <w:jc w:val="left"/>
      <w:textAlignment w:val="baseline"/>
    </w:pPr>
    <w:rPr>
      <w:rFonts w:ascii="GillSans-Light" w:hAnsi="GillSans-Light"/>
      <w:color w:val="000000"/>
      <w:sz w:val="23"/>
      <w:szCs w:val="23"/>
    </w:rPr>
  </w:style>
  <w:style w:type="paragraph" w:customStyle="1" w:styleId="Noparagraphstyle">
    <w:name w:val="[No paragraph style]"/>
    <w:rsid w:val="00F37269"/>
    <w:pPr>
      <w:widowControl w:val="0"/>
      <w:autoSpaceDE w:val="0"/>
      <w:autoSpaceDN w:val="0"/>
      <w:adjustRightInd w:val="0"/>
      <w:spacing w:line="288" w:lineRule="auto"/>
      <w:textAlignment w:val="center"/>
    </w:pPr>
    <w:rPr>
      <w:rFonts w:ascii="Times-Roman" w:hAnsi="Times-Roman"/>
      <w:color w:val="000000"/>
      <w:sz w:val="24"/>
      <w:szCs w:val="24"/>
      <w:lang w:val="en-GB" w:eastAsia="en-US"/>
    </w:rPr>
  </w:style>
  <w:style w:type="character" w:customStyle="1" w:styleId="BodyTextChar">
    <w:name w:val="Body Text Char"/>
    <w:basedOn w:val="DefaultParagraphFont"/>
    <w:link w:val="BodyText"/>
    <w:rsid w:val="00F37269"/>
    <w:rPr>
      <w:rFonts w:ascii="Verdana" w:hAnsi="Verdana"/>
      <w:spacing w:val="-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dier.tas.gov.au" TargetMode="External"/><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footnotes" Target="footnotes.xml"/><Relationship Id="rId12" Type="http://schemas.openxmlformats.org/officeDocument/2006/relationships/hyperlink" Target="mailto:webmaster@dier.tas.gov.au"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image" Target="media/image4.jpeg"/><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jpeg"/><Relationship Id="rId5" Type="http://schemas.openxmlformats.org/officeDocument/2006/relationships/settings" Target="settings.xml"/><Relationship Id="rId15" Type="http://schemas.openxmlformats.org/officeDocument/2006/relationships/hyperlink" Target="http://www.dier.tas.gov.au" TargetMode="External"/><Relationship Id="rId23" Type="http://schemas.openxmlformats.org/officeDocument/2006/relationships/theme" Target="theme/theme1.xml"/><Relationship Id="rId10" Type="http://schemas.openxmlformats.org/officeDocument/2006/relationships/image" Target="media/image2.emf"/><Relationship Id="rId19"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yperlink" Target="mailto:webmaster@dier.tas.gov.au"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C5C6BE7-8577-4472-85F9-7B79321246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4533</Words>
  <Characters>25843</Characters>
  <Application>Microsoft Office Word</Application>
  <DocSecurity>12</DocSecurity>
  <Lines>215</Lines>
  <Paragraphs>60</Paragraphs>
  <ScaleCrop>false</ScaleCrop>
  <HeadingPairs>
    <vt:vector size="2" baseType="variant">
      <vt:variant>
        <vt:lpstr>Title</vt:lpstr>
      </vt:variant>
      <vt:variant>
        <vt:i4>1</vt:i4>
      </vt:variant>
    </vt:vector>
  </HeadingPairs>
  <TitlesOfParts>
    <vt:vector size="1" baseType="lpstr">
      <vt:lpstr>ROADWORKS SPECIFICATION</vt:lpstr>
    </vt:vector>
  </TitlesOfParts>
  <Company>Department of Transport</Company>
  <LinksUpToDate>false</LinksUpToDate>
  <CharactersWithSpaces>30316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ROADWORKS SPECIFICATION</dc:title>
  <dc:subject>R64 - PAVEMENT MARKING</dc:subject>
  <dc:creator>p-blackwell</dc:creator>
  <cp:lastModifiedBy>Murray-Cox, Karen</cp:lastModifiedBy>
  <cp:revision>2</cp:revision>
  <cp:lastPrinted>2013-06-14T00:16:00Z</cp:lastPrinted>
  <dcterms:created xsi:type="dcterms:W3CDTF">2013-10-16T03:24:00Z</dcterms:created>
  <dcterms:modified xsi:type="dcterms:W3CDTF">2013-10-16T03:24:00Z</dcterms:modified>
</cp:coreProperties>
</file>