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F75B7" w:rsidRPr="00EC2562" w:rsidRDefault="00E84546" w:rsidP="00EC2562">
      <w:r w:rsidRPr="00EC2562">
        <w:rPr>
          <w:noProof/>
          <w:lang w:eastAsia="en-AU"/>
        </w:rPr>
        <mc:AlternateContent>
          <mc:Choice Requires="wps">
            <w:drawing>
              <wp:anchor distT="0" distB="0" distL="114300" distR="114300" simplePos="0" relativeHeight="251667456" behindDoc="0" locked="0" layoutInCell="1" allowOverlap="1" wp14:anchorId="6EB91BE9" wp14:editId="4E709D99">
                <wp:simplePos x="0" y="0"/>
                <wp:positionH relativeFrom="column">
                  <wp:posOffset>-178435</wp:posOffset>
                </wp:positionH>
                <wp:positionV relativeFrom="paragraph">
                  <wp:posOffset>-1799590</wp:posOffset>
                </wp:positionV>
                <wp:extent cx="1458000" cy="1486800"/>
                <wp:effectExtent l="0" t="0" r="8890" b="18415"/>
                <wp:wrapNone/>
                <wp:docPr id="2" name="Text Box 2"/>
                <wp:cNvGraphicFramePr/>
                <a:graphic xmlns:a="http://schemas.openxmlformats.org/drawingml/2006/main">
                  <a:graphicData uri="http://schemas.microsoft.com/office/word/2010/wordprocessingShape">
                    <wps:wsp>
                      <wps:cNvSpPr txBox="1"/>
                      <wps:spPr>
                        <a:xfrm>
                          <a:off x="0" y="0"/>
                          <a:ext cx="1458000" cy="1486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57F18" w:rsidRDefault="00F57F18" w:rsidP="00F57F18">
                            <w:pPr>
                              <w:pStyle w:val="Subtitle"/>
                            </w:pPr>
                            <w:r>
                              <w:t>Professional Services Specifications (PSS)</w:t>
                            </w:r>
                          </w:p>
                          <w:p w:rsidR="00E84546" w:rsidRDefault="00E84546" w:rsidP="00E84546">
                            <w:pPr>
                              <w:pStyle w:val="BodyText"/>
                            </w:pPr>
                          </w:p>
                          <w:p w:rsidR="00E84546" w:rsidRDefault="00F23E28" w:rsidP="00E84546">
                            <w:pPr>
                              <w:pStyle w:val="BodyText"/>
                            </w:pPr>
                            <w:r>
                              <w:t>Last updated:</w:t>
                            </w:r>
                          </w:p>
                          <w:p w:rsidR="00F23E28" w:rsidRPr="00E84546" w:rsidRDefault="00F96077" w:rsidP="00E84546">
                            <w:pPr>
                              <w:pStyle w:val="BodyText"/>
                            </w:pPr>
                            <w:r>
                              <w:t>August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91BE9" id="_x0000_t202" coordsize="21600,21600" o:spt="202" path="m,l,21600r21600,l21600,xe">
                <v:stroke joinstyle="miter"/>
                <v:path gradientshapeok="t" o:connecttype="rect"/>
              </v:shapetype>
              <v:shape id="Text Box 2" o:spid="_x0000_s1026" type="#_x0000_t202" style="position:absolute;margin-left:-14.05pt;margin-top:-141.7pt;width:114.8pt;height:1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" filled="f" stroked="f">
                <v:textbox inset="0,0,0,0">
                  <w:txbxContent>
                    <w:p w:rsidR="00F57F18" w:rsidRDefault="00F57F18" w:rsidP="00F57F18">
                      <w:pPr>
                        <w:pStyle w:val="Subtitle"/>
                      </w:pPr>
                      <w:r>
                        <w:t>Professional Services Specifications (PSS)</w:t>
                      </w:r>
                    </w:p>
                    <w:p w:rsidR="00E84546" w:rsidRDefault="00E84546" w:rsidP="00E84546">
                      <w:pPr>
                        <w:pStyle w:val="BodyText"/>
                      </w:pPr>
                    </w:p>
                    <w:p w:rsidR="00E84546" w:rsidRDefault="00F23E28" w:rsidP="00E84546">
                      <w:pPr>
                        <w:pStyle w:val="BodyText"/>
                      </w:pPr>
                      <w:r>
                        <w:t>Last updated:</w:t>
                      </w:r>
                    </w:p>
                    <w:p w:rsidR="00F23E28" w:rsidRPr="00E84546" w:rsidRDefault="00F96077" w:rsidP="00E84546">
                      <w:pPr>
                        <w:pStyle w:val="BodyText"/>
                      </w:pPr>
                      <w:r>
                        <w:t>August 2020</w:t>
                      </w:r>
                    </w:p>
                  </w:txbxContent>
                </v:textbox>
              </v:shape>
            </w:pict>
          </mc:Fallback>
        </mc:AlternateContent>
      </w:r>
      <w:r w:rsidR="00080C6A" w:rsidRPr="00EC2562">
        <w:rPr>
          <w:noProof/>
          <w:lang w:eastAsia="en-AU"/>
        </w:rPr>
        <mc:AlternateContent>
          <mc:Choice Requires="wps">
            <w:drawing>
              <wp:anchor distT="0" distB="0" distL="114300" distR="114300" simplePos="0" relativeHeight="251661312" behindDoc="0" locked="0" layoutInCell="1" allowOverlap="1" wp14:anchorId="010C9E33" wp14:editId="5C1DC053">
                <wp:simplePos x="0" y="0"/>
                <wp:positionH relativeFrom="page">
                  <wp:posOffset>2124075</wp:posOffset>
                </wp:positionH>
                <wp:positionV relativeFrom="page">
                  <wp:posOffset>438150</wp:posOffset>
                </wp:positionV>
                <wp:extent cx="5069205" cy="1666875"/>
                <wp:effectExtent l="0" t="0" r="17145" b="9525"/>
                <wp:wrapNone/>
                <wp:docPr id="4" name="Text Box 4"/>
                <wp:cNvGraphicFramePr/>
                <a:graphic xmlns:a="http://schemas.openxmlformats.org/drawingml/2006/main">
                  <a:graphicData uri="http://schemas.microsoft.com/office/word/2010/wordprocessingShape">
                    <wps:wsp>
                      <wps:cNvSpPr txBox="1"/>
                      <wps:spPr>
                        <a:xfrm>
                          <a:off x="0" y="0"/>
                          <a:ext cx="5069205" cy="166687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F75B7" w:rsidRDefault="00F96077" w:rsidP="00F57F18">
                            <w:pPr>
                              <w:pStyle w:val="Title"/>
                              <w:jc w:val="right"/>
                            </w:pPr>
                            <w:r>
                              <w:t>T15 – Pavements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C9E33" id="Text Box 4" o:spid="_x0000_s1027" type="#_x0000_t202" style="position:absolute;margin-left:167.25pt;margin-top:34.5pt;width:399.15pt;height:13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" filled="f" stroked="f">
                <v:textbox inset="0,0,0,0">
                  <w:txbxContent>
                    <w:p w:rsidR="008F75B7" w:rsidRDefault="00F96077" w:rsidP="00F57F18">
                      <w:pPr>
                        <w:pStyle w:val="Title"/>
                        <w:jc w:val="right"/>
                      </w:pPr>
                      <w:r>
                        <w:t>T15 – Pavements</w:t>
                      </w:r>
                    </w:p>
                  </w:txbxContent>
                </v:textbox>
                <w10:wrap anchorx="page" anchory="page"/>
              </v:shape>
            </w:pict>
          </mc:Fallback>
        </mc:AlternateContent>
      </w:r>
      <w:r w:rsidR="008F75B7" w:rsidRPr="00EC2562">
        <w:rPr>
          <w:noProof/>
          <w:lang w:eastAsia="en-AU"/>
        </w:rPr>
        <w:drawing>
          <wp:anchor distT="0" distB="0" distL="114300" distR="114300" simplePos="0" relativeHeight="251659264" behindDoc="0" locked="1" layoutInCell="1" allowOverlap="1" wp14:anchorId="56208FA9" wp14:editId="3A343CC8">
            <wp:simplePos x="0" y="0"/>
            <wp:positionH relativeFrom="page">
              <wp:align>left</wp:align>
            </wp:positionH>
            <wp:positionV relativeFrom="page">
              <wp:align>top</wp:align>
            </wp:positionV>
            <wp:extent cx="7561580" cy="1069213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BK:Users:roland:My Desk:Business:RG Design:Jobs:DEDTA Jobs:DSG 14035 DSG A4 Report Template:B - Development:Exports:DSG A4 Document Cover Dark Blue Guide.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6158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75B7" w:rsidRDefault="008F75B7" w:rsidP="00F74936">
      <w:pPr>
        <w:sectPr w:rsidR="008F75B7" w:rsidSect="00F74936">
          <w:footerReference w:type="default" r:id="rId12"/>
          <w:pgSz w:w="11906" w:h="16838" w:code="9"/>
          <w:pgMar w:top="3629" w:right="851" w:bottom="1134" w:left="851" w:header="709" w:footer="709" w:gutter="0"/>
          <w:pgNumType w:start="1"/>
          <w:cols w:space="708"/>
          <w:docGrid w:linePitch="360"/>
        </w:sectPr>
      </w:pPr>
      <w:r w:rsidRPr="00EC2562">
        <w:br w:type="page"/>
      </w:r>
    </w:p>
    <w:sdt>
      <w:sdtPr>
        <w:rPr>
          <w:rFonts w:asciiTheme="minorHAnsi" w:eastAsiaTheme="minorHAnsi" w:hAnsiTheme="minorHAnsi" w:cstheme="minorBidi"/>
          <w:color w:val="000000" w:themeColor="text1"/>
          <w:sz w:val="22"/>
          <w:szCs w:val="22"/>
        </w:rPr>
        <w:id w:val="2030990144"/>
        <w:docPartObj>
          <w:docPartGallery w:val="Table of Contents"/>
          <w:docPartUnique/>
        </w:docPartObj>
      </w:sdtPr>
      <w:sdtEndPr/>
      <w:sdtContent>
        <w:p w:rsidR="008F75B7" w:rsidRPr="005B0839" w:rsidRDefault="008F75B7">
          <w:pPr>
            <w:pStyle w:val="TOCHeading"/>
          </w:pPr>
          <w:r w:rsidRPr="005B0839">
            <w:t>Contents</w:t>
          </w:r>
        </w:p>
        <w:p w:rsidR="00750AC5" w:rsidRDefault="00CC6335">
          <w:pPr>
            <w:pStyle w:val="TOC2"/>
            <w:tabs>
              <w:tab w:val="left" w:pos="1100"/>
              <w:tab w:val="right" w:leader="dot" w:pos="10194"/>
            </w:tabs>
            <w:rPr>
              <w:rFonts w:eastAsiaTheme="minorEastAsia"/>
              <w:b w:val="0"/>
              <w:noProof/>
              <w:color w:val="auto"/>
              <w:lang w:eastAsia="en-AU"/>
            </w:rPr>
          </w:pPr>
          <w:r>
            <w:rPr>
              <w:b w:val="0"/>
            </w:rPr>
            <w:fldChar w:fldCharType="begin"/>
          </w:r>
          <w:r>
            <w:rPr>
              <w:b w:val="0"/>
            </w:rPr>
            <w:instrText xml:space="preserve"> TOC \o "1-3" \h \z \u </w:instrText>
          </w:r>
          <w:r>
            <w:rPr>
              <w:b w:val="0"/>
            </w:rPr>
            <w:fldChar w:fldCharType="separate"/>
          </w:r>
          <w:hyperlink w:anchor="_Toc48307146" w:history="1">
            <w:r w:rsidR="00750AC5" w:rsidRPr="00453730">
              <w:rPr>
                <w:rStyle w:val="Hyperlink"/>
                <w:noProof/>
              </w:rPr>
              <w:t>T15.1</w:t>
            </w:r>
            <w:r w:rsidR="00750AC5">
              <w:rPr>
                <w:rFonts w:eastAsiaTheme="minorEastAsia"/>
                <w:b w:val="0"/>
                <w:noProof/>
                <w:color w:val="auto"/>
                <w:lang w:eastAsia="en-AU"/>
              </w:rPr>
              <w:tab/>
            </w:r>
            <w:r w:rsidR="00750AC5" w:rsidRPr="00453730">
              <w:rPr>
                <w:rStyle w:val="Hyperlink"/>
                <w:noProof/>
              </w:rPr>
              <w:t>Scope</w:t>
            </w:r>
            <w:r w:rsidR="00750AC5">
              <w:rPr>
                <w:noProof/>
                <w:webHidden/>
              </w:rPr>
              <w:tab/>
            </w:r>
            <w:r w:rsidR="00750AC5">
              <w:rPr>
                <w:noProof/>
                <w:webHidden/>
              </w:rPr>
              <w:fldChar w:fldCharType="begin"/>
            </w:r>
            <w:r w:rsidR="00750AC5">
              <w:rPr>
                <w:noProof/>
                <w:webHidden/>
              </w:rPr>
              <w:instrText xml:space="preserve"> PAGEREF _Toc48307146 \h </w:instrText>
            </w:r>
            <w:r w:rsidR="00750AC5">
              <w:rPr>
                <w:noProof/>
                <w:webHidden/>
              </w:rPr>
            </w:r>
            <w:r w:rsidR="00750AC5">
              <w:rPr>
                <w:noProof/>
                <w:webHidden/>
              </w:rPr>
              <w:fldChar w:fldCharType="separate"/>
            </w:r>
            <w:r w:rsidR="00750AC5">
              <w:rPr>
                <w:noProof/>
                <w:webHidden/>
              </w:rPr>
              <w:t>1</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47" w:history="1">
            <w:r w:rsidR="00750AC5" w:rsidRPr="00453730">
              <w:rPr>
                <w:rStyle w:val="Hyperlink"/>
                <w:noProof/>
              </w:rPr>
              <w:t>T15.2</w:t>
            </w:r>
            <w:r w:rsidR="00750AC5">
              <w:rPr>
                <w:rFonts w:eastAsiaTheme="minorEastAsia"/>
                <w:b w:val="0"/>
                <w:noProof/>
                <w:color w:val="auto"/>
                <w:lang w:eastAsia="en-AU"/>
              </w:rPr>
              <w:tab/>
            </w:r>
            <w:r w:rsidR="00750AC5" w:rsidRPr="00453730">
              <w:rPr>
                <w:rStyle w:val="Hyperlink"/>
                <w:noProof/>
              </w:rPr>
              <w:t>Objective</w:t>
            </w:r>
            <w:r w:rsidR="00750AC5">
              <w:rPr>
                <w:noProof/>
                <w:webHidden/>
              </w:rPr>
              <w:tab/>
            </w:r>
            <w:r w:rsidR="00750AC5">
              <w:rPr>
                <w:noProof/>
                <w:webHidden/>
              </w:rPr>
              <w:fldChar w:fldCharType="begin"/>
            </w:r>
            <w:r w:rsidR="00750AC5">
              <w:rPr>
                <w:noProof/>
                <w:webHidden/>
              </w:rPr>
              <w:instrText xml:space="preserve"> PAGEREF _Toc48307147 \h </w:instrText>
            </w:r>
            <w:r w:rsidR="00750AC5">
              <w:rPr>
                <w:noProof/>
                <w:webHidden/>
              </w:rPr>
            </w:r>
            <w:r w:rsidR="00750AC5">
              <w:rPr>
                <w:noProof/>
                <w:webHidden/>
              </w:rPr>
              <w:fldChar w:fldCharType="separate"/>
            </w:r>
            <w:r w:rsidR="00750AC5">
              <w:rPr>
                <w:noProof/>
                <w:webHidden/>
              </w:rPr>
              <w:t>1</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48" w:history="1">
            <w:r w:rsidR="00750AC5" w:rsidRPr="00453730">
              <w:rPr>
                <w:rStyle w:val="Hyperlink"/>
                <w:noProof/>
              </w:rPr>
              <w:t>T15.3</w:t>
            </w:r>
            <w:r w:rsidR="00750AC5">
              <w:rPr>
                <w:rFonts w:eastAsiaTheme="minorEastAsia"/>
                <w:b w:val="0"/>
                <w:noProof/>
                <w:color w:val="auto"/>
                <w:lang w:eastAsia="en-AU"/>
              </w:rPr>
              <w:tab/>
            </w:r>
            <w:r w:rsidR="00750AC5" w:rsidRPr="00453730">
              <w:rPr>
                <w:rStyle w:val="Hyperlink"/>
                <w:noProof/>
              </w:rPr>
              <w:t>References and Standards</w:t>
            </w:r>
            <w:r w:rsidR="00750AC5">
              <w:rPr>
                <w:noProof/>
                <w:webHidden/>
              </w:rPr>
              <w:tab/>
            </w:r>
            <w:r w:rsidR="00750AC5">
              <w:rPr>
                <w:noProof/>
                <w:webHidden/>
              </w:rPr>
              <w:fldChar w:fldCharType="begin"/>
            </w:r>
            <w:r w:rsidR="00750AC5">
              <w:rPr>
                <w:noProof/>
                <w:webHidden/>
              </w:rPr>
              <w:instrText xml:space="preserve"> PAGEREF _Toc48307148 \h </w:instrText>
            </w:r>
            <w:r w:rsidR="00750AC5">
              <w:rPr>
                <w:noProof/>
                <w:webHidden/>
              </w:rPr>
            </w:r>
            <w:r w:rsidR="00750AC5">
              <w:rPr>
                <w:noProof/>
                <w:webHidden/>
              </w:rPr>
              <w:fldChar w:fldCharType="separate"/>
            </w:r>
            <w:r w:rsidR="00750AC5">
              <w:rPr>
                <w:noProof/>
                <w:webHidden/>
              </w:rPr>
              <w:t>1</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49" w:history="1">
            <w:r w:rsidR="00750AC5" w:rsidRPr="00453730">
              <w:rPr>
                <w:rStyle w:val="Hyperlink"/>
                <w:noProof/>
              </w:rPr>
              <w:t>T15.4</w:t>
            </w:r>
            <w:r w:rsidR="00750AC5">
              <w:rPr>
                <w:rFonts w:eastAsiaTheme="minorEastAsia"/>
                <w:b w:val="0"/>
                <w:noProof/>
                <w:color w:val="auto"/>
                <w:lang w:eastAsia="en-AU"/>
              </w:rPr>
              <w:tab/>
            </w:r>
            <w:r w:rsidR="00750AC5" w:rsidRPr="00453730">
              <w:rPr>
                <w:rStyle w:val="Hyperlink"/>
                <w:noProof/>
              </w:rPr>
              <w:t>General Considerations</w:t>
            </w:r>
            <w:r w:rsidR="00750AC5">
              <w:rPr>
                <w:noProof/>
                <w:webHidden/>
              </w:rPr>
              <w:tab/>
            </w:r>
            <w:r w:rsidR="00750AC5">
              <w:rPr>
                <w:noProof/>
                <w:webHidden/>
              </w:rPr>
              <w:fldChar w:fldCharType="begin"/>
            </w:r>
            <w:r w:rsidR="00750AC5">
              <w:rPr>
                <w:noProof/>
                <w:webHidden/>
              </w:rPr>
              <w:instrText xml:space="preserve"> PAGEREF _Toc48307149 \h </w:instrText>
            </w:r>
            <w:r w:rsidR="00750AC5">
              <w:rPr>
                <w:noProof/>
                <w:webHidden/>
              </w:rPr>
            </w:r>
            <w:r w:rsidR="00750AC5">
              <w:rPr>
                <w:noProof/>
                <w:webHidden/>
              </w:rPr>
              <w:fldChar w:fldCharType="separate"/>
            </w:r>
            <w:r w:rsidR="00750AC5">
              <w:rPr>
                <w:noProof/>
                <w:webHidden/>
              </w:rPr>
              <w:t>2</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0" w:history="1">
            <w:r w:rsidR="00750AC5" w:rsidRPr="00453730">
              <w:rPr>
                <w:rStyle w:val="Hyperlink"/>
                <w:noProof/>
              </w:rPr>
              <w:t>T15.4.1</w:t>
            </w:r>
            <w:r w:rsidR="00750AC5">
              <w:rPr>
                <w:rFonts w:eastAsiaTheme="minorEastAsia"/>
                <w:noProof/>
                <w:color w:val="auto"/>
                <w:lang w:eastAsia="en-AU"/>
              </w:rPr>
              <w:tab/>
            </w:r>
            <w:r w:rsidR="00750AC5" w:rsidRPr="00453730">
              <w:rPr>
                <w:rStyle w:val="Hyperlink"/>
                <w:noProof/>
              </w:rPr>
              <w:t>Design Life</w:t>
            </w:r>
            <w:r w:rsidR="00750AC5">
              <w:rPr>
                <w:noProof/>
                <w:webHidden/>
              </w:rPr>
              <w:tab/>
            </w:r>
            <w:r w:rsidR="00750AC5">
              <w:rPr>
                <w:noProof/>
                <w:webHidden/>
              </w:rPr>
              <w:fldChar w:fldCharType="begin"/>
            </w:r>
            <w:r w:rsidR="00750AC5">
              <w:rPr>
                <w:noProof/>
                <w:webHidden/>
              </w:rPr>
              <w:instrText xml:space="preserve"> PAGEREF _Toc48307150 \h </w:instrText>
            </w:r>
            <w:r w:rsidR="00750AC5">
              <w:rPr>
                <w:noProof/>
                <w:webHidden/>
              </w:rPr>
            </w:r>
            <w:r w:rsidR="00750AC5">
              <w:rPr>
                <w:noProof/>
                <w:webHidden/>
              </w:rPr>
              <w:fldChar w:fldCharType="separate"/>
            </w:r>
            <w:r w:rsidR="00750AC5">
              <w:rPr>
                <w:noProof/>
                <w:webHidden/>
              </w:rPr>
              <w:t>2</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1" w:history="1">
            <w:r w:rsidR="00750AC5" w:rsidRPr="00453730">
              <w:rPr>
                <w:rStyle w:val="Hyperlink"/>
                <w:noProof/>
              </w:rPr>
              <w:t>T15.4.2</w:t>
            </w:r>
            <w:r w:rsidR="00750AC5">
              <w:rPr>
                <w:rFonts w:eastAsiaTheme="minorEastAsia"/>
                <w:noProof/>
                <w:color w:val="auto"/>
                <w:lang w:eastAsia="en-AU"/>
              </w:rPr>
              <w:tab/>
            </w:r>
            <w:r w:rsidR="00750AC5" w:rsidRPr="00453730">
              <w:rPr>
                <w:rStyle w:val="Hyperlink"/>
                <w:noProof/>
              </w:rPr>
              <w:t>Design Traffic</w:t>
            </w:r>
            <w:r w:rsidR="00750AC5">
              <w:rPr>
                <w:noProof/>
                <w:webHidden/>
              </w:rPr>
              <w:tab/>
            </w:r>
            <w:r w:rsidR="00750AC5">
              <w:rPr>
                <w:noProof/>
                <w:webHidden/>
              </w:rPr>
              <w:fldChar w:fldCharType="begin"/>
            </w:r>
            <w:r w:rsidR="00750AC5">
              <w:rPr>
                <w:noProof/>
                <w:webHidden/>
              </w:rPr>
              <w:instrText xml:space="preserve"> PAGEREF _Toc48307151 \h </w:instrText>
            </w:r>
            <w:r w:rsidR="00750AC5">
              <w:rPr>
                <w:noProof/>
                <w:webHidden/>
              </w:rPr>
            </w:r>
            <w:r w:rsidR="00750AC5">
              <w:rPr>
                <w:noProof/>
                <w:webHidden/>
              </w:rPr>
              <w:fldChar w:fldCharType="separate"/>
            </w:r>
            <w:r w:rsidR="00750AC5">
              <w:rPr>
                <w:noProof/>
                <w:webHidden/>
              </w:rPr>
              <w:t>2</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2" w:history="1">
            <w:r w:rsidR="00750AC5" w:rsidRPr="00453730">
              <w:rPr>
                <w:rStyle w:val="Hyperlink"/>
                <w:noProof/>
              </w:rPr>
              <w:t>T15.4.3</w:t>
            </w:r>
            <w:r w:rsidR="00750AC5">
              <w:rPr>
                <w:rFonts w:eastAsiaTheme="minorEastAsia"/>
                <w:noProof/>
                <w:color w:val="auto"/>
                <w:lang w:eastAsia="en-AU"/>
              </w:rPr>
              <w:tab/>
            </w:r>
            <w:r w:rsidR="00750AC5" w:rsidRPr="00453730">
              <w:rPr>
                <w:rStyle w:val="Hyperlink"/>
                <w:noProof/>
              </w:rPr>
              <w:t>Design Traffic Calculations for Temporary Pavements</w:t>
            </w:r>
            <w:r w:rsidR="00750AC5">
              <w:rPr>
                <w:noProof/>
                <w:webHidden/>
              </w:rPr>
              <w:tab/>
            </w:r>
            <w:r w:rsidR="00750AC5">
              <w:rPr>
                <w:noProof/>
                <w:webHidden/>
              </w:rPr>
              <w:fldChar w:fldCharType="begin"/>
            </w:r>
            <w:r w:rsidR="00750AC5">
              <w:rPr>
                <w:noProof/>
                <w:webHidden/>
              </w:rPr>
              <w:instrText xml:space="preserve"> PAGEREF _Toc48307152 \h </w:instrText>
            </w:r>
            <w:r w:rsidR="00750AC5">
              <w:rPr>
                <w:noProof/>
                <w:webHidden/>
              </w:rPr>
            </w:r>
            <w:r w:rsidR="00750AC5">
              <w:rPr>
                <w:noProof/>
                <w:webHidden/>
              </w:rPr>
              <w:fldChar w:fldCharType="separate"/>
            </w:r>
            <w:r w:rsidR="00750AC5">
              <w:rPr>
                <w:noProof/>
                <w:webHidden/>
              </w:rPr>
              <w:t>2</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53" w:history="1">
            <w:r w:rsidR="00750AC5" w:rsidRPr="00453730">
              <w:rPr>
                <w:rStyle w:val="Hyperlink"/>
                <w:noProof/>
              </w:rPr>
              <w:t>T15.5</w:t>
            </w:r>
            <w:r w:rsidR="00750AC5">
              <w:rPr>
                <w:rFonts w:eastAsiaTheme="minorEastAsia"/>
                <w:b w:val="0"/>
                <w:noProof/>
                <w:color w:val="auto"/>
                <w:lang w:eastAsia="en-AU"/>
              </w:rPr>
              <w:tab/>
            </w:r>
            <w:r w:rsidR="00750AC5" w:rsidRPr="00453730">
              <w:rPr>
                <w:rStyle w:val="Hyperlink"/>
                <w:noProof/>
              </w:rPr>
              <w:t>Investigations</w:t>
            </w:r>
            <w:r w:rsidR="00750AC5">
              <w:rPr>
                <w:noProof/>
                <w:webHidden/>
              </w:rPr>
              <w:tab/>
            </w:r>
            <w:r w:rsidR="00750AC5">
              <w:rPr>
                <w:noProof/>
                <w:webHidden/>
              </w:rPr>
              <w:fldChar w:fldCharType="begin"/>
            </w:r>
            <w:r w:rsidR="00750AC5">
              <w:rPr>
                <w:noProof/>
                <w:webHidden/>
              </w:rPr>
              <w:instrText xml:space="preserve"> PAGEREF _Toc48307153 \h </w:instrText>
            </w:r>
            <w:r w:rsidR="00750AC5">
              <w:rPr>
                <w:noProof/>
                <w:webHidden/>
              </w:rPr>
            </w:r>
            <w:r w:rsidR="00750AC5">
              <w:rPr>
                <w:noProof/>
                <w:webHidden/>
              </w:rPr>
              <w:fldChar w:fldCharType="separate"/>
            </w:r>
            <w:r w:rsidR="00750AC5">
              <w:rPr>
                <w:noProof/>
                <w:webHidden/>
              </w:rPr>
              <w:t>2</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54" w:history="1">
            <w:r w:rsidR="00750AC5" w:rsidRPr="00453730">
              <w:rPr>
                <w:rStyle w:val="Hyperlink"/>
                <w:noProof/>
              </w:rPr>
              <w:t>T15.6</w:t>
            </w:r>
            <w:r w:rsidR="00750AC5">
              <w:rPr>
                <w:rFonts w:eastAsiaTheme="minorEastAsia"/>
                <w:b w:val="0"/>
                <w:noProof/>
                <w:color w:val="auto"/>
                <w:lang w:eastAsia="en-AU"/>
              </w:rPr>
              <w:tab/>
            </w:r>
            <w:r w:rsidR="00750AC5" w:rsidRPr="00453730">
              <w:rPr>
                <w:rStyle w:val="Hyperlink"/>
                <w:noProof/>
              </w:rPr>
              <w:t>Subgrade Assessment</w:t>
            </w:r>
            <w:r w:rsidR="00750AC5">
              <w:rPr>
                <w:noProof/>
                <w:webHidden/>
              </w:rPr>
              <w:tab/>
            </w:r>
            <w:r w:rsidR="00750AC5">
              <w:rPr>
                <w:noProof/>
                <w:webHidden/>
              </w:rPr>
              <w:fldChar w:fldCharType="begin"/>
            </w:r>
            <w:r w:rsidR="00750AC5">
              <w:rPr>
                <w:noProof/>
                <w:webHidden/>
              </w:rPr>
              <w:instrText xml:space="preserve"> PAGEREF _Toc48307154 \h </w:instrText>
            </w:r>
            <w:r w:rsidR="00750AC5">
              <w:rPr>
                <w:noProof/>
                <w:webHidden/>
              </w:rPr>
            </w:r>
            <w:r w:rsidR="00750AC5">
              <w:rPr>
                <w:noProof/>
                <w:webHidden/>
              </w:rPr>
              <w:fldChar w:fldCharType="separate"/>
            </w:r>
            <w:r w:rsidR="00750AC5">
              <w:rPr>
                <w:noProof/>
                <w:webHidden/>
              </w:rPr>
              <w:t>3</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5" w:history="1">
            <w:r w:rsidR="00750AC5" w:rsidRPr="00453730">
              <w:rPr>
                <w:rStyle w:val="Hyperlink"/>
                <w:noProof/>
                <w:lang w:val="en-GB"/>
              </w:rPr>
              <w:t>T15.6.1</w:t>
            </w:r>
            <w:r w:rsidR="00750AC5">
              <w:rPr>
                <w:rFonts w:eastAsiaTheme="minorEastAsia"/>
                <w:noProof/>
                <w:color w:val="auto"/>
                <w:lang w:eastAsia="en-AU"/>
              </w:rPr>
              <w:tab/>
            </w:r>
            <w:r w:rsidR="00750AC5" w:rsidRPr="00453730">
              <w:rPr>
                <w:rStyle w:val="Hyperlink"/>
                <w:noProof/>
                <w:lang w:val="en-GB"/>
              </w:rPr>
              <w:t>Determination of Subgrade CBR</w:t>
            </w:r>
            <w:r w:rsidR="00750AC5">
              <w:rPr>
                <w:noProof/>
                <w:webHidden/>
              </w:rPr>
              <w:tab/>
            </w:r>
            <w:r w:rsidR="00750AC5">
              <w:rPr>
                <w:noProof/>
                <w:webHidden/>
              </w:rPr>
              <w:fldChar w:fldCharType="begin"/>
            </w:r>
            <w:r w:rsidR="00750AC5">
              <w:rPr>
                <w:noProof/>
                <w:webHidden/>
              </w:rPr>
              <w:instrText xml:space="preserve"> PAGEREF _Toc48307155 \h </w:instrText>
            </w:r>
            <w:r w:rsidR="00750AC5">
              <w:rPr>
                <w:noProof/>
                <w:webHidden/>
              </w:rPr>
            </w:r>
            <w:r w:rsidR="00750AC5">
              <w:rPr>
                <w:noProof/>
                <w:webHidden/>
              </w:rPr>
              <w:fldChar w:fldCharType="separate"/>
            </w:r>
            <w:r w:rsidR="00750AC5">
              <w:rPr>
                <w:noProof/>
                <w:webHidden/>
              </w:rPr>
              <w:t>3</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6" w:history="1">
            <w:r w:rsidR="00750AC5" w:rsidRPr="00453730">
              <w:rPr>
                <w:rStyle w:val="Hyperlink"/>
                <w:noProof/>
                <w:lang w:val="en-GB"/>
              </w:rPr>
              <w:t>T15.6.2</w:t>
            </w:r>
            <w:r w:rsidR="00750AC5">
              <w:rPr>
                <w:rFonts w:eastAsiaTheme="minorEastAsia"/>
                <w:noProof/>
                <w:color w:val="auto"/>
                <w:lang w:eastAsia="en-AU"/>
              </w:rPr>
              <w:tab/>
            </w:r>
            <w:r w:rsidR="00750AC5" w:rsidRPr="00453730">
              <w:rPr>
                <w:rStyle w:val="Hyperlink"/>
                <w:noProof/>
                <w:lang w:val="en-GB"/>
              </w:rPr>
              <w:t>Maximum Subgrade CBR</w:t>
            </w:r>
            <w:r w:rsidR="00750AC5">
              <w:rPr>
                <w:noProof/>
                <w:webHidden/>
              </w:rPr>
              <w:tab/>
            </w:r>
            <w:r w:rsidR="00750AC5">
              <w:rPr>
                <w:noProof/>
                <w:webHidden/>
              </w:rPr>
              <w:fldChar w:fldCharType="begin"/>
            </w:r>
            <w:r w:rsidR="00750AC5">
              <w:rPr>
                <w:noProof/>
                <w:webHidden/>
              </w:rPr>
              <w:instrText xml:space="preserve"> PAGEREF _Toc48307156 \h </w:instrText>
            </w:r>
            <w:r w:rsidR="00750AC5">
              <w:rPr>
                <w:noProof/>
                <w:webHidden/>
              </w:rPr>
            </w:r>
            <w:r w:rsidR="00750AC5">
              <w:rPr>
                <w:noProof/>
                <w:webHidden/>
              </w:rPr>
              <w:fldChar w:fldCharType="separate"/>
            </w:r>
            <w:r w:rsidR="00750AC5">
              <w:rPr>
                <w:noProof/>
                <w:webHidden/>
              </w:rPr>
              <w:t>3</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7" w:history="1">
            <w:r w:rsidR="00750AC5" w:rsidRPr="00453730">
              <w:rPr>
                <w:rStyle w:val="Hyperlink"/>
                <w:noProof/>
              </w:rPr>
              <w:t>T15.6.3</w:t>
            </w:r>
            <w:r w:rsidR="00750AC5">
              <w:rPr>
                <w:rFonts w:eastAsiaTheme="minorEastAsia"/>
                <w:noProof/>
                <w:color w:val="auto"/>
                <w:lang w:eastAsia="en-AU"/>
              </w:rPr>
              <w:tab/>
            </w:r>
            <w:r w:rsidR="00750AC5" w:rsidRPr="00453730">
              <w:rPr>
                <w:rStyle w:val="Hyperlink"/>
                <w:noProof/>
              </w:rPr>
              <w:t>Soft Subgrades</w:t>
            </w:r>
            <w:r w:rsidR="00750AC5">
              <w:rPr>
                <w:noProof/>
                <w:webHidden/>
              </w:rPr>
              <w:tab/>
            </w:r>
            <w:r w:rsidR="00750AC5">
              <w:rPr>
                <w:noProof/>
                <w:webHidden/>
              </w:rPr>
              <w:fldChar w:fldCharType="begin"/>
            </w:r>
            <w:r w:rsidR="00750AC5">
              <w:rPr>
                <w:noProof/>
                <w:webHidden/>
              </w:rPr>
              <w:instrText xml:space="preserve"> PAGEREF _Toc48307157 \h </w:instrText>
            </w:r>
            <w:r w:rsidR="00750AC5">
              <w:rPr>
                <w:noProof/>
                <w:webHidden/>
              </w:rPr>
            </w:r>
            <w:r w:rsidR="00750AC5">
              <w:rPr>
                <w:noProof/>
                <w:webHidden/>
              </w:rPr>
              <w:fldChar w:fldCharType="separate"/>
            </w:r>
            <w:r w:rsidR="00750AC5">
              <w:rPr>
                <w:noProof/>
                <w:webHidden/>
              </w:rPr>
              <w:t>3</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58" w:history="1">
            <w:r w:rsidR="00750AC5" w:rsidRPr="00453730">
              <w:rPr>
                <w:rStyle w:val="Hyperlink"/>
                <w:noProof/>
              </w:rPr>
              <w:t>T15.6.4</w:t>
            </w:r>
            <w:r w:rsidR="00750AC5">
              <w:rPr>
                <w:rFonts w:eastAsiaTheme="minorEastAsia"/>
                <w:noProof/>
                <w:color w:val="auto"/>
                <w:lang w:eastAsia="en-AU"/>
              </w:rPr>
              <w:tab/>
            </w:r>
            <w:r w:rsidR="00750AC5" w:rsidRPr="00453730">
              <w:rPr>
                <w:rStyle w:val="Hyperlink"/>
                <w:noProof/>
              </w:rPr>
              <w:t>Rock Subgrades</w:t>
            </w:r>
            <w:r w:rsidR="00750AC5">
              <w:rPr>
                <w:noProof/>
                <w:webHidden/>
              </w:rPr>
              <w:tab/>
            </w:r>
            <w:r w:rsidR="00750AC5">
              <w:rPr>
                <w:noProof/>
                <w:webHidden/>
              </w:rPr>
              <w:fldChar w:fldCharType="begin"/>
            </w:r>
            <w:r w:rsidR="00750AC5">
              <w:rPr>
                <w:noProof/>
                <w:webHidden/>
              </w:rPr>
              <w:instrText xml:space="preserve"> PAGEREF _Toc48307158 \h </w:instrText>
            </w:r>
            <w:r w:rsidR="00750AC5">
              <w:rPr>
                <w:noProof/>
                <w:webHidden/>
              </w:rPr>
            </w:r>
            <w:r w:rsidR="00750AC5">
              <w:rPr>
                <w:noProof/>
                <w:webHidden/>
              </w:rPr>
              <w:fldChar w:fldCharType="separate"/>
            </w:r>
            <w:r w:rsidR="00750AC5">
              <w:rPr>
                <w:noProof/>
                <w:webHidden/>
              </w:rPr>
              <w:t>3</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59" w:history="1">
            <w:r w:rsidR="00750AC5" w:rsidRPr="00453730">
              <w:rPr>
                <w:rStyle w:val="Hyperlink"/>
                <w:noProof/>
              </w:rPr>
              <w:t>T15.7</w:t>
            </w:r>
            <w:r w:rsidR="00750AC5">
              <w:rPr>
                <w:rFonts w:eastAsiaTheme="minorEastAsia"/>
                <w:b w:val="0"/>
                <w:noProof/>
                <w:color w:val="auto"/>
                <w:lang w:eastAsia="en-AU"/>
              </w:rPr>
              <w:tab/>
            </w:r>
            <w:r w:rsidR="00750AC5" w:rsidRPr="00453730">
              <w:rPr>
                <w:rStyle w:val="Hyperlink"/>
                <w:noProof/>
              </w:rPr>
              <w:t>Specific Design Requirements</w:t>
            </w:r>
            <w:r w:rsidR="00750AC5">
              <w:rPr>
                <w:noProof/>
                <w:webHidden/>
              </w:rPr>
              <w:tab/>
            </w:r>
            <w:r w:rsidR="00750AC5">
              <w:rPr>
                <w:noProof/>
                <w:webHidden/>
              </w:rPr>
              <w:fldChar w:fldCharType="begin"/>
            </w:r>
            <w:r w:rsidR="00750AC5">
              <w:rPr>
                <w:noProof/>
                <w:webHidden/>
              </w:rPr>
              <w:instrText xml:space="preserve"> PAGEREF _Toc48307159 \h </w:instrText>
            </w:r>
            <w:r w:rsidR="00750AC5">
              <w:rPr>
                <w:noProof/>
                <w:webHidden/>
              </w:rPr>
            </w:r>
            <w:r w:rsidR="00750AC5">
              <w:rPr>
                <w:noProof/>
                <w:webHidden/>
              </w:rPr>
              <w:fldChar w:fldCharType="separate"/>
            </w:r>
            <w:r w:rsidR="00750AC5">
              <w:rPr>
                <w:noProof/>
                <w:webHidden/>
              </w:rPr>
              <w:t>4</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0" w:history="1">
            <w:r w:rsidR="00750AC5" w:rsidRPr="00453730">
              <w:rPr>
                <w:rStyle w:val="Hyperlink"/>
                <w:noProof/>
              </w:rPr>
              <w:t>T15.7.1</w:t>
            </w:r>
            <w:r w:rsidR="00750AC5">
              <w:rPr>
                <w:rFonts w:eastAsiaTheme="minorEastAsia"/>
                <w:noProof/>
                <w:color w:val="auto"/>
                <w:lang w:eastAsia="en-AU"/>
              </w:rPr>
              <w:tab/>
            </w:r>
            <w:r w:rsidR="00750AC5" w:rsidRPr="00453730">
              <w:rPr>
                <w:rStyle w:val="Hyperlink"/>
                <w:noProof/>
              </w:rPr>
              <w:t>Design Considerations</w:t>
            </w:r>
            <w:r w:rsidR="00750AC5">
              <w:rPr>
                <w:noProof/>
                <w:webHidden/>
              </w:rPr>
              <w:tab/>
            </w:r>
            <w:r w:rsidR="00750AC5">
              <w:rPr>
                <w:noProof/>
                <w:webHidden/>
              </w:rPr>
              <w:fldChar w:fldCharType="begin"/>
            </w:r>
            <w:r w:rsidR="00750AC5">
              <w:rPr>
                <w:noProof/>
                <w:webHidden/>
              </w:rPr>
              <w:instrText xml:space="preserve"> PAGEREF _Toc48307160 \h </w:instrText>
            </w:r>
            <w:r w:rsidR="00750AC5">
              <w:rPr>
                <w:noProof/>
                <w:webHidden/>
              </w:rPr>
            </w:r>
            <w:r w:rsidR="00750AC5">
              <w:rPr>
                <w:noProof/>
                <w:webHidden/>
              </w:rPr>
              <w:fldChar w:fldCharType="separate"/>
            </w:r>
            <w:r w:rsidR="00750AC5">
              <w:rPr>
                <w:noProof/>
                <w:webHidden/>
              </w:rPr>
              <w:t>4</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1" w:history="1">
            <w:r w:rsidR="00750AC5" w:rsidRPr="00453730">
              <w:rPr>
                <w:rStyle w:val="Hyperlink"/>
                <w:noProof/>
              </w:rPr>
              <w:t>T15.7.2</w:t>
            </w:r>
            <w:r w:rsidR="00750AC5">
              <w:rPr>
                <w:rFonts w:eastAsiaTheme="minorEastAsia"/>
                <w:noProof/>
                <w:color w:val="auto"/>
                <w:lang w:eastAsia="en-AU"/>
              </w:rPr>
              <w:tab/>
            </w:r>
            <w:r w:rsidR="00750AC5" w:rsidRPr="00453730">
              <w:rPr>
                <w:rStyle w:val="Hyperlink"/>
                <w:noProof/>
              </w:rPr>
              <w:t>Minimum Pavement Thickness</w:t>
            </w:r>
            <w:r w:rsidR="00750AC5">
              <w:rPr>
                <w:noProof/>
                <w:webHidden/>
              </w:rPr>
              <w:tab/>
            </w:r>
            <w:r w:rsidR="00750AC5">
              <w:rPr>
                <w:noProof/>
                <w:webHidden/>
              </w:rPr>
              <w:fldChar w:fldCharType="begin"/>
            </w:r>
            <w:r w:rsidR="00750AC5">
              <w:rPr>
                <w:noProof/>
                <w:webHidden/>
              </w:rPr>
              <w:instrText xml:space="preserve"> PAGEREF _Toc48307161 \h </w:instrText>
            </w:r>
            <w:r w:rsidR="00750AC5">
              <w:rPr>
                <w:noProof/>
                <w:webHidden/>
              </w:rPr>
            </w:r>
            <w:r w:rsidR="00750AC5">
              <w:rPr>
                <w:noProof/>
                <w:webHidden/>
              </w:rPr>
              <w:fldChar w:fldCharType="separate"/>
            </w:r>
            <w:r w:rsidR="00750AC5">
              <w:rPr>
                <w:noProof/>
                <w:webHidden/>
              </w:rPr>
              <w:t>5</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2" w:history="1">
            <w:r w:rsidR="00750AC5" w:rsidRPr="00453730">
              <w:rPr>
                <w:rStyle w:val="Hyperlink"/>
                <w:noProof/>
              </w:rPr>
              <w:t>T15.7.3</w:t>
            </w:r>
            <w:r w:rsidR="00750AC5">
              <w:rPr>
                <w:rFonts w:eastAsiaTheme="minorEastAsia"/>
                <w:noProof/>
                <w:color w:val="auto"/>
                <w:lang w:eastAsia="en-AU"/>
              </w:rPr>
              <w:tab/>
            </w:r>
            <w:r w:rsidR="00750AC5" w:rsidRPr="00453730">
              <w:rPr>
                <w:rStyle w:val="Hyperlink"/>
                <w:noProof/>
              </w:rPr>
              <w:t>Minimum Base Course Thickness</w:t>
            </w:r>
            <w:r w:rsidR="00750AC5">
              <w:rPr>
                <w:noProof/>
                <w:webHidden/>
              </w:rPr>
              <w:tab/>
            </w:r>
            <w:r w:rsidR="00750AC5">
              <w:rPr>
                <w:noProof/>
                <w:webHidden/>
              </w:rPr>
              <w:fldChar w:fldCharType="begin"/>
            </w:r>
            <w:r w:rsidR="00750AC5">
              <w:rPr>
                <w:noProof/>
                <w:webHidden/>
              </w:rPr>
              <w:instrText xml:space="preserve"> PAGEREF _Toc48307162 \h </w:instrText>
            </w:r>
            <w:r w:rsidR="00750AC5">
              <w:rPr>
                <w:noProof/>
                <w:webHidden/>
              </w:rPr>
            </w:r>
            <w:r w:rsidR="00750AC5">
              <w:rPr>
                <w:noProof/>
                <w:webHidden/>
              </w:rPr>
              <w:fldChar w:fldCharType="separate"/>
            </w:r>
            <w:r w:rsidR="00750AC5">
              <w:rPr>
                <w:noProof/>
                <w:webHidden/>
              </w:rPr>
              <w:t>5</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3" w:history="1">
            <w:r w:rsidR="00750AC5" w:rsidRPr="00453730">
              <w:rPr>
                <w:rStyle w:val="Hyperlink"/>
                <w:noProof/>
              </w:rPr>
              <w:t>T15.7.4</w:t>
            </w:r>
            <w:r w:rsidR="00750AC5">
              <w:rPr>
                <w:rFonts w:eastAsiaTheme="minorEastAsia"/>
                <w:noProof/>
                <w:color w:val="auto"/>
                <w:lang w:eastAsia="en-AU"/>
              </w:rPr>
              <w:tab/>
            </w:r>
            <w:r w:rsidR="00750AC5" w:rsidRPr="00453730">
              <w:rPr>
                <w:rStyle w:val="Hyperlink"/>
                <w:noProof/>
              </w:rPr>
              <w:t>Material Quality – Sealed Pavements</w:t>
            </w:r>
            <w:r w:rsidR="00750AC5">
              <w:rPr>
                <w:noProof/>
                <w:webHidden/>
              </w:rPr>
              <w:tab/>
            </w:r>
            <w:r w:rsidR="00750AC5">
              <w:rPr>
                <w:noProof/>
                <w:webHidden/>
              </w:rPr>
              <w:fldChar w:fldCharType="begin"/>
            </w:r>
            <w:r w:rsidR="00750AC5">
              <w:rPr>
                <w:noProof/>
                <w:webHidden/>
              </w:rPr>
              <w:instrText xml:space="preserve"> PAGEREF _Toc48307163 \h </w:instrText>
            </w:r>
            <w:r w:rsidR="00750AC5">
              <w:rPr>
                <w:noProof/>
                <w:webHidden/>
              </w:rPr>
            </w:r>
            <w:r w:rsidR="00750AC5">
              <w:rPr>
                <w:noProof/>
                <w:webHidden/>
              </w:rPr>
              <w:fldChar w:fldCharType="separate"/>
            </w:r>
            <w:r w:rsidR="00750AC5">
              <w:rPr>
                <w:noProof/>
                <w:webHidden/>
              </w:rPr>
              <w:t>5</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4" w:history="1">
            <w:r w:rsidR="00750AC5" w:rsidRPr="00453730">
              <w:rPr>
                <w:rStyle w:val="Hyperlink"/>
                <w:noProof/>
              </w:rPr>
              <w:t>T15.7.5</w:t>
            </w:r>
            <w:r w:rsidR="00750AC5">
              <w:rPr>
                <w:rFonts w:eastAsiaTheme="minorEastAsia"/>
                <w:noProof/>
                <w:color w:val="auto"/>
                <w:lang w:eastAsia="en-AU"/>
              </w:rPr>
              <w:tab/>
            </w:r>
            <w:r w:rsidR="00750AC5" w:rsidRPr="00453730">
              <w:rPr>
                <w:rStyle w:val="Hyperlink"/>
                <w:noProof/>
              </w:rPr>
              <w:t>Material Quality – Unsealed Pavements</w:t>
            </w:r>
            <w:r w:rsidR="00750AC5">
              <w:rPr>
                <w:noProof/>
                <w:webHidden/>
              </w:rPr>
              <w:tab/>
            </w:r>
            <w:r w:rsidR="00750AC5">
              <w:rPr>
                <w:noProof/>
                <w:webHidden/>
              </w:rPr>
              <w:fldChar w:fldCharType="begin"/>
            </w:r>
            <w:r w:rsidR="00750AC5">
              <w:rPr>
                <w:noProof/>
                <w:webHidden/>
              </w:rPr>
              <w:instrText xml:space="preserve"> PAGEREF _Toc48307164 \h </w:instrText>
            </w:r>
            <w:r w:rsidR="00750AC5">
              <w:rPr>
                <w:noProof/>
                <w:webHidden/>
              </w:rPr>
            </w:r>
            <w:r w:rsidR="00750AC5">
              <w:rPr>
                <w:noProof/>
                <w:webHidden/>
              </w:rPr>
              <w:fldChar w:fldCharType="separate"/>
            </w:r>
            <w:r w:rsidR="00750AC5">
              <w:rPr>
                <w:noProof/>
                <w:webHidden/>
              </w:rPr>
              <w:t>5</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5" w:history="1">
            <w:r w:rsidR="00750AC5" w:rsidRPr="00453730">
              <w:rPr>
                <w:rStyle w:val="Hyperlink"/>
                <w:noProof/>
                <w:lang w:val="en-GB"/>
              </w:rPr>
              <w:t>T15.7.6</w:t>
            </w:r>
            <w:r w:rsidR="00750AC5">
              <w:rPr>
                <w:rFonts w:eastAsiaTheme="minorEastAsia"/>
                <w:noProof/>
                <w:color w:val="auto"/>
                <w:lang w:eastAsia="en-AU"/>
              </w:rPr>
              <w:tab/>
            </w:r>
            <w:r w:rsidR="00750AC5" w:rsidRPr="00453730">
              <w:rPr>
                <w:rStyle w:val="Hyperlink"/>
                <w:noProof/>
                <w:lang w:val="en-GB"/>
              </w:rPr>
              <w:t>Non-standard Granular Materials</w:t>
            </w:r>
            <w:r w:rsidR="00750AC5">
              <w:rPr>
                <w:noProof/>
                <w:webHidden/>
              </w:rPr>
              <w:tab/>
            </w:r>
            <w:r w:rsidR="00750AC5">
              <w:rPr>
                <w:noProof/>
                <w:webHidden/>
              </w:rPr>
              <w:fldChar w:fldCharType="begin"/>
            </w:r>
            <w:r w:rsidR="00750AC5">
              <w:rPr>
                <w:noProof/>
                <w:webHidden/>
              </w:rPr>
              <w:instrText xml:space="preserve"> PAGEREF _Toc48307165 \h </w:instrText>
            </w:r>
            <w:r w:rsidR="00750AC5">
              <w:rPr>
                <w:noProof/>
                <w:webHidden/>
              </w:rPr>
            </w:r>
            <w:r w:rsidR="00750AC5">
              <w:rPr>
                <w:noProof/>
                <w:webHidden/>
              </w:rPr>
              <w:fldChar w:fldCharType="separate"/>
            </w:r>
            <w:r w:rsidR="00750AC5">
              <w:rPr>
                <w:noProof/>
                <w:webHidden/>
              </w:rPr>
              <w:t>6</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6" w:history="1">
            <w:r w:rsidR="00750AC5" w:rsidRPr="00453730">
              <w:rPr>
                <w:rStyle w:val="Hyperlink"/>
                <w:noProof/>
              </w:rPr>
              <w:t>T15.7.7</w:t>
            </w:r>
            <w:r w:rsidR="00750AC5">
              <w:rPr>
                <w:rFonts w:eastAsiaTheme="minorEastAsia"/>
                <w:noProof/>
                <w:color w:val="auto"/>
                <w:lang w:eastAsia="en-AU"/>
              </w:rPr>
              <w:tab/>
            </w:r>
            <w:r w:rsidR="00750AC5" w:rsidRPr="00453730">
              <w:rPr>
                <w:rStyle w:val="Hyperlink"/>
                <w:noProof/>
              </w:rPr>
              <w:t>Asphalt Pavements</w:t>
            </w:r>
            <w:r w:rsidR="00750AC5">
              <w:rPr>
                <w:noProof/>
                <w:webHidden/>
              </w:rPr>
              <w:tab/>
            </w:r>
            <w:r w:rsidR="00750AC5">
              <w:rPr>
                <w:noProof/>
                <w:webHidden/>
              </w:rPr>
              <w:fldChar w:fldCharType="begin"/>
            </w:r>
            <w:r w:rsidR="00750AC5">
              <w:rPr>
                <w:noProof/>
                <w:webHidden/>
              </w:rPr>
              <w:instrText xml:space="preserve"> PAGEREF _Toc48307166 \h </w:instrText>
            </w:r>
            <w:r w:rsidR="00750AC5">
              <w:rPr>
                <w:noProof/>
                <w:webHidden/>
              </w:rPr>
            </w:r>
            <w:r w:rsidR="00750AC5">
              <w:rPr>
                <w:noProof/>
                <w:webHidden/>
              </w:rPr>
              <w:fldChar w:fldCharType="separate"/>
            </w:r>
            <w:r w:rsidR="00750AC5">
              <w:rPr>
                <w:noProof/>
                <w:webHidden/>
              </w:rPr>
              <w:t>6</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7" w:history="1">
            <w:r w:rsidR="00750AC5" w:rsidRPr="00453730">
              <w:rPr>
                <w:rStyle w:val="Hyperlink"/>
                <w:noProof/>
              </w:rPr>
              <w:t>T15.7.8</w:t>
            </w:r>
            <w:r w:rsidR="00750AC5">
              <w:rPr>
                <w:rFonts w:eastAsiaTheme="minorEastAsia"/>
                <w:noProof/>
                <w:color w:val="auto"/>
                <w:lang w:eastAsia="en-AU"/>
              </w:rPr>
              <w:tab/>
            </w:r>
            <w:r w:rsidR="00750AC5" w:rsidRPr="00453730">
              <w:rPr>
                <w:rStyle w:val="Hyperlink"/>
                <w:noProof/>
              </w:rPr>
              <w:t>Temporary Pavements</w:t>
            </w:r>
            <w:r w:rsidR="00750AC5">
              <w:rPr>
                <w:noProof/>
                <w:webHidden/>
              </w:rPr>
              <w:tab/>
            </w:r>
            <w:r w:rsidR="00750AC5">
              <w:rPr>
                <w:noProof/>
                <w:webHidden/>
              </w:rPr>
              <w:fldChar w:fldCharType="begin"/>
            </w:r>
            <w:r w:rsidR="00750AC5">
              <w:rPr>
                <w:noProof/>
                <w:webHidden/>
              </w:rPr>
              <w:instrText xml:space="preserve"> PAGEREF _Toc48307167 \h </w:instrText>
            </w:r>
            <w:r w:rsidR="00750AC5">
              <w:rPr>
                <w:noProof/>
                <w:webHidden/>
              </w:rPr>
            </w:r>
            <w:r w:rsidR="00750AC5">
              <w:rPr>
                <w:noProof/>
                <w:webHidden/>
              </w:rPr>
              <w:fldChar w:fldCharType="separate"/>
            </w:r>
            <w:r w:rsidR="00750AC5">
              <w:rPr>
                <w:noProof/>
                <w:webHidden/>
              </w:rPr>
              <w:t>6</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8" w:history="1">
            <w:r w:rsidR="00750AC5" w:rsidRPr="00453730">
              <w:rPr>
                <w:rStyle w:val="Hyperlink"/>
                <w:noProof/>
                <w:lang w:val="en-GB"/>
              </w:rPr>
              <w:t>T15.7.9</w:t>
            </w:r>
            <w:r w:rsidR="00750AC5">
              <w:rPr>
                <w:rFonts w:eastAsiaTheme="minorEastAsia"/>
                <w:noProof/>
                <w:color w:val="auto"/>
                <w:lang w:eastAsia="en-AU"/>
              </w:rPr>
              <w:tab/>
            </w:r>
            <w:r w:rsidR="00750AC5" w:rsidRPr="00453730">
              <w:rPr>
                <w:rStyle w:val="Hyperlink"/>
                <w:noProof/>
                <w:lang w:val="en-GB"/>
              </w:rPr>
              <w:t>Other Pavement Design Considerations</w:t>
            </w:r>
            <w:r w:rsidR="00750AC5">
              <w:rPr>
                <w:noProof/>
                <w:webHidden/>
              </w:rPr>
              <w:tab/>
            </w:r>
            <w:r w:rsidR="00750AC5">
              <w:rPr>
                <w:noProof/>
                <w:webHidden/>
              </w:rPr>
              <w:fldChar w:fldCharType="begin"/>
            </w:r>
            <w:r w:rsidR="00750AC5">
              <w:rPr>
                <w:noProof/>
                <w:webHidden/>
              </w:rPr>
              <w:instrText xml:space="preserve"> PAGEREF _Toc48307168 \h </w:instrText>
            </w:r>
            <w:r w:rsidR="00750AC5">
              <w:rPr>
                <w:noProof/>
                <w:webHidden/>
              </w:rPr>
            </w:r>
            <w:r w:rsidR="00750AC5">
              <w:rPr>
                <w:noProof/>
                <w:webHidden/>
              </w:rPr>
              <w:fldChar w:fldCharType="separate"/>
            </w:r>
            <w:r w:rsidR="00750AC5">
              <w:rPr>
                <w:noProof/>
                <w:webHidden/>
              </w:rPr>
              <w:t>6</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69" w:history="1">
            <w:r w:rsidR="00750AC5" w:rsidRPr="00453730">
              <w:rPr>
                <w:rStyle w:val="Hyperlink"/>
                <w:noProof/>
                <w:lang w:val="en-GB"/>
              </w:rPr>
              <w:t>T15.7.10</w:t>
            </w:r>
            <w:r w:rsidR="00750AC5">
              <w:rPr>
                <w:rFonts w:eastAsiaTheme="minorEastAsia"/>
                <w:noProof/>
                <w:color w:val="auto"/>
                <w:lang w:eastAsia="en-AU"/>
              </w:rPr>
              <w:tab/>
            </w:r>
            <w:r w:rsidR="00750AC5" w:rsidRPr="00453730">
              <w:rPr>
                <w:rStyle w:val="Hyperlink"/>
                <w:noProof/>
                <w:lang w:val="en-GB"/>
              </w:rPr>
              <w:t>Economics of Construction</w:t>
            </w:r>
            <w:r w:rsidR="00750AC5">
              <w:rPr>
                <w:noProof/>
                <w:webHidden/>
              </w:rPr>
              <w:tab/>
            </w:r>
            <w:r w:rsidR="00750AC5">
              <w:rPr>
                <w:noProof/>
                <w:webHidden/>
              </w:rPr>
              <w:fldChar w:fldCharType="begin"/>
            </w:r>
            <w:r w:rsidR="00750AC5">
              <w:rPr>
                <w:noProof/>
                <w:webHidden/>
              </w:rPr>
              <w:instrText xml:space="preserve"> PAGEREF _Toc48307169 \h </w:instrText>
            </w:r>
            <w:r w:rsidR="00750AC5">
              <w:rPr>
                <w:noProof/>
                <w:webHidden/>
              </w:rPr>
            </w:r>
            <w:r w:rsidR="00750AC5">
              <w:rPr>
                <w:noProof/>
                <w:webHidden/>
              </w:rPr>
              <w:fldChar w:fldCharType="separate"/>
            </w:r>
            <w:r w:rsidR="00750AC5">
              <w:rPr>
                <w:noProof/>
                <w:webHidden/>
              </w:rPr>
              <w:t>7</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70" w:history="1">
            <w:r w:rsidR="00750AC5" w:rsidRPr="00453730">
              <w:rPr>
                <w:rStyle w:val="Hyperlink"/>
                <w:noProof/>
              </w:rPr>
              <w:t>T15.8</w:t>
            </w:r>
            <w:r w:rsidR="00750AC5">
              <w:rPr>
                <w:rFonts w:eastAsiaTheme="minorEastAsia"/>
                <w:b w:val="0"/>
                <w:noProof/>
                <w:color w:val="auto"/>
                <w:lang w:eastAsia="en-AU"/>
              </w:rPr>
              <w:tab/>
            </w:r>
            <w:r w:rsidR="00750AC5" w:rsidRPr="00453730">
              <w:rPr>
                <w:rStyle w:val="Hyperlink"/>
                <w:noProof/>
              </w:rPr>
              <w:t>Stabilised Materials</w:t>
            </w:r>
            <w:r w:rsidR="00750AC5">
              <w:rPr>
                <w:noProof/>
                <w:webHidden/>
              </w:rPr>
              <w:tab/>
            </w:r>
            <w:r w:rsidR="00750AC5">
              <w:rPr>
                <w:noProof/>
                <w:webHidden/>
              </w:rPr>
              <w:fldChar w:fldCharType="begin"/>
            </w:r>
            <w:r w:rsidR="00750AC5">
              <w:rPr>
                <w:noProof/>
                <w:webHidden/>
              </w:rPr>
              <w:instrText xml:space="preserve"> PAGEREF _Toc48307170 \h </w:instrText>
            </w:r>
            <w:r w:rsidR="00750AC5">
              <w:rPr>
                <w:noProof/>
                <w:webHidden/>
              </w:rPr>
            </w:r>
            <w:r w:rsidR="00750AC5">
              <w:rPr>
                <w:noProof/>
                <w:webHidden/>
              </w:rPr>
              <w:fldChar w:fldCharType="separate"/>
            </w:r>
            <w:r w:rsidR="00750AC5">
              <w:rPr>
                <w:noProof/>
                <w:webHidden/>
              </w:rPr>
              <w:t>7</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71" w:history="1">
            <w:r w:rsidR="00750AC5" w:rsidRPr="00453730">
              <w:rPr>
                <w:rStyle w:val="Hyperlink"/>
                <w:noProof/>
              </w:rPr>
              <w:t>T15.8.1</w:t>
            </w:r>
            <w:r w:rsidR="00750AC5">
              <w:rPr>
                <w:rFonts w:eastAsiaTheme="minorEastAsia"/>
                <w:noProof/>
                <w:color w:val="auto"/>
                <w:lang w:eastAsia="en-AU"/>
              </w:rPr>
              <w:tab/>
            </w:r>
            <w:r w:rsidR="00750AC5" w:rsidRPr="00453730">
              <w:rPr>
                <w:rStyle w:val="Hyperlink"/>
                <w:noProof/>
              </w:rPr>
              <w:t>Key Considerations</w:t>
            </w:r>
            <w:r w:rsidR="00750AC5">
              <w:rPr>
                <w:noProof/>
                <w:webHidden/>
              </w:rPr>
              <w:tab/>
            </w:r>
            <w:r w:rsidR="00750AC5">
              <w:rPr>
                <w:noProof/>
                <w:webHidden/>
              </w:rPr>
              <w:fldChar w:fldCharType="begin"/>
            </w:r>
            <w:r w:rsidR="00750AC5">
              <w:rPr>
                <w:noProof/>
                <w:webHidden/>
              </w:rPr>
              <w:instrText xml:space="preserve"> PAGEREF _Toc48307171 \h </w:instrText>
            </w:r>
            <w:r w:rsidR="00750AC5">
              <w:rPr>
                <w:noProof/>
                <w:webHidden/>
              </w:rPr>
            </w:r>
            <w:r w:rsidR="00750AC5">
              <w:rPr>
                <w:noProof/>
                <w:webHidden/>
              </w:rPr>
              <w:fldChar w:fldCharType="separate"/>
            </w:r>
            <w:r w:rsidR="00750AC5">
              <w:rPr>
                <w:noProof/>
                <w:webHidden/>
              </w:rPr>
              <w:t>7</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72" w:history="1">
            <w:r w:rsidR="00750AC5" w:rsidRPr="00453730">
              <w:rPr>
                <w:rStyle w:val="Hyperlink"/>
                <w:noProof/>
              </w:rPr>
              <w:t>T15.8.2</w:t>
            </w:r>
            <w:r w:rsidR="00750AC5">
              <w:rPr>
                <w:rFonts w:eastAsiaTheme="minorEastAsia"/>
                <w:noProof/>
                <w:color w:val="auto"/>
                <w:lang w:eastAsia="en-AU"/>
              </w:rPr>
              <w:tab/>
            </w:r>
            <w:r w:rsidR="00750AC5" w:rsidRPr="00453730">
              <w:rPr>
                <w:rStyle w:val="Hyperlink"/>
                <w:noProof/>
              </w:rPr>
              <w:t>Minimum Cover over Stabilised Materials</w:t>
            </w:r>
            <w:r w:rsidR="00750AC5">
              <w:rPr>
                <w:noProof/>
                <w:webHidden/>
              </w:rPr>
              <w:tab/>
            </w:r>
            <w:r w:rsidR="00750AC5">
              <w:rPr>
                <w:noProof/>
                <w:webHidden/>
              </w:rPr>
              <w:fldChar w:fldCharType="begin"/>
            </w:r>
            <w:r w:rsidR="00750AC5">
              <w:rPr>
                <w:noProof/>
                <w:webHidden/>
              </w:rPr>
              <w:instrText xml:space="preserve"> PAGEREF _Toc48307172 \h </w:instrText>
            </w:r>
            <w:r w:rsidR="00750AC5">
              <w:rPr>
                <w:noProof/>
                <w:webHidden/>
              </w:rPr>
            </w:r>
            <w:r w:rsidR="00750AC5">
              <w:rPr>
                <w:noProof/>
                <w:webHidden/>
              </w:rPr>
              <w:fldChar w:fldCharType="separate"/>
            </w:r>
            <w:r w:rsidR="00750AC5">
              <w:rPr>
                <w:noProof/>
                <w:webHidden/>
              </w:rPr>
              <w:t>7</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73" w:history="1">
            <w:r w:rsidR="00750AC5" w:rsidRPr="00453730">
              <w:rPr>
                <w:rStyle w:val="Hyperlink"/>
                <w:noProof/>
              </w:rPr>
              <w:t>T15.8.3</w:t>
            </w:r>
            <w:r w:rsidR="00750AC5">
              <w:rPr>
                <w:rFonts w:eastAsiaTheme="minorEastAsia"/>
                <w:noProof/>
                <w:color w:val="auto"/>
                <w:lang w:eastAsia="en-AU"/>
              </w:rPr>
              <w:tab/>
            </w:r>
            <w:r w:rsidR="00750AC5" w:rsidRPr="00453730">
              <w:rPr>
                <w:rStyle w:val="Hyperlink"/>
                <w:noProof/>
              </w:rPr>
              <w:t>Pavement Layer Thickness</w:t>
            </w:r>
            <w:r w:rsidR="00750AC5">
              <w:rPr>
                <w:noProof/>
                <w:webHidden/>
              </w:rPr>
              <w:tab/>
            </w:r>
            <w:r w:rsidR="00750AC5">
              <w:rPr>
                <w:noProof/>
                <w:webHidden/>
              </w:rPr>
              <w:fldChar w:fldCharType="begin"/>
            </w:r>
            <w:r w:rsidR="00750AC5">
              <w:rPr>
                <w:noProof/>
                <w:webHidden/>
              </w:rPr>
              <w:instrText xml:space="preserve"> PAGEREF _Toc48307173 \h </w:instrText>
            </w:r>
            <w:r w:rsidR="00750AC5">
              <w:rPr>
                <w:noProof/>
                <w:webHidden/>
              </w:rPr>
            </w:r>
            <w:r w:rsidR="00750AC5">
              <w:rPr>
                <w:noProof/>
                <w:webHidden/>
              </w:rPr>
              <w:fldChar w:fldCharType="separate"/>
            </w:r>
            <w:r w:rsidR="00750AC5">
              <w:rPr>
                <w:noProof/>
                <w:webHidden/>
              </w:rPr>
              <w:t>7</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74" w:history="1">
            <w:r w:rsidR="00750AC5" w:rsidRPr="00453730">
              <w:rPr>
                <w:rStyle w:val="Hyperlink"/>
                <w:noProof/>
              </w:rPr>
              <w:t>T15.8.4</w:t>
            </w:r>
            <w:r w:rsidR="00750AC5">
              <w:rPr>
                <w:rFonts w:eastAsiaTheme="minorEastAsia"/>
                <w:noProof/>
                <w:color w:val="auto"/>
                <w:lang w:eastAsia="en-AU"/>
              </w:rPr>
              <w:tab/>
            </w:r>
            <w:r w:rsidR="00750AC5" w:rsidRPr="00453730">
              <w:rPr>
                <w:rStyle w:val="Hyperlink"/>
                <w:noProof/>
              </w:rPr>
              <w:t>Cracking</w:t>
            </w:r>
            <w:r w:rsidR="00750AC5">
              <w:rPr>
                <w:noProof/>
                <w:webHidden/>
              </w:rPr>
              <w:tab/>
            </w:r>
            <w:r w:rsidR="00750AC5">
              <w:rPr>
                <w:noProof/>
                <w:webHidden/>
              </w:rPr>
              <w:fldChar w:fldCharType="begin"/>
            </w:r>
            <w:r w:rsidR="00750AC5">
              <w:rPr>
                <w:noProof/>
                <w:webHidden/>
              </w:rPr>
              <w:instrText xml:space="preserve"> PAGEREF _Toc48307174 \h </w:instrText>
            </w:r>
            <w:r w:rsidR="00750AC5">
              <w:rPr>
                <w:noProof/>
                <w:webHidden/>
              </w:rPr>
            </w:r>
            <w:r w:rsidR="00750AC5">
              <w:rPr>
                <w:noProof/>
                <w:webHidden/>
              </w:rPr>
              <w:fldChar w:fldCharType="separate"/>
            </w:r>
            <w:r w:rsidR="00750AC5">
              <w:rPr>
                <w:noProof/>
                <w:webHidden/>
              </w:rPr>
              <w:t>8</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75" w:history="1">
            <w:r w:rsidR="00750AC5" w:rsidRPr="00453730">
              <w:rPr>
                <w:rStyle w:val="Hyperlink"/>
                <w:noProof/>
              </w:rPr>
              <w:t>T15.9</w:t>
            </w:r>
            <w:r w:rsidR="00750AC5">
              <w:rPr>
                <w:rFonts w:eastAsiaTheme="minorEastAsia"/>
                <w:b w:val="0"/>
                <w:noProof/>
                <w:color w:val="auto"/>
                <w:lang w:eastAsia="en-AU"/>
              </w:rPr>
              <w:tab/>
            </w:r>
            <w:r w:rsidR="00750AC5" w:rsidRPr="00453730">
              <w:rPr>
                <w:rStyle w:val="Hyperlink"/>
                <w:noProof/>
              </w:rPr>
              <w:t>Shoulders</w:t>
            </w:r>
            <w:r w:rsidR="00750AC5">
              <w:rPr>
                <w:noProof/>
                <w:webHidden/>
              </w:rPr>
              <w:tab/>
            </w:r>
            <w:r w:rsidR="00750AC5">
              <w:rPr>
                <w:noProof/>
                <w:webHidden/>
              </w:rPr>
              <w:fldChar w:fldCharType="begin"/>
            </w:r>
            <w:r w:rsidR="00750AC5">
              <w:rPr>
                <w:noProof/>
                <w:webHidden/>
              </w:rPr>
              <w:instrText xml:space="preserve"> PAGEREF _Toc48307175 \h </w:instrText>
            </w:r>
            <w:r w:rsidR="00750AC5">
              <w:rPr>
                <w:noProof/>
                <w:webHidden/>
              </w:rPr>
            </w:r>
            <w:r w:rsidR="00750AC5">
              <w:rPr>
                <w:noProof/>
                <w:webHidden/>
              </w:rPr>
              <w:fldChar w:fldCharType="separate"/>
            </w:r>
            <w:r w:rsidR="00750AC5">
              <w:rPr>
                <w:noProof/>
                <w:webHidden/>
              </w:rPr>
              <w:t>8</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76" w:history="1">
            <w:r w:rsidR="00750AC5" w:rsidRPr="00453730">
              <w:rPr>
                <w:rStyle w:val="Hyperlink"/>
                <w:noProof/>
              </w:rPr>
              <w:t>T15.10</w:t>
            </w:r>
            <w:r w:rsidR="00750AC5">
              <w:rPr>
                <w:rFonts w:eastAsiaTheme="minorEastAsia"/>
                <w:b w:val="0"/>
                <w:noProof/>
                <w:color w:val="auto"/>
                <w:lang w:eastAsia="en-AU"/>
              </w:rPr>
              <w:tab/>
            </w:r>
            <w:r w:rsidR="00750AC5" w:rsidRPr="00453730">
              <w:rPr>
                <w:rStyle w:val="Hyperlink"/>
                <w:noProof/>
              </w:rPr>
              <w:t>Pavement Drainage</w:t>
            </w:r>
            <w:r w:rsidR="00750AC5">
              <w:rPr>
                <w:noProof/>
                <w:webHidden/>
              </w:rPr>
              <w:tab/>
            </w:r>
            <w:r w:rsidR="00750AC5">
              <w:rPr>
                <w:noProof/>
                <w:webHidden/>
              </w:rPr>
              <w:fldChar w:fldCharType="begin"/>
            </w:r>
            <w:r w:rsidR="00750AC5">
              <w:rPr>
                <w:noProof/>
                <w:webHidden/>
              </w:rPr>
              <w:instrText xml:space="preserve"> PAGEREF _Toc48307176 \h </w:instrText>
            </w:r>
            <w:r w:rsidR="00750AC5">
              <w:rPr>
                <w:noProof/>
                <w:webHidden/>
              </w:rPr>
            </w:r>
            <w:r w:rsidR="00750AC5">
              <w:rPr>
                <w:noProof/>
                <w:webHidden/>
              </w:rPr>
              <w:fldChar w:fldCharType="separate"/>
            </w:r>
            <w:r w:rsidR="00750AC5">
              <w:rPr>
                <w:noProof/>
                <w:webHidden/>
              </w:rPr>
              <w:t>8</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77" w:history="1">
            <w:r w:rsidR="00750AC5" w:rsidRPr="00453730">
              <w:rPr>
                <w:rStyle w:val="Hyperlink"/>
                <w:noProof/>
              </w:rPr>
              <w:t>T15.10.1</w:t>
            </w:r>
            <w:r w:rsidR="00750AC5">
              <w:rPr>
                <w:rFonts w:eastAsiaTheme="minorEastAsia"/>
                <w:noProof/>
                <w:color w:val="auto"/>
                <w:lang w:eastAsia="en-AU"/>
              </w:rPr>
              <w:tab/>
            </w:r>
            <w:r w:rsidR="00750AC5" w:rsidRPr="00453730">
              <w:rPr>
                <w:rStyle w:val="Hyperlink"/>
                <w:noProof/>
              </w:rPr>
              <w:t>Sub-surface Drainage</w:t>
            </w:r>
            <w:r w:rsidR="00750AC5">
              <w:rPr>
                <w:noProof/>
                <w:webHidden/>
              </w:rPr>
              <w:tab/>
            </w:r>
            <w:r w:rsidR="00750AC5">
              <w:rPr>
                <w:noProof/>
                <w:webHidden/>
              </w:rPr>
              <w:fldChar w:fldCharType="begin"/>
            </w:r>
            <w:r w:rsidR="00750AC5">
              <w:rPr>
                <w:noProof/>
                <w:webHidden/>
              </w:rPr>
              <w:instrText xml:space="preserve"> PAGEREF _Toc48307177 \h </w:instrText>
            </w:r>
            <w:r w:rsidR="00750AC5">
              <w:rPr>
                <w:noProof/>
                <w:webHidden/>
              </w:rPr>
            </w:r>
            <w:r w:rsidR="00750AC5">
              <w:rPr>
                <w:noProof/>
                <w:webHidden/>
              </w:rPr>
              <w:fldChar w:fldCharType="separate"/>
            </w:r>
            <w:r w:rsidR="00750AC5">
              <w:rPr>
                <w:noProof/>
                <w:webHidden/>
              </w:rPr>
              <w:t>8</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78" w:history="1">
            <w:r w:rsidR="00750AC5" w:rsidRPr="00453730">
              <w:rPr>
                <w:rStyle w:val="Hyperlink"/>
                <w:noProof/>
              </w:rPr>
              <w:t>T15.10.2</w:t>
            </w:r>
            <w:r w:rsidR="00750AC5">
              <w:rPr>
                <w:rFonts w:eastAsiaTheme="minorEastAsia"/>
                <w:noProof/>
                <w:color w:val="auto"/>
                <w:lang w:eastAsia="en-AU"/>
              </w:rPr>
              <w:tab/>
            </w:r>
            <w:r w:rsidR="00750AC5" w:rsidRPr="00453730">
              <w:rPr>
                <w:rStyle w:val="Hyperlink"/>
                <w:noProof/>
              </w:rPr>
              <w:t>Surface Drainage</w:t>
            </w:r>
            <w:r w:rsidR="00750AC5">
              <w:rPr>
                <w:noProof/>
                <w:webHidden/>
              </w:rPr>
              <w:tab/>
            </w:r>
            <w:r w:rsidR="00750AC5">
              <w:rPr>
                <w:noProof/>
                <w:webHidden/>
              </w:rPr>
              <w:fldChar w:fldCharType="begin"/>
            </w:r>
            <w:r w:rsidR="00750AC5">
              <w:rPr>
                <w:noProof/>
                <w:webHidden/>
              </w:rPr>
              <w:instrText xml:space="preserve"> PAGEREF _Toc48307178 \h </w:instrText>
            </w:r>
            <w:r w:rsidR="00750AC5">
              <w:rPr>
                <w:noProof/>
                <w:webHidden/>
              </w:rPr>
            </w:r>
            <w:r w:rsidR="00750AC5">
              <w:rPr>
                <w:noProof/>
                <w:webHidden/>
              </w:rPr>
              <w:fldChar w:fldCharType="separate"/>
            </w:r>
            <w:r w:rsidR="00750AC5">
              <w:rPr>
                <w:noProof/>
                <w:webHidden/>
              </w:rPr>
              <w:t>8</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79" w:history="1">
            <w:r w:rsidR="00750AC5" w:rsidRPr="00453730">
              <w:rPr>
                <w:rStyle w:val="Hyperlink"/>
                <w:noProof/>
              </w:rPr>
              <w:t>T15.11</w:t>
            </w:r>
            <w:r w:rsidR="00750AC5">
              <w:rPr>
                <w:rFonts w:eastAsiaTheme="minorEastAsia"/>
                <w:b w:val="0"/>
                <w:noProof/>
                <w:color w:val="auto"/>
                <w:lang w:eastAsia="en-AU"/>
              </w:rPr>
              <w:tab/>
            </w:r>
            <w:r w:rsidR="00750AC5" w:rsidRPr="00453730">
              <w:rPr>
                <w:rStyle w:val="Hyperlink"/>
                <w:noProof/>
              </w:rPr>
              <w:t>Bituminous Surfacing Selection</w:t>
            </w:r>
            <w:r w:rsidR="00750AC5">
              <w:rPr>
                <w:noProof/>
                <w:webHidden/>
              </w:rPr>
              <w:tab/>
            </w:r>
            <w:r w:rsidR="00750AC5">
              <w:rPr>
                <w:noProof/>
                <w:webHidden/>
              </w:rPr>
              <w:fldChar w:fldCharType="begin"/>
            </w:r>
            <w:r w:rsidR="00750AC5">
              <w:rPr>
                <w:noProof/>
                <w:webHidden/>
              </w:rPr>
              <w:instrText xml:space="preserve"> PAGEREF _Toc48307179 \h </w:instrText>
            </w:r>
            <w:r w:rsidR="00750AC5">
              <w:rPr>
                <w:noProof/>
                <w:webHidden/>
              </w:rPr>
            </w:r>
            <w:r w:rsidR="00750AC5">
              <w:rPr>
                <w:noProof/>
                <w:webHidden/>
              </w:rPr>
              <w:fldChar w:fldCharType="separate"/>
            </w:r>
            <w:r w:rsidR="00750AC5">
              <w:rPr>
                <w:noProof/>
                <w:webHidden/>
              </w:rPr>
              <w:t>8</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80" w:history="1">
            <w:r w:rsidR="00750AC5" w:rsidRPr="00453730">
              <w:rPr>
                <w:rStyle w:val="Hyperlink"/>
                <w:noProof/>
              </w:rPr>
              <w:t>T15.12</w:t>
            </w:r>
            <w:r w:rsidR="00750AC5">
              <w:rPr>
                <w:rFonts w:eastAsiaTheme="minorEastAsia"/>
                <w:b w:val="0"/>
                <w:noProof/>
                <w:color w:val="auto"/>
                <w:lang w:eastAsia="en-AU"/>
              </w:rPr>
              <w:tab/>
            </w:r>
            <w:r w:rsidR="00750AC5" w:rsidRPr="00453730">
              <w:rPr>
                <w:rStyle w:val="Hyperlink"/>
                <w:noProof/>
              </w:rPr>
              <w:t>Construction and Maintenance</w:t>
            </w:r>
            <w:r w:rsidR="00750AC5">
              <w:rPr>
                <w:noProof/>
                <w:webHidden/>
              </w:rPr>
              <w:tab/>
            </w:r>
            <w:r w:rsidR="00750AC5">
              <w:rPr>
                <w:noProof/>
                <w:webHidden/>
              </w:rPr>
              <w:fldChar w:fldCharType="begin"/>
            </w:r>
            <w:r w:rsidR="00750AC5">
              <w:rPr>
                <w:noProof/>
                <w:webHidden/>
              </w:rPr>
              <w:instrText xml:space="preserve"> PAGEREF _Toc48307180 \h </w:instrText>
            </w:r>
            <w:r w:rsidR="00750AC5">
              <w:rPr>
                <w:noProof/>
                <w:webHidden/>
              </w:rPr>
            </w:r>
            <w:r w:rsidR="00750AC5">
              <w:rPr>
                <w:noProof/>
                <w:webHidden/>
              </w:rPr>
              <w:fldChar w:fldCharType="separate"/>
            </w:r>
            <w:r w:rsidR="00750AC5">
              <w:rPr>
                <w:noProof/>
                <w:webHidden/>
              </w:rPr>
              <w:t>9</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81" w:history="1">
            <w:r w:rsidR="00750AC5" w:rsidRPr="00453730">
              <w:rPr>
                <w:rStyle w:val="Hyperlink"/>
                <w:noProof/>
              </w:rPr>
              <w:t>T15.13</w:t>
            </w:r>
            <w:r w:rsidR="00750AC5">
              <w:rPr>
                <w:rFonts w:eastAsiaTheme="minorEastAsia"/>
                <w:b w:val="0"/>
                <w:noProof/>
                <w:color w:val="auto"/>
                <w:lang w:eastAsia="en-AU"/>
              </w:rPr>
              <w:tab/>
            </w:r>
            <w:r w:rsidR="00750AC5" w:rsidRPr="00453730">
              <w:rPr>
                <w:rStyle w:val="Hyperlink"/>
                <w:noProof/>
              </w:rPr>
              <w:t>Specification</w:t>
            </w:r>
            <w:r w:rsidR="00750AC5">
              <w:rPr>
                <w:noProof/>
                <w:webHidden/>
              </w:rPr>
              <w:tab/>
            </w:r>
            <w:r w:rsidR="00750AC5">
              <w:rPr>
                <w:noProof/>
                <w:webHidden/>
              </w:rPr>
              <w:fldChar w:fldCharType="begin"/>
            </w:r>
            <w:r w:rsidR="00750AC5">
              <w:rPr>
                <w:noProof/>
                <w:webHidden/>
              </w:rPr>
              <w:instrText xml:space="preserve"> PAGEREF _Toc48307181 \h </w:instrText>
            </w:r>
            <w:r w:rsidR="00750AC5">
              <w:rPr>
                <w:noProof/>
                <w:webHidden/>
              </w:rPr>
            </w:r>
            <w:r w:rsidR="00750AC5">
              <w:rPr>
                <w:noProof/>
                <w:webHidden/>
              </w:rPr>
              <w:fldChar w:fldCharType="separate"/>
            </w:r>
            <w:r w:rsidR="00750AC5">
              <w:rPr>
                <w:noProof/>
                <w:webHidden/>
              </w:rPr>
              <w:t>10</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82" w:history="1">
            <w:r w:rsidR="00750AC5" w:rsidRPr="00453730">
              <w:rPr>
                <w:rStyle w:val="Hyperlink"/>
                <w:noProof/>
              </w:rPr>
              <w:t>T15.14</w:t>
            </w:r>
            <w:r w:rsidR="00750AC5">
              <w:rPr>
                <w:rFonts w:eastAsiaTheme="minorEastAsia"/>
                <w:b w:val="0"/>
                <w:noProof/>
                <w:color w:val="auto"/>
                <w:lang w:eastAsia="en-AU"/>
              </w:rPr>
              <w:tab/>
            </w:r>
            <w:r w:rsidR="00750AC5" w:rsidRPr="00453730">
              <w:rPr>
                <w:rStyle w:val="Hyperlink"/>
                <w:noProof/>
              </w:rPr>
              <w:t>Reporting</w:t>
            </w:r>
            <w:r w:rsidR="00750AC5">
              <w:rPr>
                <w:noProof/>
                <w:webHidden/>
              </w:rPr>
              <w:tab/>
            </w:r>
            <w:r w:rsidR="00750AC5">
              <w:rPr>
                <w:noProof/>
                <w:webHidden/>
              </w:rPr>
              <w:fldChar w:fldCharType="begin"/>
            </w:r>
            <w:r w:rsidR="00750AC5">
              <w:rPr>
                <w:noProof/>
                <w:webHidden/>
              </w:rPr>
              <w:instrText xml:space="preserve"> PAGEREF _Toc48307182 \h </w:instrText>
            </w:r>
            <w:r w:rsidR="00750AC5">
              <w:rPr>
                <w:noProof/>
                <w:webHidden/>
              </w:rPr>
            </w:r>
            <w:r w:rsidR="00750AC5">
              <w:rPr>
                <w:noProof/>
                <w:webHidden/>
              </w:rPr>
              <w:fldChar w:fldCharType="separate"/>
            </w:r>
            <w:r w:rsidR="00750AC5">
              <w:rPr>
                <w:noProof/>
                <w:webHidden/>
              </w:rPr>
              <w:t>10</w:t>
            </w:r>
            <w:r w:rsidR="00750AC5">
              <w:rPr>
                <w:noProof/>
                <w:webHidden/>
              </w:rPr>
              <w:fldChar w:fldCharType="end"/>
            </w:r>
          </w:hyperlink>
        </w:p>
        <w:p w:rsidR="00750AC5" w:rsidRDefault="00E13DC4">
          <w:pPr>
            <w:pStyle w:val="TOC2"/>
            <w:tabs>
              <w:tab w:val="left" w:pos="1100"/>
              <w:tab w:val="right" w:leader="dot" w:pos="10194"/>
            </w:tabs>
            <w:rPr>
              <w:rFonts w:eastAsiaTheme="minorEastAsia"/>
              <w:b w:val="0"/>
              <w:noProof/>
              <w:color w:val="auto"/>
              <w:lang w:eastAsia="en-AU"/>
            </w:rPr>
          </w:pPr>
          <w:hyperlink w:anchor="_Toc48307183" w:history="1">
            <w:r w:rsidR="00750AC5" w:rsidRPr="00453730">
              <w:rPr>
                <w:rStyle w:val="Hyperlink"/>
                <w:noProof/>
              </w:rPr>
              <w:t>T15.15</w:t>
            </w:r>
            <w:r w:rsidR="00750AC5">
              <w:rPr>
                <w:rFonts w:eastAsiaTheme="minorEastAsia"/>
                <w:b w:val="0"/>
                <w:noProof/>
                <w:color w:val="auto"/>
                <w:lang w:eastAsia="en-AU"/>
              </w:rPr>
              <w:tab/>
            </w:r>
            <w:r w:rsidR="00750AC5" w:rsidRPr="00453730">
              <w:rPr>
                <w:rStyle w:val="Hyperlink"/>
                <w:noProof/>
              </w:rPr>
              <w:t>Hold Points</w:t>
            </w:r>
            <w:r w:rsidR="00750AC5">
              <w:rPr>
                <w:noProof/>
                <w:webHidden/>
              </w:rPr>
              <w:tab/>
            </w:r>
            <w:r w:rsidR="00750AC5">
              <w:rPr>
                <w:noProof/>
                <w:webHidden/>
              </w:rPr>
              <w:fldChar w:fldCharType="begin"/>
            </w:r>
            <w:r w:rsidR="00750AC5">
              <w:rPr>
                <w:noProof/>
                <w:webHidden/>
              </w:rPr>
              <w:instrText xml:space="preserve"> PAGEREF _Toc48307183 \h </w:instrText>
            </w:r>
            <w:r w:rsidR="00750AC5">
              <w:rPr>
                <w:noProof/>
                <w:webHidden/>
              </w:rPr>
            </w:r>
            <w:r w:rsidR="00750AC5">
              <w:rPr>
                <w:noProof/>
                <w:webHidden/>
              </w:rPr>
              <w:fldChar w:fldCharType="separate"/>
            </w:r>
            <w:r w:rsidR="00750AC5">
              <w:rPr>
                <w:noProof/>
                <w:webHidden/>
              </w:rPr>
              <w:t>11</w:t>
            </w:r>
            <w:r w:rsidR="00750AC5">
              <w:rPr>
                <w:noProof/>
                <w:webHidden/>
              </w:rPr>
              <w:fldChar w:fldCharType="end"/>
            </w:r>
          </w:hyperlink>
        </w:p>
        <w:p w:rsidR="00750AC5" w:rsidRDefault="00E13DC4">
          <w:pPr>
            <w:pStyle w:val="TOC3"/>
            <w:tabs>
              <w:tab w:val="left" w:pos="1540"/>
              <w:tab w:val="right" w:leader="dot" w:pos="10194"/>
            </w:tabs>
            <w:rPr>
              <w:rFonts w:eastAsiaTheme="minorEastAsia"/>
              <w:noProof/>
              <w:color w:val="auto"/>
              <w:lang w:eastAsia="en-AU"/>
            </w:rPr>
          </w:pPr>
          <w:hyperlink w:anchor="_Toc48307184" w:history="1">
            <w:r w:rsidR="00750AC5" w:rsidRPr="00453730">
              <w:rPr>
                <w:rStyle w:val="Hyperlink"/>
                <w:noProof/>
              </w:rPr>
              <w:t>T15.15.1</w:t>
            </w:r>
            <w:r w:rsidR="00750AC5">
              <w:rPr>
                <w:rFonts w:eastAsiaTheme="minorEastAsia"/>
                <w:noProof/>
                <w:color w:val="auto"/>
                <w:lang w:eastAsia="en-AU"/>
              </w:rPr>
              <w:tab/>
            </w:r>
            <w:r w:rsidR="00750AC5" w:rsidRPr="00453730">
              <w:rPr>
                <w:rStyle w:val="Hyperlink"/>
                <w:noProof/>
              </w:rPr>
              <w:t>Schedule of Hold Points</w:t>
            </w:r>
            <w:r w:rsidR="00750AC5">
              <w:rPr>
                <w:noProof/>
                <w:webHidden/>
              </w:rPr>
              <w:tab/>
            </w:r>
            <w:r w:rsidR="00750AC5">
              <w:rPr>
                <w:noProof/>
                <w:webHidden/>
              </w:rPr>
              <w:fldChar w:fldCharType="begin"/>
            </w:r>
            <w:r w:rsidR="00750AC5">
              <w:rPr>
                <w:noProof/>
                <w:webHidden/>
              </w:rPr>
              <w:instrText xml:space="preserve"> PAGEREF _Toc48307184 \h </w:instrText>
            </w:r>
            <w:r w:rsidR="00750AC5">
              <w:rPr>
                <w:noProof/>
                <w:webHidden/>
              </w:rPr>
            </w:r>
            <w:r w:rsidR="00750AC5">
              <w:rPr>
                <w:noProof/>
                <w:webHidden/>
              </w:rPr>
              <w:fldChar w:fldCharType="separate"/>
            </w:r>
            <w:r w:rsidR="00750AC5">
              <w:rPr>
                <w:noProof/>
                <w:webHidden/>
              </w:rPr>
              <w:t>11</w:t>
            </w:r>
            <w:r w:rsidR="00750AC5">
              <w:rPr>
                <w:noProof/>
                <w:webHidden/>
              </w:rPr>
              <w:fldChar w:fldCharType="end"/>
            </w:r>
          </w:hyperlink>
        </w:p>
        <w:p w:rsidR="008F75B7" w:rsidRPr="005B0839" w:rsidRDefault="00CC6335">
          <w:r>
            <w:rPr>
              <w:b/>
            </w:rPr>
            <w:fldChar w:fldCharType="end"/>
          </w:r>
        </w:p>
      </w:sdtContent>
    </w:sdt>
    <w:p w:rsidR="008F75B7" w:rsidRDefault="008F75B7" w:rsidP="003F6291">
      <w:pPr>
        <w:pStyle w:val="BodyText"/>
      </w:pPr>
    </w:p>
    <w:p w:rsidR="00E84546" w:rsidRPr="00A41366" w:rsidRDefault="00E84546" w:rsidP="00E84546">
      <w:pPr>
        <w:pStyle w:val="BodyText"/>
        <w:rPr>
          <w:b/>
        </w:rPr>
      </w:pPr>
      <w:r w:rsidRPr="00A41366">
        <w:rPr>
          <w:b/>
        </w:rPr>
        <w:t>Revision History</w:t>
      </w:r>
    </w:p>
    <w:p w:rsidR="00E84546" w:rsidRPr="00A41366" w:rsidRDefault="00E84546" w:rsidP="00E84546">
      <w:pPr>
        <w:pStyle w:val="BodyText"/>
      </w:pPr>
    </w:p>
    <w:tbl>
      <w:tblPr>
        <w:tblStyle w:val="TableGrid"/>
        <w:tblW w:w="977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1984"/>
        <w:gridCol w:w="6237"/>
      </w:tblGrid>
      <w:tr w:rsidR="00E84546" w:rsidRPr="00F3222C" w:rsidTr="00DD4C91">
        <w:trPr>
          <w:jc w:val="center"/>
        </w:trPr>
        <w:tc>
          <w:tcPr>
            <w:tcW w:w="1555" w:type="dxa"/>
            <w:shd w:val="clear" w:color="auto" w:fill="D9D9D9" w:themeFill="background1" w:themeFillShade="D9"/>
            <w:vAlign w:val="center"/>
          </w:tcPr>
          <w:p w:rsidR="00E84546" w:rsidRPr="00F3222C" w:rsidRDefault="00E84546" w:rsidP="001F3D16">
            <w:pPr>
              <w:pStyle w:val="BodyText"/>
              <w:spacing w:after="120" w:line="240" w:lineRule="auto"/>
              <w:contextualSpacing w:val="0"/>
              <w:jc w:val="center"/>
              <w:rPr>
                <w:b/>
                <w:sz w:val="20"/>
              </w:rPr>
            </w:pPr>
            <w:r w:rsidRPr="00F3222C">
              <w:rPr>
                <w:b/>
                <w:sz w:val="20"/>
              </w:rPr>
              <w:t>Version No.</w:t>
            </w:r>
          </w:p>
        </w:tc>
        <w:tc>
          <w:tcPr>
            <w:tcW w:w="1984" w:type="dxa"/>
            <w:shd w:val="clear" w:color="auto" w:fill="D9D9D9" w:themeFill="background1" w:themeFillShade="D9"/>
            <w:vAlign w:val="center"/>
          </w:tcPr>
          <w:p w:rsidR="00E84546" w:rsidRPr="00F3222C" w:rsidRDefault="00E84546" w:rsidP="001F3D16">
            <w:pPr>
              <w:pStyle w:val="BodyText"/>
              <w:spacing w:after="120" w:line="240" w:lineRule="auto"/>
              <w:contextualSpacing w:val="0"/>
              <w:jc w:val="center"/>
              <w:rPr>
                <w:b/>
                <w:sz w:val="20"/>
              </w:rPr>
            </w:pPr>
            <w:r w:rsidRPr="00F3222C">
              <w:rPr>
                <w:b/>
                <w:sz w:val="20"/>
              </w:rPr>
              <w:t>Date</w:t>
            </w:r>
          </w:p>
        </w:tc>
        <w:tc>
          <w:tcPr>
            <w:tcW w:w="6237" w:type="dxa"/>
            <w:shd w:val="clear" w:color="auto" w:fill="D9D9D9" w:themeFill="background1" w:themeFillShade="D9"/>
            <w:vAlign w:val="center"/>
          </w:tcPr>
          <w:p w:rsidR="00E84546" w:rsidRPr="00F3222C" w:rsidRDefault="00E84546" w:rsidP="001F3D16">
            <w:pPr>
              <w:pStyle w:val="BodyText"/>
              <w:spacing w:after="120" w:line="240" w:lineRule="auto"/>
              <w:contextualSpacing w:val="0"/>
              <w:jc w:val="center"/>
              <w:rPr>
                <w:b/>
                <w:sz w:val="20"/>
              </w:rPr>
            </w:pPr>
            <w:r w:rsidRPr="00F3222C">
              <w:rPr>
                <w:b/>
                <w:sz w:val="20"/>
              </w:rPr>
              <w:t>Description of changes</w:t>
            </w:r>
          </w:p>
        </w:tc>
      </w:tr>
      <w:tr w:rsidR="00E84546" w:rsidRPr="00F3222C" w:rsidTr="00DD4C91">
        <w:trPr>
          <w:jc w:val="center"/>
        </w:trPr>
        <w:tc>
          <w:tcPr>
            <w:tcW w:w="1555" w:type="dxa"/>
          </w:tcPr>
          <w:p w:rsidR="00E84546" w:rsidRPr="00F3222C" w:rsidRDefault="00F96077" w:rsidP="00DD4C91">
            <w:pPr>
              <w:pStyle w:val="BodyText"/>
              <w:spacing w:after="120" w:line="240" w:lineRule="auto"/>
              <w:contextualSpacing w:val="0"/>
              <w:jc w:val="center"/>
              <w:rPr>
                <w:sz w:val="20"/>
              </w:rPr>
            </w:pPr>
            <w:r>
              <w:rPr>
                <w:sz w:val="20"/>
              </w:rPr>
              <w:t>1.1</w:t>
            </w:r>
          </w:p>
        </w:tc>
        <w:tc>
          <w:tcPr>
            <w:tcW w:w="1984" w:type="dxa"/>
          </w:tcPr>
          <w:p w:rsidR="00E84546" w:rsidRPr="00F3222C" w:rsidRDefault="00FE1236" w:rsidP="00DD4C91">
            <w:pPr>
              <w:pStyle w:val="BodyText"/>
              <w:spacing w:after="120" w:line="240" w:lineRule="auto"/>
              <w:contextualSpacing w:val="0"/>
              <w:jc w:val="center"/>
              <w:rPr>
                <w:sz w:val="20"/>
              </w:rPr>
            </w:pPr>
            <w:r>
              <w:rPr>
                <w:sz w:val="20"/>
              </w:rPr>
              <w:t>17</w:t>
            </w:r>
            <w:r w:rsidR="00F96077">
              <w:rPr>
                <w:sz w:val="20"/>
              </w:rPr>
              <w:t xml:space="preserve"> August 2020</w:t>
            </w:r>
          </w:p>
        </w:tc>
        <w:tc>
          <w:tcPr>
            <w:tcW w:w="6237" w:type="dxa"/>
          </w:tcPr>
          <w:p w:rsidR="00E84546" w:rsidRPr="00F3222C" w:rsidRDefault="000C27FC" w:rsidP="001F3D16">
            <w:pPr>
              <w:pStyle w:val="BodyText"/>
              <w:spacing w:after="120" w:line="240" w:lineRule="auto"/>
              <w:contextualSpacing w:val="0"/>
              <w:rPr>
                <w:sz w:val="20"/>
              </w:rPr>
            </w:pPr>
            <w:r w:rsidRPr="00A6504F">
              <w:rPr>
                <w:sz w:val="20"/>
              </w:rPr>
              <w:t>Template updated and old references to superseded documents/entities updated</w:t>
            </w:r>
          </w:p>
        </w:tc>
      </w:tr>
      <w:tr w:rsidR="00E84546" w:rsidRPr="00F3222C" w:rsidTr="00DD4C91">
        <w:trPr>
          <w:jc w:val="center"/>
        </w:trPr>
        <w:tc>
          <w:tcPr>
            <w:tcW w:w="1555" w:type="dxa"/>
          </w:tcPr>
          <w:p w:rsidR="00E84546" w:rsidRPr="00F3222C" w:rsidRDefault="00F96077" w:rsidP="00DD4C91">
            <w:pPr>
              <w:pStyle w:val="BodyText"/>
              <w:spacing w:after="120" w:line="240" w:lineRule="auto"/>
              <w:contextualSpacing w:val="0"/>
              <w:jc w:val="center"/>
              <w:rPr>
                <w:sz w:val="20"/>
              </w:rPr>
            </w:pPr>
            <w:r>
              <w:rPr>
                <w:sz w:val="20"/>
              </w:rPr>
              <w:t>1.0</w:t>
            </w:r>
          </w:p>
        </w:tc>
        <w:tc>
          <w:tcPr>
            <w:tcW w:w="1984" w:type="dxa"/>
          </w:tcPr>
          <w:p w:rsidR="00E84546" w:rsidRPr="00F3222C" w:rsidRDefault="00F96077" w:rsidP="00DD4C91">
            <w:pPr>
              <w:pStyle w:val="BodyText"/>
              <w:spacing w:after="120" w:line="240" w:lineRule="auto"/>
              <w:contextualSpacing w:val="0"/>
              <w:jc w:val="center"/>
              <w:rPr>
                <w:sz w:val="20"/>
              </w:rPr>
            </w:pPr>
            <w:r>
              <w:rPr>
                <w:sz w:val="20"/>
              </w:rPr>
              <w:t>7 July 2014</w:t>
            </w:r>
          </w:p>
        </w:tc>
        <w:tc>
          <w:tcPr>
            <w:tcW w:w="6237" w:type="dxa"/>
          </w:tcPr>
          <w:p w:rsidR="00F96077" w:rsidRPr="00F96077" w:rsidRDefault="00F96077" w:rsidP="00F96077">
            <w:pPr>
              <w:pStyle w:val="BodyText"/>
              <w:spacing w:after="120" w:line="240" w:lineRule="auto"/>
              <w:rPr>
                <w:sz w:val="20"/>
              </w:rPr>
            </w:pPr>
            <w:r>
              <w:rPr>
                <w:sz w:val="20"/>
              </w:rPr>
              <w:t>‘</w:t>
            </w:r>
            <w:r w:rsidRPr="00F96077">
              <w:rPr>
                <w:sz w:val="20"/>
              </w:rPr>
              <w:t>Department of State Growth’ replaces ‘DIER’</w:t>
            </w:r>
          </w:p>
          <w:p w:rsidR="00F96077" w:rsidRPr="00F96077" w:rsidRDefault="00F96077" w:rsidP="00F96077">
            <w:pPr>
              <w:pStyle w:val="BodyText"/>
              <w:spacing w:after="120" w:line="240" w:lineRule="auto"/>
              <w:rPr>
                <w:sz w:val="20"/>
              </w:rPr>
            </w:pPr>
            <w:r w:rsidRPr="00F96077">
              <w:rPr>
                <w:sz w:val="20"/>
              </w:rPr>
              <w:t xml:space="preserve">T15.1 </w:t>
            </w:r>
            <w:r>
              <w:rPr>
                <w:sz w:val="20"/>
              </w:rPr>
              <w:t>Clause reworded</w:t>
            </w:r>
          </w:p>
          <w:p w:rsidR="00F96077" w:rsidRPr="00F96077" w:rsidRDefault="00F96077" w:rsidP="00F96077">
            <w:pPr>
              <w:pStyle w:val="BodyText"/>
              <w:spacing w:after="120" w:line="240" w:lineRule="auto"/>
              <w:rPr>
                <w:sz w:val="20"/>
              </w:rPr>
            </w:pPr>
            <w:r w:rsidRPr="00F96077">
              <w:rPr>
                <w:sz w:val="20"/>
              </w:rPr>
              <w:t>T15.2-T15.5 New Clauses added, previou</w:t>
            </w:r>
            <w:r>
              <w:rPr>
                <w:sz w:val="20"/>
              </w:rPr>
              <w:t>s Clauses T15.2 &amp; T15.3 removed</w:t>
            </w:r>
          </w:p>
          <w:p w:rsidR="00F96077" w:rsidRPr="00F96077" w:rsidRDefault="00F96077" w:rsidP="00F96077">
            <w:pPr>
              <w:pStyle w:val="BodyText"/>
              <w:spacing w:after="120" w:line="240" w:lineRule="auto"/>
              <w:rPr>
                <w:sz w:val="20"/>
              </w:rPr>
            </w:pPr>
            <w:r w:rsidRPr="00F96077">
              <w:rPr>
                <w:sz w:val="20"/>
              </w:rPr>
              <w:t xml:space="preserve">T15.6 </w:t>
            </w:r>
            <w:r>
              <w:rPr>
                <w:sz w:val="20"/>
              </w:rPr>
              <w:t>Previous Clause removed</w:t>
            </w:r>
          </w:p>
          <w:p w:rsidR="00F96077" w:rsidRPr="00F96077" w:rsidRDefault="00F96077" w:rsidP="00F96077">
            <w:pPr>
              <w:pStyle w:val="BodyText"/>
              <w:spacing w:after="120" w:line="240" w:lineRule="auto"/>
              <w:rPr>
                <w:sz w:val="20"/>
              </w:rPr>
            </w:pPr>
            <w:r w:rsidRPr="00F96077">
              <w:rPr>
                <w:sz w:val="20"/>
              </w:rPr>
              <w:t>T15.6 Replaces previou</w:t>
            </w:r>
            <w:r>
              <w:rPr>
                <w:sz w:val="20"/>
              </w:rPr>
              <w:t>s Clause T15.4, Clause reworded</w:t>
            </w:r>
          </w:p>
          <w:p w:rsidR="00F96077" w:rsidRPr="00F96077" w:rsidRDefault="00F96077" w:rsidP="00F96077">
            <w:pPr>
              <w:pStyle w:val="BodyText"/>
              <w:spacing w:after="120" w:line="240" w:lineRule="auto"/>
              <w:rPr>
                <w:sz w:val="20"/>
              </w:rPr>
            </w:pPr>
            <w:r w:rsidRPr="00F96077">
              <w:rPr>
                <w:sz w:val="20"/>
              </w:rPr>
              <w:t>T15.7 Replaces previou</w:t>
            </w:r>
            <w:r>
              <w:rPr>
                <w:sz w:val="20"/>
              </w:rPr>
              <w:t>s Clause T15.5, Clause reworded</w:t>
            </w:r>
          </w:p>
          <w:p w:rsidR="00F96077" w:rsidRPr="00F96077" w:rsidRDefault="00F96077" w:rsidP="00F96077">
            <w:pPr>
              <w:pStyle w:val="BodyText"/>
              <w:spacing w:after="120" w:line="240" w:lineRule="auto"/>
              <w:rPr>
                <w:sz w:val="20"/>
              </w:rPr>
            </w:pPr>
            <w:r w:rsidRPr="00F96077">
              <w:rPr>
                <w:sz w:val="20"/>
              </w:rPr>
              <w:t xml:space="preserve">T15.8-T15.14 </w:t>
            </w:r>
            <w:r>
              <w:rPr>
                <w:sz w:val="20"/>
              </w:rPr>
              <w:t>New Clauses added</w:t>
            </w:r>
          </w:p>
          <w:p w:rsidR="00F96077" w:rsidRPr="00F96077" w:rsidRDefault="00F96077" w:rsidP="00F96077">
            <w:pPr>
              <w:pStyle w:val="BodyText"/>
              <w:spacing w:after="120" w:line="240" w:lineRule="auto"/>
              <w:rPr>
                <w:sz w:val="20"/>
              </w:rPr>
            </w:pPr>
            <w:r w:rsidRPr="00F96077">
              <w:rPr>
                <w:sz w:val="20"/>
              </w:rPr>
              <w:t>T15.15 Replaces previous Clause T1</w:t>
            </w:r>
            <w:r>
              <w:rPr>
                <w:sz w:val="20"/>
              </w:rPr>
              <w:t>5.7 and previous Appendix T15.A</w:t>
            </w:r>
          </w:p>
          <w:p w:rsidR="00E84546" w:rsidRPr="00F3222C" w:rsidRDefault="00F96077" w:rsidP="00F96077">
            <w:pPr>
              <w:pStyle w:val="BodyText"/>
              <w:spacing w:after="120" w:line="240" w:lineRule="auto"/>
              <w:rPr>
                <w:sz w:val="20"/>
              </w:rPr>
            </w:pPr>
            <w:r w:rsidRPr="00F96077">
              <w:rPr>
                <w:sz w:val="20"/>
              </w:rPr>
              <w:t>T15.B &amp; T15.C Previous Appendices removed</w:t>
            </w:r>
          </w:p>
        </w:tc>
      </w:tr>
    </w:tbl>
    <w:p w:rsidR="00E84546" w:rsidRDefault="00E84546" w:rsidP="003F6291">
      <w:pPr>
        <w:pStyle w:val="BodyText"/>
      </w:pPr>
    </w:p>
    <w:p w:rsidR="00E84546" w:rsidRDefault="00E84546" w:rsidP="003F6291">
      <w:pPr>
        <w:pStyle w:val="BodyText"/>
      </w:pPr>
    </w:p>
    <w:p w:rsidR="00E84546" w:rsidRDefault="00E84546" w:rsidP="003F6291">
      <w:pPr>
        <w:pStyle w:val="BodyText"/>
      </w:pPr>
    </w:p>
    <w:p w:rsidR="00E84546" w:rsidRPr="003F6291" w:rsidRDefault="00E84546" w:rsidP="003F6291">
      <w:pPr>
        <w:pStyle w:val="BodyText"/>
      </w:pPr>
    </w:p>
    <w:p w:rsidR="008F75B7" w:rsidRDefault="008F75B7" w:rsidP="003F6291">
      <w:pPr>
        <w:pStyle w:val="Heading1"/>
        <w:sectPr w:rsidR="008F75B7" w:rsidSect="00C12A0B">
          <w:footerReference w:type="default" r:id="rId13"/>
          <w:pgSz w:w="11906" w:h="16838" w:code="9"/>
          <w:pgMar w:top="1985" w:right="851" w:bottom="1134" w:left="851" w:header="709" w:footer="709" w:gutter="0"/>
          <w:pgNumType w:fmt="lowerRoman" w:start="1"/>
          <w:cols w:space="708"/>
          <w:docGrid w:linePitch="360"/>
        </w:sectPr>
      </w:pPr>
      <w:bookmarkStart w:id="1" w:name="_Toc410306156"/>
      <w:bookmarkStart w:id="2" w:name="_Toc410306220"/>
    </w:p>
    <w:p w:rsidR="008F75B7" w:rsidRDefault="004675E9" w:rsidP="004766DC">
      <w:pPr>
        <w:pStyle w:val="Heading2"/>
        <w:numPr>
          <w:ilvl w:val="0"/>
          <w:numId w:val="10"/>
        </w:numPr>
      </w:pPr>
      <w:bookmarkStart w:id="3" w:name="_Toc48307146"/>
      <w:bookmarkEnd w:id="1"/>
      <w:bookmarkEnd w:id="2"/>
      <w:r>
        <w:lastRenderedPageBreak/>
        <w:t>Scope</w:t>
      </w:r>
      <w:bookmarkEnd w:id="3"/>
    </w:p>
    <w:p w:rsidR="00F96077" w:rsidRPr="00F96077" w:rsidRDefault="00F96077" w:rsidP="00F96077">
      <w:pPr>
        <w:pStyle w:val="BodyText"/>
      </w:pPr>
      <w:r w:rsidRPr="00F96077">
        <w:t>This specification sets out the minimum requirements for the design of new flexible pavements and the rehabilitation of existing flexible pavements, and applies to both sealed and unsealed pavements.</w:t>
      </w:r>
      <w:r w:rsidR="00C04888">
        <w:t xml:space="preserve"> </w:t>
      </w:r>
      <w:r w:rsidRPr="00F96077">
        <w:t>The specification outlines the general principles that are to be followed as well as certain specific requirements.</w:t>
      </w:r>
      <w:r w:rsidR="00C04888">
        <w:t xml:space="preserve"> </w:t>
      </w:r>
    </w:p>
    <w:p w:rsidR="00F96077" w:rsidRPr="00F96077" w:rsidRDefault="00F96077" w:rsidP="00F96077">
      <w:pPr>
        <w:pStyle w:val="BodyText"/>
      </w:pPr>
    </w:p>
    <w:p w:rsidR="00F96077" w:rsidRPr="00F96077" w:rsidRDefault="00F96077" w:rsidP="00F96077">
      <w:pPr>
        <w:pStyle w:val="BodyText"/>
      </w:pPr>
      <w:r w:rsidRPr="00F96077">
        <w:t xml:space="preserve">This specification does not cover the design or rehabilitation of rigid pavements, or the design of bituminous </w:t>
      </w:r>
      <w:proofErr w:type="spellStart"/>
      <w:r w:rsidRPr="00F96077">
        <w:t>surfacings</w:t>
      </w:r>
      <w:proofErr w:type="spellEnd"/>
      <w:r w:rsidRPr="00F96077">
        <w:t>.</w:t>
      </w:r>
    </w:p>
    <w:p w:rsidR="004766DC" w:rsidRPr="004766DC" w:rsidRDefault="004766DC" w:rsidP="004766DC">
      <w:pPr>
        <w:pStyle w:val="BodyText"/>
      </w:pPr>
    </w:p>
    <w:p w:rsidR="008F75B7" w:rsidRPr="008716E6" w:rsidRDefault="004675E9" w:rsidP="004675E9">
      <w:pPr>
        <w:pStyle w:val="Heading2"/>
        <w:numPr>
          <w:ilvl w:val="0"/>
          <w:numId w:val="10"/>
        </w:numPr>
      </w:pPr>
      <w:bookmarkStart w:id="4" w:name="_Toc48307147"/>
      <w:r>
        <w:t>Objective</w:t>
      </w:r>
      <w:bookmarkEnd w:id="4"/>
    </w:p>
    <w:p w:rsidR="00F96077" w:rsidRPr="00F96077" w:rsidRDefault="00F96077" w:rsidP="00F96077">
      <w:pPr>
        <w:pStyle w:val="BodyText"/>
      </w:pPr>
      <w:r w:rsidRPr="00F96077">
        <w:t>Whilst the objective of this Specification is to provide clear directions for the design and rehabilitation of flexible pavements, it is not an exhaustive document, as each project will have individual requirements.</w:t>
      </w:r>
      <w:r w:rsidR="00C04888">
        <w:t xml:space="preserve"> </w:t>
      </w:r>
      <w:r w:rsidRPr="00F96077">
        <w:t>However it does contain the minimum requirements and provides direction on where additional information may be sourced.</w:t>
      </w:r>
    </w:p>
    <w:p w:rsidR="008F75B7" w:rsidRDefault="008F75B7" w:rsidP="003F6291">
      <w:pPr>
        <w:pStyle w:val="BodyText"/>
      </w:pPr>
    </w:p>
    <w:p w:rsidR="004675E9" w:rsidRDefault="004675E9" w:rsidP="004675E9">
      <w:pPr>
        <w:pStyle w:val="Heading2"/>
        <w:numPr>
          <w:ilvl w:val="0"/>
          <w:numId w:val="10"/>
        </w:numPr>
      </w:pPr>
      <w:bookmarkStart w:id="5" w:name="_Toc48307148"/>
      <w:r>
        <w:t>References and Standards</w:t>
      </w:r>
      <w:bookmarkEnd w:id="5"/>
    </w:p>
    <w:p w:rsidR="00F96077" w:rsidRPr="00F96077" w:rsidRDefault="00F96077" w:rsidP="00F96077">
      <w:pPr>
        <w:pStyle w:val="BodyText"/>
      </w:pPr>
      <w:r w:rsidRPr="00F96077">
        <w:t xml:space="preserve">The design requirements of pavements shall be compatible with the provisions of all Department of State Growth’s </w:t>
      </w:r>
      <w:r w:rsidR="00604A74">
        <w:t xml:space="preserve">Specifications as well as </w:t>
      </w:r>
      <w:r w:rsidRPr="00F96077">
        <w:t>Austroads Guides and Test Methods and Australian Standards</w:t>
      </w:r>
      <w:r w:rsidR="00604A74">
        <w:t>,</w:t>
      </w:r>
      <w:r w:rsidRPr="00F96077">
        <w:t xml:space="preserve"> in particular:</w:t>
      </w:r>
    </w:p>
    <w:p w:rsidR="00F96077" w:rsidRPr="00F96077" w:rsidRDefault="00F96077" w:rsidP="00F96077">
      <w:pPr>
        <w:pStyle w:val="BodyText"/>
      </w:pPr>
    </w:p>
    <w:p w:rsidR="00F96077" w:rsidRPr="00F96077" w:rsidRDefault="00F96077" w:rsidP="00F96077">
      <w:pPr>
        <w:pStyle w:val="BodyText"/>
        <w:rPr>
          <w:i/>
        </w:rPr>
      </w:pPr>
      <w:r w:rsidRPr="00F96077">
        <w:rPr>
          <w:i/>
        </w:rPr>
        <w:t>Austroads</w:t>
      </w:r>
    </w:p>
    <w:p w:rsidR="00F96077" w:rsidRPr="00F96077" w:rsidRDefault="00F96077" w:rsidP="007260B8">
      <w:pPr>
        <w:pStyle w:val="ListBullet"/>
      </w:pPr>
      <w:r w:rsidRPr="00F96077">
        <w:t>AP-C87/10</w:t>
      </w:r>
      <w:r w:rsidR="00C04888">
        <w:t xml:space="preserve"> </w:t>
      </w:r>
      <w:r w:rsidRPr="00F96077">
        <w:t>Glossary of Austroads Terms</w:t>
      </w:r>
    </w:p>
    <w:p w:rsidR="00F96077" w:rsidRPr="00F96077" w:rsidRDefault="00F96077" w:rsidP="007260B8">
      <w:pPr>
        <w:pStyle w:val="ListBullet"/>
      </w:pPr>
      <w:r w:rsidRPr="00F96077">
        <w:t>AP-T63/06</w:t>
      </w:r>
      <w:r w:rsidR="00C04888">
        <w:t xml:space="preserve"> </w:t>
      </w:r>
      <w:r w:rsidRPr="00F96077">
        <w:t>Asphalt Characterisation for Pavement Design</w:t>
      </w:r>
    </w:p>
    <w:p w:rsidR="00F96077" w:rsidRPr="00F96077" w:rsidRDefault="00F96077" w:rsidP="007260B8">
      <w:pPr>
        <w:pStyle w:val="ListBullet"/>
      </w:pPr>
      <w:r w:rsidRPr="00F96077">
        <w:t>AP-T18/02</w:t>
      </w:r>
      <w:r w:rsidR="00C04888">
        <w:t xml:space="preserve"> </w:t>
      </w:r>
      <w:r w:rsidRPr="00F96077">
        <w:t>Austroads Framework for Specifying Asphalt</w:t>
      </w:r>
    </w:p>
    <w:p w:rsidR="00F96077" w:rsidRPr="00F96077" w:rsidRDefault="00F96077" w:rsidP="007260B8">
      <w:pPr>
        <w:pStyle w:val="ListBullet"/>
      </w:pPr>
      <w:r w:rsidRPr="00F96077">
        <w:t>AP-T235/13</w:t>
      </w:r>
      <w:r w:rsidR="00C04888">
        <w:t xml:space="preserve"> </w:t>
      </w:r>
      <w:r w:rsidRPr="00F96077">
        <w:t xml:space="preserve">Guide to the Selection and Use of Polymer Modified Binders and Multigrade </w:t>
      </w:r>
      <w:proofErr w:type="spellStart"/>
      <w:r w:rsidRPr="00F96077">
        <w:t>Bitumens</w:t>
      </w:r>
      <w:proofErr w:type="spellEnd"/>
      <w:r w:rsidRPr="00F96077">
        <w:t xml:space="preserve"> </w:t>
      </w:r>
    </w:p>
    <w:p w:rsidR="00F96077" w:rsidRPr="00F96077" w:rsidRDefault="00F96077" w:rsidP="00F96077">
      <w:pPr>
        <w:pStyle w:val="BodyText"/>
      </w:pPr>
    </w:p>
    <w:p w:rsidR="00F96077" w:rsidRPr="00F96077" w:rsidRDefault="00F96077" w:rsidP="00F96077">
      <w:pPr>
        <w:pStyle w:val="BodyText"/>
        <w:rPr>
          <w:i/>
        </w:rPr>
      </w:pPr>
      <w:r w:rsidRPr="00F96077">
        <w:rPr>
          <w:i/>
        </w:rPr>
        <w:t>Austroads Guide to Pavement Technology</w:t>
      </w:r>
    </w:p>
    <w:p w:rsidR="00F96077" w:rsidRPr="00F96077" w:rsidRDefault="00F96077" w:rsidP="007260B8">
      <w:pPr>
        <w:pStyle w:val="ListBullet"/>
      </w:pPr>
      <w:r w:rsidRPr="00F96077">
        <w:t>Part 1 – Introduction to Pavement Technology</w:t>
      </w:r>
    </w:p>
    <w:p w:rsidR="00F96077" w:rsidRPr="00F96077" w:rsidRDefault="00F96077" w:rsidP="007260B8">
      <w:pPr>
        <w:pStyle w:val="ListBullet"/>
      </w:pPr>
      <w:r w:rsidRPr="00F96077">
        <w:t>Part 2 – Pavement Structural Design</w:t>
      </w:r>
    </w:p>
    <w:p w:rsidR="00F96077" w:rsidRPr="00F96077" w:rsidRDefault="00F96077" w:rsidP="007260B8">
      <w:pPr>
        <w:pStyle w:val="ListBullet"/>
      </w:pPr>
      <w:r w:rsidRPr="00F96077">
        <w:t xml:space="preserve">Part 3 – Pavement </w:t>
      </w:r>
      <w:proofErr w:type="spellStart"/>
      <w:r w:rsidRPr="00F96077">
        <w:t>Surfacings</w:t>
      </w:r>
      <w:proofErr w:type="spellEnd"/>
    </w:p>
    <w:p w:rsidR="00F96077" w:rsidRPr="00F96077" w:rsidRDefault="00F96077" w:rsidP="007260B8">
      <w:pPr>
        <w:pStyle w:val="ListBullet"/>
      </w:pPr>
      <w:r w:rsidRPr="00F96077">
        <w:t>Part 4 – Pavement Materials</w:t>
      </w:r>
    </w:p>
    <w:p w:rsidR="00F96077" w:rsidRPr="00F96077" w:rsidRDefault="00F96077" w:rsidP="007260B8">
      <w:pPr>
        <w:pStyle w:val="ListBullet"/>
      </w:pPr>
      <w:r w:rsidRPr="00F96077">
        <w:t>Part 5 – Pavement Evaluation and Treatment Design</w:t>
      </w:r>
    </w:p>
    <w:p w:rsidR="00F96077" w:rsidRPr="00F96077" w:rsidRDefault="00F96077" w:rsidP="007260B8">
      <w:pPr>
        <w:pStyle w:val="ListBullet"/>
      </w:pPr>
      <w:r w:rsidRPr="00F96077">
        <w:t>Part 10 – Subsurface Drainage</w:t>
      </w:r>
    </w:p>
    <w:p w:rsidR="00F96077" w:rsidRPr="00F96077" w:rsidRDefault="00F96077" w:rsidP="00F96077">
      <w:pPr>
        <w:pStyle w:val="BodyText"/>
      </w:pPr>
    </w:p>
    <w:p w:rsidR="00F96077" w:rsidRPr="00F96077" w:rsidRDefault="00F96077" w:rsidP="00F96077">
      <w:pPr>
        <w:pStyle w:val="BodyText"/>
      </w:pPr>
      <w:r w:rsidRPr="00F96077">
        <w:t xml:space="preserve">This specification takes precedence over the </w:t>
      </w:r>
      <w:r w:rsidRPr="00F96077">
        <w:rPr>
          <w:i/>
        </w:rPr>
        <w:t>Austroads Guide to Pavement Technology</w:t>
      </w:r>
      <w:r w:rsidRPr="00F96077">
        <w:t xml:space="preserve"> series if and where they differ.</w:t>
      </w:r>
    </w:p>
    <w:p w:rsidR="008F75B7" w:rsidRPr="00383C77" w:rsidRDefault="008F75B7" w:rsidP="004675E9">
      <w:pPr>
        <w:pStyle w:val="BodyText"/>
      </w:pPr>
    </w:p>
    <w:p w:rsidR="008F75B7" w:rsidRPr="005F6E22" w:rsidRDefault="00F96077" w:rsidP="004675E9">
      <w:pPr>
        <w:pStyle w:val="Heading2"/>
        <w:numPr>
          <w:ilvl w:val="0"/>
          <w:numId w:val="10"/>
        </w:numPr>
      </w:pPr>
      <w:bookmarkStart w:id="6" w:name="_Toc48307149"/>
      <w:r>
        <w:lastRenderedPageBreak/>
        <w:t>General Considerations</w:t>
      </w:r>
      <w:bookmarkEnd w:id="6"/>
    </w:p>
    <w:p w:rsidR="008F75B7" w:rsidRDefault="005C782C" w:rsidP="005C782C">
      <w:pPr>
        <w:pStyle w:val="Heading3"/>
        <w:numPr>
          <w:ilvl w:val="1"/>
          <w:numId w:val="10"/>
        </w:numPr>
      </w:pPr>
      <w:bookmarkStart w:id="7" w:name="_Toc48307150"/>
      <w:r>
        <w:t>Design Life</w:t>
      </w:r>
      <w:bookmarkEnd w:id="7"/>
    </w:p>
    <w:p w:rsidR="005C782C" w:rsidRDefault="005C782C" w:rsidP="004675E9">
      <w:pPr>
        <w:pStyle w:val="BodyText"/>
      </w:pPr>
      <w:r w:rsidRPr="005C782C">
        <w:t>Unless advised otherwise, the design life shall be 20 years for flexible pavements.</w:t>
      </w:r>
      <w:r w:rsidR="00C04888">
        <w:t xml:space="preserve"> </w:t>
      </w:r>
      <w:r w:rsidRPr="005C782C">
        <w:t>This applies to both new and rehabilitated pavements.</w:t>
      </w:r>
    </w:p>
    <w:p w:rsidR="005C782C" w:rsidRPr="005C782C" w:rsidRDefault="005C782C" w:rsidP="005C782C">
      <w:pPr>
        <w:pStyle w:val="Heading3"/>
        <w:numPr>
          <w:ilvl w:val="1"/>
          <w:numId w:val="10"/>
        </w:numPr>
      </w:pPr>
      <w:bookmarkStart w:id="8" w:name="_Toc235263636"/>
      <w:bookmarkStart w:id="9" w:name="_Toc379870511"/>
      <w:bookmarkStart w:id="10" w:name="_Toc392493622"/>
      <w:bookmarkStart w:id="11" w:name="_Toc48307151"/>
      <w:r w:rsidRPr="005C782C">
        <w:t>Design Traffic</w:t>
      </w:r>
      <w:bookmarkEnd w:id="8"/>
      <w:bookmarkEnd w:id="9"/>
      <w:bookmarkEnd w:id="10"/>
      <w:bookmarkEnd w:id="11"/>
    </w:p>
    <w:p w:rsidR="005C782C" w:rsidRPr="005C782C" w:rsidRDefault="005C782C" w:rsidP="005C782C">
      <w:pPr>
        <w:pStyle w:val="BodyText"/>
      </w:pPr>
      <w:r w:rsidRPr="005C782C">
        <w:t>The AADT and heavy vehicle content is available across the Department of State Growth-managed State Road network.</w:t>
      </w:r>
      <w:r w:rsidR="00C04888">
        <w:t xml:space="preserve"> </w:t>
      </w:r>
      <w:r w:rsidRPr="005C782C">
        <w:t>For some sites, more detailed traffic data is available.</w:t>
      </w:r>
      <w:r w:rsidR="00C04888">
        <w:t xml:space="preserve"> </w:t>
      </w:r>
      <w:r w:rsidRPr="005C782C">
        <w:t>In the absence of more detailed, site-specific information, the design shall assume that:</w:t>
      </w:r>
    </w:p>
    <w:p w:rsidR="005C782C" w:rsidRPr="005C782C" w:rsidRDefault="005C782C" w:rsidP="007260B8">
      <w:pPr>
        <w:pStyle w:val="ListBullet"/>
      </w:pPr>
      <w:r w:rsidRPr="005C782C">
        <w:t>All heavy vehicles travel in the outside lane on multi-lane roads;</w:t>
      </w:r>
    </w:p>
    <w:p w:rsidR="005C782C" w:rsidRPr="005C782C" w:rsidRDefault="005C782C" w:rsidP="007260B8">
      <w:pPr>
        <w:pStyle w:val="ListBullet"/>
      </w:pPr>
      <w:r w:rsidRPr="005C782C">
        <w:t>Direction Factor of 0.5 (i.e. traffic is divided equally between the PD and CD direction);</w:t>
      </w:r>
    </w:p>
    <w:p w:rsidR="005C782C" w:rsidRPr="005C782C" w:rsidRDefault="005C782C" w:rsidP="007260B8">
      <w:pPr>
        <w:pStyle w:val="ListBullet"/>
      </w:pPr>
      <w:r w:rsidRPr="005C782C">
        <w:t>The number of heavy vehicle axle groups per heavy vehicle (N</w:t>
      </w:r>
      <w:r w:rsidRPr="005C782C">
        <w:rPr>
          <w:vertAlign w:val="subscript"/>
        </w:rPr>
        <w:t>HVAG</w:t>
      </w:r>
      <w:r w:rsidRPr="005C782C">
        <w:t>) shall be 2.8 for rural roads and 2.5 for urban roads;</w:t>
      </w:r>
    </w:p>
    <w:p w:rsidR="005C782C" w:rsidRPr="005C782C" w:rsidRDefault="005C782C" w:rsidP="007260B8">
      <w:pPr>
        <w:pStyle w:val="ListBullet"/>
      </w:pPr>
      <w:r w:rsidRPr="005C782C">
        <w:t>The traffic load distribution (TLD) for granular pavements with a thin bituminous surfacing shall be 0.9 ESA’s per HVAG for rural roads and 0.7 ESA’s per HVAG for urban roads;</w:t>
      </w:r>
    </w:p>
    <w:p w:rsidR="005C782C" w:rsidRPr="005C782C" w:rsidRDefault="005C782C" w:rsidP="007260B8">
      <w:pPr>
        <w:pStyle w:val="ListBullet"/>
      </w:pPr>
      <w:r w:rsidRPr="005C782C">
        <w:t>Annual traffic growth rate 3%.</w:t>
      </w:r>
    </w:p>
    <w:p w:rsidR="005C782C" w:rsidRPr="005C782C" w:rsidRDefault="005C782C" w:rsidP="005C782C">
      <w:pPr>
        <w:pStyle w:val="BodyText"/>
        <w:rPr>
          <w:i/>
        </w:rPr>
      </w:pPr>
      <w:r w:rsidRPr="005C782C">
        <w:rPr>
          <w:i/>
        </w:rPr>
        <w:t>Note: The 3% growth rate is intended to cover both the growth in the number of heavy vehicles over time but also the growth in ESA’s per heavy vehicle.</w:t>
      </w:r>
    </w:p>
    <w:p w:rsidR="005C782C" w:rsidRPr="005C782C" w:rsidRDefault="005C782C" w:rsidP="005C782C">
      <w:pPr>
        <w:pStyle w:val="BodyText"/>
        <w:rPr>
          <w:i/>
        </w:rPr>
      </w:pPr>
    </w:p>
    <w:p w:rsidR="005C782C" w:rsidRPr="005C782C" w:rsidRDefault="005C782C" w:rsidP="005C782C">
      <w:pPr>
        <w:pStyle w:val="BodyText"/>
      </w:pPr>
      <w:r w:rsidRPr="005C782C">
        <w:t>Designers shall establish if more detailed traffic data exists for the site or is required to be collected, particularly where a sensitivity analysis highlights a need.</w:t>
      </w:r>
      <w:r w:rsidR="00C04888">
        <w:t xml:space="preserve"> </w:t>
      </w:r>
      <w:r w:rsidRPr="005C782C">
        <w:t>In the event that weigh-in-motion information is available, this shall be used to determine the direction factor, the number of heavy vehicle axle groups per heavy vehicle and the traffic load distribution.</w:t>
      </w:r>
    </w:p>
    <w:p w:rsidR="005C782C" w:rsidRPr="005C782C" w:rsidRDefault="005C782C" w:rsidP="005C782C">
      <w:pPr>
        <w:pStyle w:val="BodyText"/>
      </w:pPr>
    </w:p>
    <w:p w:rsidR="005C782C" w:rsidRPr="005C782C" w:rsidRDefault="005C782C" w:rsidP="005C782C">
      <w:pPr>
        <w:pStyle w:val="BodyText"/>
      </w:pPr>
      <w:r w:rsidRPr="005C782C">
        <w:t>For new pavements, the pavement design shall be based on the traffic lane with the highest Design Traffic.</w:t>
      </w:r>
      <w:r w:rsidR="00C04888">
        <w:t xml:space="preserve"> </w:t>
      </w:r>
      <w:r w:rsidRPr="005C782C">
        <w:t>This design shall be applied across the full carriageway width including the shoulders.</w:t>
      </w:r>
      <w:r w:rsidR="00C04888">
        <w:t xml:space="preserve"> </w:t>
      </w:r>
      <w:r w:rsidRPr="005C782C">
        <w:t>For strengthening of a multi-lane road, different treatments for each lane may be considered, in which case the Design Traffic should be calculated for each lane.</w:t>
      </w:r>
    </w:p>
    <w:p w:rsidR="005C782C" w:rsidRPr="005C782C" w:rsidRDefault="005C782C" w:rsidP="005C782C">
      <w:pPr>
        <w:pStyle w:val="Heading3"/>
        <w:numPr>
          <w:ilvl w:val="1"/>
          <w:numId w:val="10"/>
        </w:numPr>
      </w:pPr>
      <w:bookmarkStart w:id="12" w:name="_T15.4.3_Design_Traffic"/>
      <w:bookmarkStart w:id="13" w:name="_Toc379870512"/>
      <w:bookmarkStart w:id="14" w:name="_Toc392493623"/>
      <w:bookmarkStart w:id="15" w:name="_Toc48307152"/>
      <w:bookmarkEnd w:id="12"/>
      <w:r w:rsidRPr="005C782C">
        <w:t>Design Traffic Calculations for Temporary Pavements</w:t>
      </w:r>
      <w:bookmarkEnd w:id="13"/>
      <w:bookmarkEnd w:id="14"/>
      <w:bookmarkEnd w:id="15"/>
    </w:p>
    <w:p w:rsidR="005C782C" w:rsidRPr="005C782C" w:rsidRDefault="005C782C" w:rsidP="005C782C">
      <w:pPr>
        <w:pStyle w:val="BodyText"/>
      </w:pPr>
      <w:r w:rsidRPr="005C782C">
        <w:t>For temporary pavements with a design period of less than five years, the design traffic shall be calculated using a 20 year design period with zero traffic growth rate, using the maximum daily heavy vehicle volume.</w:t>
      </w:r>
    </w:p>
    <w:p w:rsidR="005C782C" w:rsidRPr="003F6291" w:rsidRDefault="005C782C" w:rsidP="004675E9">
      <w:pPr>
        <w:pStyle w:val="BodyText"/>
      </w:pPr>
    </w:p>
    <w:p w:rsidR="004675E9" w:rsidRPr="005F6E22" w:rsidRDefault="00C04888" w:rsidP="004675E9">
      <w:pPr>
        <w:pStyle w:val="Heading2"/>
        <w:numPr>
          <w:ilvl w:val="0"/>
          <w:numId w:val="10"/>
        </w:numPr>
      </w:pPr>
      <w:bookmarkStart w:id="16" w:name="_Toc48307153"/>
      <w:r>
        <w:t>Investigations</w:t>
      </w:r>
      <w:bookmarkEnd w:id="16"/>
    </w:p>
    <w:p w:rsidR="00C04888" w:rsidRPr="00C04888" w:rsidRDefault="00C04888" w:rsidP="00C04888">
      <w:pPr>
        <w:pStyle w:val="BodyText"/>
      </w:pPr>
      <w:r w:rsidRPr="00C04888">
        <w:t xml:space="preserve">Investigations shall be undertaken in accordance with </w:t>
      </w:r>
      <w:r w:rsidR="00604A74">
        <w:rPr>
          <w:i/>
        </w:rPr>
        <w:t>Specification</w:t>
      </w:r>
      <w:r w:rsidRPr="00C04888">
        <w:rPr>
          <w:i/>
        </w:rPr>
        <w:t xml:space="preserve"> T6 Geotechnical and Site Investigations and Reporting</w:t>
      </w:r>
      <w:r w:rsidRPr="00C04888">
        <w:t>.</w:t>
      </w:r>
    </w:p>
    <w:p w:rsidR="00C04888" w:rsidRPr="00C04888" w:rsidRDefault="00C04888" w:rsidP="00C04888">
      <w:pPr>
        <w:pStyle w:val="BodyText"/>
      </w:pPr>
    </w:p>
    <w:p w:rsidR="00C04888" w:rsidRPr="00C04888" w:rsidRDefault="00C04888" w:rsidP="00C04888">
      <w:pPr>
        <w:pStyle w:val="BodyText"/>
      </w:pPr>
      <w:r w:rsidRPr="00C04888">
        <w:t>Prior to undertaking any investigations, the Consultant shall identify what information is required to inform the design.</w:t>
      </w:r>
      <w:r>
        <w:t xml:space="preserve"> </w:t>
      </w:r>
      <w:r w:rsidRPr="00C04888">
        <w:t>The Consultant shall determine whether any relevant information already exists.</w:t>
      </w:r>
      <w:r>
        <w:t xml:space="preserve"> </w:t>
      </w:r>
      <w:r w:rsidRPr="00C04888">
        <w:t xml:space="preserve">For example, in the case of rehabilitation projects, the Department collects condition data including roughness, rutting and cracking on a regular basis, and has </w:t>
      </w:r>
      <w:proofErr w:type="spellStart"/>
      <w:r w:rsidRPr="00C04888">
        <w:t>deflectograph</w:t>
      </w:r>
      <w:proofErr w:type="spellEnd"/>
      <w:r w:rsidRPr="00C04888">
        <w:t xml:space="preserve"> data for much of the network.</w:t>
      </w:r>
      <w:r>
        <w:t xml:space="preserve"> </w:t>
      </w:r>
      <w:r w:rsidRPr="00C04888">
        <w:t>In addition, there are construction and seal histories across the network, and historical records (such as previous investigations) that may also be useful.</w:t>
      </w:r>
    </w:p>
    <w:p w:rsidR="00C04888" w:rsidRPr="00C04888" w:rsidRDefault="00C04888" w:rsidP="00C04888">
      <w:pPr>
        <w:pStyle w:val="BodyText"/>
      </w:pPr>
    </w:p>
    <w:p w:rsidR="00C04888" w:rsidRDefault="00C04888" w:rsidP="00C04888">
      <w:pPr>
        <w:pStyle w:val="BodyText"/>
      </w:pPr>
      <w:r w:rsidRPr="00C04888">
        <w:t>Where relevant, the geotechnical investigation should include the stability of the road formation and settlement under the pavement.</w:t>
      </w:r>
      <w:r>
        <w:t xml:space="preserve"> </w:t>
      </w:r>
      <w:r w:rsidRPr="00C04888">
        <w:t xml:space="preserve">The </w:t>
      </w:r>
      <w:r w:rsidRPr="00C04888">
        <w:rPr>
          <w:i/>
        </w:rPr>
        <w:t>Austroads Guide to Pavement Technology</w:t>
      </w:r>
      <w:r w:rsidRPr="00C04888">
        <w:t xml:space="preserve"> series does not contain provisions for settlement below the pavement.</w:t>
      </w:r>
      <w:r>
        <w:t xml:space="preserve"> </w:t>
      </w:r>
      <w:r w:rsidRPr="00C04888">
        <w:t>Where required, additional investigations and assessments shall be carried out to determine if settlement may occur, and if so, how this affects the pavement design and/or construction.</w:t>
      </w:r>
    </w:p>
    <w:p w:rsidR="00C04888" w:rsidRDefault="00C04888" w:rsidP="00C04888">
      <w:pPr>
        <w:pStyle w:val="BodyText"/>
      </w:pPr>
    </w:p>
    <w:p w:rsidR="00C04888" w:rsidRDefault="00C04888" w:rsidP="00C04888">
      <w:pPr>
        <w:pStyle w:val="Heading2"/>
        <w:numPr>
          <w:ilvl w:val="0"/>
          <w:numId w:val="10"/>
        </w:numPr>
      </w:pPr>
      <w:bookmarkStart w:id="17" w:name="_Toc48307154"/>
      <w:r>
        <w:t>Subgrade Assessment</w:t>
      </w:r>
      <w:bookmarkEnd w:id="17"/>
    </w:p>
    <w:p w:rsidR="00C04888" w:rsidRPr="00C04888" w:rsidRDefault="00C04888" w:rsidP="00C04888">
      <w:pPr>
        <w:pStyle w:val="Heading3"/>
        <w:numPr>
          <w:ilvl w:val="1"/>
          <w:numId w:val="10"/>
        </w:numPr>
        <w:rPr>
          <w:lang w:val="en-GB"/>
        </w:rPr>
      </w:pPr>
      <w:bookmarkStart w:id="18" w:name="_Toc379870515"/>
      <w:bookmarkStart w:id="19" w:name="_Toc392493626"/>
      <w:bookmarkStart w:id="20" w:name="_Toc48307155"/>
      <w:bookmarkStart w:id="21" w:name="_Toc235263642"/>
      <w:r w:rsidRPr="00C04888">
        <w:rPr>
          <w:lang w:val="en-GB"/>
        </w:rPr>
        <w:t>Determination of Subgrade CBR</w:t>
      </w:r>
      <w:bookmarkEnd w:id="18"/>
      <w:bookmarkEnd w:id="19"/>
      <w:bookmarkEnd w:id="20"/>
    </w:p>
    <w:p w:rsidR="00C04888" w:rsidRPr="00C04888" w:rsidRDefault="00C04888" w:rsidP="00C04888">
      <w:pPr>
        <w:pStyle w:val="BodyText"/>
      </w:pPr>
      <w:r w:rsidRPr="00C04888">
        <w:t>For new pavements, the strength of the subgrade shall be assessed using a 4-day soaked CBR test.</w:t>
      </w:r>
      <w:r w:rsidR="004B06C9">
        <w:t xml:space="preserve"> </w:t>
      </w:r>
      <w:r w:rsidRPr="00C04888">
        <w:t>For existing pavements, alternative methods to assess the subgrade strength may be utilised.</w:t>
      </w:r>
    </w:p>
    <w:p w:rsidR="00C04888" w:rsidRPr="00C04888" w:rsidRDefault="00C04888" w:rsidP="00C04888">
      <w:pPr>
        <w:pStyle w:val="BodyText"/>
      </w:pPr>
    </w:p>
    <w:p w:rsidR="00C04888" w:rsidRPr="00C04888" w:rsidRDefault="00C04888" w:rsidP="00C04888">
      <w:pPr>
        <w:pStyle w:val="BodyText"/>
      </w:pPr>
      <w:r w:rsidRPr="00C04888">
        <w:t>When determining the design CBR, the variability of the subgrade shall be taken into account.</w:t>
      </w:r>
    </w:p>
    <w:p w:rsidR="00C04888" w:rsidRPr="00C04888" w:rsidRDefault="00C04888" w:rsidP="00C04888">
      <w:pPr>
        <w:pStyle w:val="Heading3"/>
        <w:numPr>
          <w:ilvl w:val="1"/>
          <w:numId w:val="10"/>
        </w:numPr>
        <w:rPr>
          <w:lang w:val="en-GB"/>
        </w:rPr>
      </w:pPr>
      <w:bookmarkStart w:id="22" w:name="_T15.6.2_Maximum_Subgrade"/>
      <w:bookmarkStart w:id="23" w:name="_Toc379870516"/>
      <w:bookmarkStart w:id="24" w:name="_Toc392493627"/>
      <w:bookmarkStart w:id="25" w:name="_Ref48297453"/>
      <w:bookmarkStart w:id="26" w:name="_Toc48307156"/>
      <w:bookmarkEnd w:id="22"/>
      <w:r w:rsidRPr="00C04888">
        <w:rPr>
          <w:lang w:val="en-GB"/>
        </w:rPr>
        <w:t>Maximum Subgrade CBR</w:t>
      </w:r>
      <w:bookmarkEnd w:id="21"/>
      <w:bookmarkEnd w:id="23"/>
      <w:bookmarkEnd w:id="24"/>
      <w:bookmarkEnd w:id="25"/>
      <w:bookmarkEnd w:id="26"/>
    </w:p>
    <w:p w:rsidR="00C04888" w:rsidRPr="00C04888" w:rsidRDefault="00C04888" w:rsidP="00C04888">
      <w:pPr>
        <w:pStyle w:val="BodyText"/>
      </w:pPr>
      <w:r w:rsidRPr="00C04888">
        <w:t>The maximum subgrade CBR shall be as follows:</w:t>
      </w:r>
    </w:p>
    <w:p w:rsidR="00C04888" w:rsidRPr="00C04888" w:rsidRDefault="00C04888" w:rsidP="00C04888">
      <w:pPr>
        <w:pStyle w:val="BodyTex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9"/>
        <w:gridCol w:w="2835"/>
      </w:tblGrid>
      <w:tr w:rsidR="00C04888" w:rsidRPr="00C04888" w:rsidTr="006D18B8">
        <w:trPr>
          <w:jc w:val="center"/>
        </w:trPr>
        <w:tc>
          <w:tcPr>
            <w:tcW w:w="5669" w:type="dxa"/>
            <w:vAlign w:val="center"/>
          </w:tcPr>
          <w:p w:rsidR="00C04888" w:rsidRPr="00C04888" w:rsidRDefault="00C04888" w:rsidP="00C04888">
            <w:pPr>
              <w:pStyle w:val="BodyText"/>
              <w:rPr>
                <w:b/>
              </w:rPr>
            </w:pPr>
            <w:r w:rsidRPr="00C04888">
              <w:rPr>
                <w:b/>
              </w:rPr>
              <w:t>Design Traffic</w:t>
            </w:r>
          </w:p>
        </w:tc>
        <w:tc>
          <w:tcPr>
            <w:tcW w:w="2835" w:type="dxa"/>
            <w:vAlign w:val="center"/>
          </w:tcPr>
          <w:p w:rsidR="00C04888" w:rsidRPr="00C04888" w:rsidRDefault="00C04888" w:rsidP="00C04888">
            <w:pPr>
              <w:pStyle w:val="BodyText"/>
              <w:rPr>
                <w:b/>
              </w:rPr>
            </w:pPr>
            <w:r w:rsidRPr="00C04888">
              <w:rPr>
                <w:b/>
              </w:rPr>
              <w:t>Maximum CBR</w:t>
            </w:r>
          </w:p>
        </w:tc>
      </w:tr>
      <w:tr w:rsidR="00C04888" w:rsidRPr="00C04888" w:rsidTr="006D18B8">
        <w:trPr>
          <w:jc w:val="center"/>
        </w:trPr>
        <w:tc>
          <w:tcPr>
            <w:tcW w:w="5669" w:type="dxa"/>
            <w:vAlign w:val="center"/>
          </w:tcPr>
          <w:p w:rsidR="00C04888" w:rsidRPr="00C04888" w:rsidRDefault="00C04888" w:rsidP="00C04888">
            <w:pPr>
              <w:pStyle w:val="BodyText"/>
            </w:pPr>
            <w:r w:rsidRPr="00C04888">
              <w:t>Design Traffic less than or equal to</w:t>
            </w:r>
            <w:r w:rsidR="004B06C9">
              <w:t xml:space="preserve"> </w:t>
            </w:r>
            <w:r w:rsidRPr="00C04888">
              <w:t>5x10</w:t>
            </w:r>
            <w:r w:rsidRPr="00C04888">
              <w:rPr>
                <w:vertAlign w:val="superscript"/>
              </w:rPr>
              <w:t xml:space="preserve">5 </w:t>
            </w:r>
            <w:r w:rsidRPr="00C04888">
              <w:t>DESA’s</w:t>
            </w:r>
          </w:p>
        </w:tc>
        <w:tc>
          <w:tcPr>
            <w:tcW w:w="2835" w:type="dxa"/>
            <w:vAlign w:val="center"/>
          </w:tcPr>
          <w:p w:rsidR="00C04888" w:rsidRPr="00C04888" w:rsidRDefault="00C04888" w:rsidP="00C04888">
            <w:pPr>
              <w:pStyle w:val="BodyText"/>
            </w:pPr>
            <w:r w:rsidRPr="00C04888">
              <w:t>15%</w:t>
            </w:r>
          </w:p>
        </w:tc>
      </w:tr>
      <w:tr w:rsidR="00C04888" w:rsidRPr="00C04888" w:rsidTr="006D18B8">
        <w:trPr>
          <w:jc w:val="center"/>
        </w:trPr>
        <w:tc>
          <w:tcPr>
            <w:tcW w:w="5669" w:type="dxa"/>
            <w:vAlign w:val="center"/>
          </w:tcPr>
          <w:p w:rsidR="00C04888" w:rsidRPr="00C04888" w:rsidRDefault="00C04888" w:rsidP="00C04888">
            <w:pPr>
              <w:pStyle w:val="BodyText"/>
            </w:pPr>
            <w:r w:rsidRPr="00C04888">
              <w:t>Design Traffic greater than 5x10</w:t>
            </w:r>
            <w:r w:rsidRPr="00C04888">
              <w:rPr>
                <w:vertAlign w:val="superscript"/>
              </w:rPr>
              <w:t xml:space="preserve">5 </w:t>
            </w:r>
            <w:r w:rsidRPr="00C04888">
              <w:t>DESA’s but less than or equal to 5x10</w:t>
            </w:r>
            <w:r w:rsidRPr="00C04888">
              <w:rPr>
                <w:vertAlign w:val="superscript"/>
              </w:rPr>
              <w:t xml:space="preserve">6 </w:t>
            </w:r>
            <w:r w:rsidRPr="00C04888">
              <w:t>DESA’s</w:t>
            </w:r>
          </w:p>
        </w:tc>
        <w:tc>
          <w:tcPr>
            <w:tcW w:w="2835" w:type="dxa"/>
            <w:vAlign w:val="center"/>
          </w:tcPr>
          <w:p w:rsidR="00C04888" w:rsidRPr="00C04888" w:rsidRDefault="00C04888" w:rsidP="00C04888">
            <w:pPr>
              <w:pStyle w:val="BodyText"/>
            </w:pPr>
            <w:r w:rsidRPr="00C04888">
              <w:t>10%</w:t>
            </w:r>
          </w:p>
        </w:tc>
      </w:tr>
      <w:tr w:rsidR="00C04888" w:rsidRPr="00C04888" w:rsidTr="006D18B8">
        <w:trPr>
          <w:jc w:val="center"/>
        </w:trPr>
        <w:tc>
          <w:tcPr>
            <w:tcW w:w="5669" w:type="dxa"/>
            <w:vAlign w:val="center"/>
          </w:tcPr>
          <w:p w:rsidR="00C04888" w:rsidRPr="00C04888" w:rsidRDefault="00C04888" w:rsidP="00C04888">
            <w:pPr>
              <w:pStyle w:val="BodyText"/>
            </w:pPr>
            <w:r w:rsidRPr="00C04888">
              <w:t>Design Traffic greater than 5x10</w:t>
            </w:r>
            <w:r w:rsidRPr="00C04888">
              <w:rPr>
                <w:vertAlign w:val="superscript"/>
              </w:rPr>
              <w:t xml:space="preserve">6 </w:t>
            </w:r>
            <w:r w:rsidRPr="00C04888">
              <w:t>DESA’s</w:t>
            </w:r>
          </w:p>
        </w:tc>
        <w:tc>
          <w:tcPr>
            <w:tcW w:w="2835" w:type="dxa"/>
            <w:vAlign w:val="center"/>
          </w:tcPr>
          <w:p w:rsidR="00C04888" w:rsidRPr="00C04888" w:rsidRDefault="00C04888" w:rsidP="00C04888">
            <w:pPr>
              <w:pStyle w:val="BodyText"/>
            </w:pPr>
            <w:r w:rsidRPr="00C04888">
              <w:t>10%</w:t>
            </w:r>
          </w:p>
        </w:tc>
      </w:tr>
    </w:tbl>
    <w:p w:rsidR="00C04888" w:rsidRPr="00C04888" w:rsidRDefault="00C04888" w:rsidP="00C04888">
      <w:pPr>
        <w:pStyle w:val="BodyText"/>
      </w:pPr>
    </w:p>
    <w:p w:rsidR="00C04888" w:rsidRPr="00C04888" w:rsidRDefault="00C04888" w:rsidP="00C04888">
      <w:pPr>
        <w:pStyle w:val="BodyText"/>
      </w:pPr>
      <w:r w:rsidRPr="00C04888">
        <w:t xml:space="preserve">The maximum CBR for constructed subgrades is specified in </w:t>
      </w:r>
      <w:r w:rsidR="00955933">
        <w:t xml:space="preserve">the </w:t>
      </w:r>
      <w:r w:rsidR="00955933" w:rsidRPr="00955933">
        <w:t xml:space="preserve">Department’s </w:t>
      </w:r>
      <w:r w:rsidRPr="00955933">
        <w:t>Standard Specification</w:t>
      </w:r>
      <w:r w:rsidR="00955933" w:rsidRPr="00955933">
        <w:t>s</w:t>
      </w:r>
      <w:r w:rsidRPr="00955933">
        <w:t>.</w:t>
      </w:r>
    </w:p>
    <w:p w:rsidR="00C04888" w:rsidRPr="00C04888" w:rsidRDefault="00C04888" w:rsidP="00C04888">
      <w:pPr>
        <w:pStyle w:val="Heading3"/>
        <w:numPr>
          <w:ilvl w:val="1"/>
          <w:numId w:val="10"/>
        </w:numPr>
      </w:pPr>
      <w:bookmarkStart w:id="27" w:name="_T15.6.3_Soft_Subgrades"/>
      <w:bookmarkStart w:id="28" w:name="_Toc379870517"/>
      <w:bookmarkStart w:id="29" w:name="_Toc392493628"/>
      <w:bookmarkStart w:id="30" w:name="_Toc48307157"/>
      <w:bookmarkEnd w:id="27"/>
      <w:r w:rsidRPr="00C04888">
        <w:t>Soft Subgrades</w:t>
      </w:r>
      <w:bookmarkEnd w:id="28"/>
      <w:bookmarkEnd w:id="29"/>
      <w:bookmarkEnd w:id="30"/>
    </w:p>
    <w:p w:rsidR="00C04888" w:rsidRPr="00C04888" w:rsidRDefault="00C04888" w:rsidP="00C04888">
      <w:pPr>
        <w:pStyle w:val="BodyText"/>
      </w:pPr>
      <w:r w:rsidRPr="00C04888">
        <w:t>If the subgrade CBR is less than 3%, consideration shall be given to subgrade improvement or measures such as inclusion of a geogrid, to assist in providing a construction platform.</w:t>
      </w:r>
    </w:p>
    <w:p w:rsidR="00C04888" w:rsidRPr="00C04888" w:rsidRDefault="00C04888" w:rsidP="00C04888">
      <w:pPr>
        <w:pStyle w:val="BodyText"/>
      </w:pPr>
    </w:p>
    <w:p w:rsidR="00C04888" w:rsidRPr="00C04888" w:rsidRDefault="00C04888" w:rsidP="00C04888">
      <w:pPr>
        <w:pStyle w:val="BodyText"/>
      </w:pPr>
      <w:r w:rsidRPr="00C04888">
        <w:t>If the subgrade CBR is less than 2%, a stable working platform must be included in the design, to enable subsequent layers to be compacted.</w:t>
      </w:r>
    </w:p>
    <w:p w:rsidR="00C04888" w:rsidRPr="00C04888" w:rsidRDefault="00C04888" w:rsidP="00C04888">
      <w:pPr>
        <w:pStyle w:val="BodyText"/>
      </w:pPr>
    </w:p>
    <w:p w:rsidR="00C04888" w:rsidRPr="00C04888" w:rsidRDefault="00C04888" w:rsidP="00C04888">
      <w:pPr>
        <w:pStyle w:val="BodyText"/>
      </w:pPr>
      <w:r w:rsidRPr="00C04888">
        <w:t>Lime stabilisation of the subgrade can be an effective construction tool.</w:t>
      </w:r>
      <w:r w:rsidR="004B06C9">
        <w:t xml:space="preserve"> </w:t>
      </w:r>
      <w:r w:rsidRPr="00C04888">
        <w:t xml:space="preserve">Where minimal or no field and laboratory testing is undertaken, such treatments are not considered in the pavement design calculations: i.e. the original </w:t>
      </w:r>
      <w:proofErr w:type="spellStart"/>
      <w:r w:rsidRPr="00C04888">
        <w:t>insitu</w:t>
      </w:r>
      <w:proofErr w:type="spellEnd"/>
      <w:r w:rsidRPr="00C04888">
        <w:t xml:space="preserve"> subgrade CBR forms the basis of the pavement design.</w:t>
      </w:r>
    </w:p>
    <w:p w:rsidR="00C04888" w:rsidRPr="00C04888" w:rsidRDefault="00C04888" w:rsidP="00C04888">
      <w:pPr>
        <w:pStyle w:val="BodyText"/>
      </w:pPr>
    </w:p>
    <w:p w:rsidR="00C04888" w:rsidRPr="00C04888" w:rsidRDefault="00C04888" w:rsidP="00C04888">
      <w:pPr>
        <w:pStyle w:val="BodyText"/>
      </w:pPr>
      <w:r w:rsidRPr="00C04888">
        <w:t>Where geogrids are included in the design to facilitate construction, the geogrid shall not be considered in the pavement design calculations: i.e. no reduction in pavement thickness or increased strength is permitted due to the geogrid.</w:t>
      </w:r>
    </w:p>
    <w:p w:rsidR="00C04888" w:rsidRPr="00C04888" w:rsidRDefault="00C04888" w:rsidP="00C04888">
      <w:pPr>
        <w:pStyle w:val="Heading3"/>
        <w:numPr>
          <w:ilvl w:val="1"/>
          <w:numId w:val="10"/>
        </w:numPr>
      </w:pPr>
      <w:bookmarkStart w:id="31" w:name="_T15.6.4_Rock_Subgrades"/>
      <w:bookmarkStart w:id="32" w:name="_Toc379870518"/>
      <w:bookmarkStart w:id="33" w:name="_Toc392493629"/>
      <w:bookmarkStart w:id="34" w:name="_Toc48307158"/>
      <w:bookmarkEnd w:id="31"/>
      <w:r w:rsidRPr="00C04888">
        <w:t>Rock Subgrades</w:t>
      </w:r>
      <w:bookmarkEnd w:id="32"/>
      <w:bookmarkEnd w:id="33"/>
      <w:bookmarkEnd w:id="34"/>
    </w:p>
    <w:p w:rsidR="00C04888" w:rsidRPr="00C04888" w:rsidRDefault="00C04888" w:rsidP="00C04888">
      <w:pPr>
        <w:pStyle w:val="BodyText"/>
      </w:pPr>
      <w:r w:rsidRPr="00C04888">
        <w:t>Rock subgrades can be slow to drain, particularly in cuttings, and preparation of the surface invariably results in some unevenness.</w:t>
      </w:r>
      <w:r w:rsidR="004B06C9">
        <w:t xml:space="preserve"> </w:t>
      </w:r>
      <w:r w:rsidRPr="00C04888">
        <w:t xml:space="preserve">To ensure any water ponding on the top of a rock subgrade does not adversely affect the </w:t>
      </w:r>
      <w:r w:rsidRPr="00C04888">
        <w:lastRenderedPageBreak/>
        <w:t>pavement, a minimum 150mm of free draining rock fill shall be placed on top of the rock cutting.</w:t>
      </w:r>
      <w:r w:rsidR="004B06C9">
        <w:t xml:space="preserve"> </w:t>
      </w:r>
      <w:r w:rsidRPr="00C04888">
        <w:t>The depth of the rock drainage layer should be increased if the fracture characteristics of the rock result in more significant surface irregularities.</w:t>
      </w:r>
      <w:r w:rsidR="004B06C9">
        <w:t xml:space="preserve"> </w:t>
      </w:r>
      <w:r w:rsidRPr="00C04888">
        <w:t xml:space="preserve">A geotextile complying with </w:t>
      </w:r>
      <w:r w:rsidR="00604A74">
        <w:rPr>
          <w:i/>
        </w:rPr>
        <w:t xml:space="preserve">Standard Section 210 </w:t>
      </w:r>
      <w:r w:rsidRPr="00C04888">
        <w:rPr>
          <w:i/>
        </w:rPr>
        <w:t>Geotextiles</w:t>
      </w:r>
      <w:r w:rsidR="00604A74">
        <w:rPr>
          <w:i/>
        </w:rPr>
        <w:t xml:space="preserve"> in Earthworks</w:t>
      </w:r>
      <w:r w:rsidRPr="00C04888">
        <w:t xml:space="preserve"> shall be placed above and below the rock blanket.</w:t>
      </w:r>
    </w:p>
    <w:p w:rsidR="00C04888" w:rsidRPr="00C04888" w:rsidRDefault="00C04888" w:rsidP="00C04888">
      <w:pPr>
        <w:pStyle w:val="BodyText"/>
      </w:pPr>
    </w:p>
    <w:p w:rsidR="00C04888" w:rsidRPr="00C04888" w:rsidRDefault="00C04888" w:rsidP="00C04888">
      <w:pPr>
        <w:pStyle w:val="BodyText"/>
      </w:pPr>
      <w:r w:rsidRPr="00C04888">
        <w:t xml:space="preserve">The subgrade strength shall be assessed, and shall comply with the requirements of </w:t>
      </w:r>
      <w:r w:rsidRPr="00C04888">
        <w:rPr>
          <w:i/>
        </w:rPr>
        <w:t xml:space="preserve">Clause </w:t>
      </w:r>
      <w:r w:rsidR="00604A74">
        <w:rPr>
          <w:i/>
        </w:rPr>
        <w:fldChar w:fldCharType="begin"/>
      </w:r>
      <w:r w:rsidR="00604A74">
        <w:rPr>
          <w:i/>
        </w:rPr>
        <w:instrText xml:space="preserve"> REF _Ref48297453 \r \h </w:instrText>
      </w:r>
      <w:r w:rsidR="00604A74">
        <w:rPr>
          <w:i/>
        </w:rPr>
      </w:r>
      <w:r w:rsidR="00604A74">
        <w:rPr>
          <w:i/>
        </w:rPr>
        <w:fldChar w:fldCharType="separate"/>
      </w:r>
      <w:r w:rsidR="00604A74">
        <w:rPr>
          <w:i/>
        </w:rPr>
        <w:t>T15.6.2</w:t>
      </w:r>
      <w:r w:rsidR="00604A74">
        <w:rPr>
          <w:i/>
        </w:rPr>
        <w:fldChar w:fldCharType="end"/>
      </w:r>
      <w:r w:rsidRPr="00C04888">
        <w:t>.</w:t>
      </w:r>
    </w:p>
    <w:p w:rsidR="00C04888" w:rsidRPr="00C04888" w:rsidRDefault="00C04888" w:rsidP="00C04888">
      <w:pPr>
        <w:pStyle w:val="BodyText"/>
      </w:pPr>
    </w:p>
    <w:p w:rsidR="00C04888" w:rsidRPr="00C04888" w:rsidRDefault="00C04888" w:rsidP="00C04888">
      <w:pPr>
        <w:pStyle w:val="BodyText"/>
      </w:pPr>
      <w:r w:rsidRPr="00C04888">
        <w:t>Sub-soil drains may be required, especially for boxed-in construction.</w:t>
      </w:r>
      <w:r w:rsidR="004B06C9">
        <w:t xml:space="preserve"> </w:t>
      </w:r>
      <w:r w:rsidRPr="00C04888">
        <w:t>For this to be effective, the rock needs to be sufficiently fractured for water to drain into the sub-soil drain.</w:t>
      </w:r>
    </w:p>
    <w:p w:rsidR="008F75B7" w:rsidRDefault="008F75B7" w:rsidP="003F6291">
      <w:pPr>
        <w:pStyle w:val="BodyText"/>
      </w:pPr>
    </w:p>
    <w:p w:rsidR="008F75B7" w:rsidRDefault="00C04888" w:rsidP="00C04888">
      <w:pPr>
        <w:pStyle w:val="Heading2"/>
        <w:numPr>
          <w:ilvl w:val="0"/>
          <w:numId w:val="10"/>
        </w:numPr>
      </w:pPr>
      <w:bookmarkStart w:id="35" w:name="_Toc48307159"/>
      <w:r>
        <w:t>Specific Design Requirements</w:t>
      </w:r>
      <w:bookmarkEnd w:id="35"/>
    </w:p>
    <w:p w:rsidR="00C04888" w:rsidRPr="00C04888" w:rsidRDefault="00C04888" w:rsidP="00C04888">
      <w:pPr>
        <w:pStyle w:val="Heading3"/>
        <w:numPr>
          <w:ilvl w:val="1"/>
          <w:numId w:val="10"/>
        </w:numPr>
      </w:pPr>
      <w:bookmarkStart w:id="36" w:name="_Toc379870520"/>
      <w:bookmarkStart w:id="37" w:name="_Toc392493631"/>
      <w:bookmarkStart w:id="38" w:name="_Toc48307160"/>
      <w:bookmarkStart w:id="39" w:name="_Toc235263640"/>
      <w:r w:rsidRPr="00C04888">
        <w:t>Design Considerations</w:t>
      </w:r>
      <w:bookmarkEnd w:id="36"/>
      <w:bookmarkEnd w:id="37"/>
      <w:bookmarkEnd w:id="38"/>
    </w:p>
    <w:p w:rsidR="00C04888" w:rsidRPr="00C04888" w:rsidRDefault="00C04888" w:rsidP="00C04888">
      <w:pPr>
        <w:pStyle w:val="BodyText"/>
        <w:rPr>
          <w:b/>
        </w:rPr>
      </w:pPr>
      <w:r w:rsidRPr="00C04888">
        <w:t>Designers shall give due consideration to the following items during the Design and Specification phases:</w:t>
      </w:r>
    </w:p>
    <w:p w:rsidR="00C04888" w:rsidRPr="00C04888" w:rsidRDefault="00C04888" w:rsidP="007260B8">
      <w:pPr>
        <w:pStyle w:val="ListBullet"/>
        <w:rPr>
          <w:b/>
        </w:rPr>
      </w:pPr>
      <w:r w:rsidRPr="00C04888">
        <w:t>Life cycle costs.</w:t>
      </w:r>
    </w:p>
    <w:p w:rsidR="00C04888" w:rsidRPr="00C04888" w:rsidRDefault="00C04888" w:rsidP="007260B8">
      <w:pPr>
        <w:pStyle w:val="ListBullet"/>
        <w:rPr>
          <w:b/>
        </w:rPr>
      </w:pPr>
      <w:r w:rsidRPr="00C04888">
        <w:t>Suitability of the treatment having regard to the location within the network and adjacent pavement construction.</w:t>
      </w:r>
    </w:p>
    <w:p w:rsidR="00C04888" w:rsidRPr="00C04888" w:rsidRDefault="00C04888" w:rsidP="007260B8">
      <w:pPr>
        <w:pStyle w:val="ListBullet"/>
        <w:rPr>
          <w:b/>
        </w:rPr>
      </w:pPr>
      <w:r w:rsidRPr="00C04888">
        <w:t>The location of add-ons and joints.</w:t>
      </w:r>
      <w:r w:rsidR="004B06C9">
        <w:t xml:space="preserve"> </w:t>
      </w:r>
      <w:r w:rsidRPr="00C04888">
        <w:t>These shall not be placed in potential wheel paths.</w:t>
      </w:r>
      <w:r w:rsidR="004B06C9">
        <w:t xml:space="preserve"> </w:t>
      </w:r>
      <w:r w:rsidRPr="00C04888">
        <w:t>The preferred location is at lane boundaries.</w:t>
      </w:r>
      <w:r w:rsidR="004B06C9">
        <w:t xml:space="preserve"> </w:t>
      </w:r>
      <w:r w:rsidRPr="00C04888">
        <w:t xml:space="preserve">Alternatively they may be placed between </w:t>
      </w:r>
      <w:proofErr w:type="spellStart"/>
      <w:r w:rsidRPr="00C04888">
        <w:t>wheelpaths</w:t>
      </w:r>
      <w:proofErr w:type="spellEnd"/>
      <w:r w:rsidRPr="00C04888">
        <w:t>.</w:t>
      </w:r>
    </w:p>
    <w:p w:rsidR="00C04888" w:rsidRPr="00C04888" w:rsidRDefault="00C04888" w:rsidP="007260B8">
      <w:pPr>
        <w:pStyle w:val="ListBullet"/>
        <w:rPr>
          <w:b/>
        </w:rPr>
      </w:pPr>
      <w:r w:rsidRPr="00C04888">
        <w:t>The effect of disturbing existing pavement materials or exposing the subgrade.</w:t>
      </w:r>
    </w:p>
    <w:p w:rsidR="00C04888" w:rsidRPr="00C04888" w:rsidRDefault="00C04888" w:rsidP="007260B8">
      <w:pPr>
        <w:pStyle w:val="ListBullet"/>
        <w:rPr>
          <w:b/>
        </w:rPr>
      </w:pPr>
      <w:r w:rsidRPr="00C04888">
        <w:t>Pavement surface and subsurface drainage issues.</w:t>
      </w:r>
    </w:p>
    <w:p w:rsidR="00C04888" w:rsidRPr="00C04888" w:rsidRDefault="00C04888" w:rsidP="007260B8">
      <w:pPr>
        <w:pStyle w:val="ListBullet"/>
        <w:rPr>
          <w:b/>
        </w:rPr>
      </w:pPr>
      <w:r w:rsidRPr="00C04888">
        <w:t>The location of existing services: underground, surface and above ground.</w:t>
      </w:r>
    </w:p>
    <w:p w:rsidR="00C04888" w:rsidRPr="00C04888" w:rsidRDefault="00C04888" w:rsidP="007260B8">
      <w:pPr>
        <w:pStyle w:val="ListBullet"/>
        <w:rPr>
          <w:b/>
        </w:rPr>
      </w:pPr>
      <w:r w:rsidRPr="00C04888">
        <w:t>The effect of an increase in pavement height on available pavement widths, clearance heights to overhead structures and on drainage and drainage structures.</w:t>
      </w:r>
    </w:p>
    <w:p w:rsidR="00C04888" w:rsidRPr="00C04888" w:rsidRDefault="00C04888" w:rsidP="007260B8">
      <w:pPr>
        <w:pStyle w:val="ListBullet"/>
        <w:rPr>
          <w:b/>
        </w:rPr>
      </w:pPr>
      <w:r w:rsidRPr="00C04888">
        <w:t>Alternative asphalt thicknesses.</w:t>
      </w:r>
      <w:r w:rsidR="004B06C9">
        <w:t xml:space="preserve"> </w:t>
      </w:r>
      <w:r w:rsidRPr="00C04888">
        <w:t xml:space="preserve">The </w:t>
      </w:r>
      <w:r w:rsidRPr="00C04888">
        <w:rPr>
          <w:i/>
        </w:rPr>
        <w:t>Austroads</w:t>
      </w:r>
      <w:r w:rsidRPr="00C04888">
        <w:t xml:space="preserve"> design method will often indicate two possible asphalt thicknesses, a thin course of less than 50mm and a thicker course exceeding 100mm.</w:t>
      </w:r>
      <w:r w:rsidR="004B06C9">
        <w:t xml:space="preserve"> </w:t>
      </w:r>
      <w:r w:rsidRPr="00C04888">
        <w:t>Both should be reported with comment on advantages and disadvantages.</w:t>
      </w:r>
    </w:p>
    <w:p w:rsidR="00C04888" w:rsidRPr="00C04888" w:rsidRDefault="00C04888" w:rsidP="007260B8">
      <w:pPr>
        <w:pStyle w:val="ListBullet"/>
        <w:rPr>
          <w:b/>
        </w:rPr>
      </w:pPr>
      <w:r w:rsidRPr="00C04888">
        <w:t xml:space="preserve">The required properties of the surfacing with respect to skid resistance, noise generation, robustness, spray generation, visibility and lighting. </w:t>
      </w:r>
    </w:p>
    <w:p w:rsidR="00C04888" w:rsidRPr="00C04888" w:rsidRDefault="00C04888" w:rsidP="007260B8">
      <w:pPr>
        <w:pStyle w:val="ListBullet"/>
        <w:rPr>
          <w:b/>
        </w:rPr>
      </w:pPr>
      <w:r w:rsidRPr="00C04888">
        <w:t>Compatibility of the design with predictable future treatments. This might include level considerations for kerb and gutters and the compatibility of aggregate sizes in seal design.</w:t>
      </w:r>
    </w:p>
    <w:p w:rsidR="00C04888" w:rsidRPr="00C04888" w:rsidRDefault="00C04888" w:rsidP="007260B8">
      <w:pPr>
        <w:pStyle w:val="ListBullet"/>
        <w:rPr>
          <w:b/>
        </w:rPr>
      </w:pPr>
      <w:r w:rsidRPr="00C04888">
        <w:t>Potential for the reuse of existing pavement, surfacing and natural materials and any possible reduction in the transport task and related energy use considerations.</w:t>
      </w:r>
    </w:p>
    <w:p w:rsidR="00C04888" w:rsidRPr="00C04888" w:rsidRDefault="00C04888" w:rsidP="007260B8">
      <w:pPr>
        <w:pStyle w:val="ListBullet"/>
      </w:pPr>
      <w:r w:rsidRPr="00C04888">
        <w:t>Different pavement types should not be used in adjacent lanes or with the shoulders due to the possible structural incompatibility, drainage and safety issues.</w:t>
      </w:r>
    </w:p>
    <w:p w:rsidR="00C04888" w:rsidRPr="00C04888" w:rsidRDefault="00C04888" w:rsidP="007260B8">
      <w:pPr>
        <w:pStyle w:val="ListBullet"/>
        <w:rPr>
          <w:b/>
          <w:bCs/>
        </w:rPr>
      </w:pPr>
      <w:r w:rsidRPr="00C04888">
        <w:rPr>
          <w:bCs/>
        </w:rPr>
        <w:t>The timing of works. The considerations here might include the season (summer, winter) in which the work will be undertaken and staging considerations such as trafficking the pavement prior to placing the final surface, the release of volatiles from cutback bitumen.</w:t>
      </w:r>
    </w:p>
    <w:p w:rsidR="00C04888" w:rsidRPr="00C04888" w:rsidRDefault="00C04888" w:rsidP="007260B8">
      <w:pPr>
        <w:pStyle w:val="ListBullet"/>
        <w:rPr>
          <w:b/>
          <w:bCs/>
        </w:rPr>
      </w:pPr>
      <w:r w:rsidRPr="00C04888">
        <w:rPr>
          <w:bCs/>
        </w:rPr>
        <w:t>Local industry capacity.</w:t>
      </w:r>
      <w:r w:rsidR="004B06C9">
        <w:rPr>
          <w:bCs/>
        </w:rPr>
        <w:t xml:space="preserve"> </w:t>
      </w:r>
      <w:r w:rsidRPr="00C04888">
        <w:rPr>
          <w:bCs/>
        </w:rPr>
        <w:t xml:space="preserve">In the event that a potentially favourable solution may not be within the capacity of local industry to perform, or involves the importation of a special material, particularly special bituminous products, additives and equipment, not commonly available in Tasmania, discussions should be held with that section of industry. The discussions should cover the process and cost implications, minimum </w:t>
      </w:r>
      <w:r w:rsidRPr="00C04888">
        <w:rPr>
          <w:bCs/>
        </w:rPr>
        <w:lastRenderedPageBreak/>
        <w:t>quantities and possible alternative solutions.</w:t>
      </w:r>
      <w:r w:rsidR="004B06C9">
        <w:rPr>
          <w:bCs/>
        </w:rPr>
        <w:t xml:space="preserve"> </w:t>
      </w:r>
      <w:r w:rsidRPr="00C04888">
        <w:rPr>
          <w:bCs/>
        </w:rPr>
        <w:t xml:space="preserve">This requirement is not intended to limit innovation, but is aimed only at clearly establishing the benefit and cost implications of the innovation. </w:t>
      </w:r>
    </w:p>
    <w:p w:rsidR="00C04888" w:rsidRPr="00C04888" w:rsidRDefault="00C04888" w:rsidP="007260B8">
      <w:pPr>
        <w:pStyle w:val="ListBullet"/>
        <w:rPr>
          <w:b/>
          <w:bCs/>
          <w:lang w:val="en-GB"/>
        </w:rPr>
      </w:pPr>
      <w:r w:rsidRPr="00C04888">
        <w:rPr>
          <w:bCs/>
          <w:lang w:val="en-GB"/>
        </w:rPr>
        <w:t>Designers may offer alternatives and are encouraged to do so, provided that a reasoned case that justifies the deviation is provided.</w:t>
      </w:r>
      <w:r w:rsidR="004B06C9">
        <w:rPr>
          <w:bCs/>
          <w:lang w:val="en-GB"/>
        </w:rPr>
        <w:t xml:space="preserve"> </w:t>
      </w:r>
      <w:r w:rsidRPr="00C04888">
        <w:rPr>
          <w:bCs/>
          <w:lang w:val="en-GB"/>
        </w:rPr>
        <w:t>However in this scenario, it is ultimately up to Department of State Growth whether any alternative is adopted.</w:t>
      </w:r>
      <w:r w:rsidR="004B06C9">
        <w:rPr>
          <w:bCs/>
          <w:lang w:val="en-GB"/>
        </w:rPr>
        <w:t xml:space="preserve"> </w:t>
      </w:r>
      <w:r w:rsidRPr="00C04888">
        <w:rPr>
          <w:bCs/>
          <w:lang w:val="en-GB"/>
        </w:rPr>
        <w:t>In all cases though, a complying design must be provided as a reference for comparison.</w:t>
      </w:r>
    </w:p>
    <w:p w:rsidR="00C04888" w:rsidRPr="00C04888" w:rsidRDefault="00C04888" w:rsidP="00C04888">
      <w:pPr>
        <w:pStyle w:val="Heading3"/>
        <w:numPr>
          <w:ilvl w:val="1"/>
          <w:numId w:val="10"/>
        </w:numPr>
      </w:pPr>
      <w:bookmarkStart w:id="40" w:name="_T15.7.2_Minimum_Pavement"/>
      <w:bookmarkStart w:id="41" w:name="_Toc379870521"/>
      <w:bookmarkStart w:id="42" w:name="_Toc392493632"/>
      <w:bookmarkStart w:id="43" w:name="_Toc48307161"/>
      <w:bookmarkEnd w:id="40"/>
      <w:r w:rsidRPr="00C04888">
        <w:t>Minimum Pavement Thickness</w:t>
      </w:r>
      <w:bookmarkEnd w:id="41"/>
      <w:bookmarkEnd w:id="42"/>
      <w:bookmarkEnd w:id="43"/>
    </w:p>
    <w:p w:rsidR="00C04888" w:rsidRPr="00C04888" w:rsidRDefault="00C04888" w:rsidP="00C04888">
      <w:pPr>
        <w:pStyle w:val="BodyText"/>
      </w:pPr>
      <w:r w:rsidRPr="00C04888">
        <w:t xml:space="preserve">For flexible pavements comprising unmodified granular materials and a sprayed seal or thin (&lt;50mm) asphalt surfacing, the pavement thickness shall be determined in accordance with the </w:t>
      </w:r>
      <w:r w:rsidRPr="00C04888">
        <w:rPr>
          <w:i/>
        </w:rPr>
        <w:t>Austroads Guide to Pavement Technology</w:t>
      </w:r>
      <w:r w:rsidRPr="00C04888">
        <w:t xml:space="preserve"> series.</w:t>
      </w:r>
      <w:r w:rsidR="004B06C9">
        <w:t xml:space="preserve"> </w:t>
      </w:r>
      <w:r w:rsidRPr="00C04888">
        <w:t xml:space="preserve">In addition to the </w:t>
      </w:r>
      <w:r w:rsidRPr="00C04888">
        <w:rPr>
          <w:i/>
        </w:rPr>
        <w:t>Austroads</w:t>
      </w:r>
      <w:r w:rsidRPr="00C04888">
        <w:t xml:space="preserve"> requirements, the minimum pavement thickness shall comply with the following:</w:t>
      </w:r>
    </w:p>
    <w:p w:rsidR="00C04888" w:rsidRPr="00C04888" w:rsidRDefault="00C04888" w:rsidP="00C04888">
      <w:pPr>
        <w:pStyle w:val="BodyText"/>
        <w:rPr>
          <w:b/>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9"/>
        <w:gridCol w:w="2835"/>
      </w:tblGrid>
      <w:tr w:rsidR="00C04888" w:rsidRPr="00C04888" w:rsidTr="006D18B8">
        <w:trPr>
          <w:jc w:val="center"/>
        </w:trPr>
        <w:tc>
          <w:tcPr>
            <w:tcW w:w="5669" w:type="dxa"/>
            <w:vAlign w:val="center"/>
          </w:tcPr>
          <w:p w:rsidR="00C04888" w:rsidRPr="00C04888" w:rsidRDefault="00C04888" w:rsidP="00C04888">
            <w:pPr>
              <w:pStyle w:val="BodyText"/>
              <w:rPr>
                <w:b/>
              </w:rPr>
            </w:pPr>
            <w:r w:rsidRPr="00C04888">
              <w:rPr>
                <w:b/>
              </w:rPr>
              <w:t>Design Traffic</w:t>
            </w:r>
          </w:p>
        </w:tc>
        <w:tc>
          <w:tcPr>
            <w:tcW w:w="2835" w:type="dxa"/>
            <w:vAlign w:val="center"/>
          </w:tcPr>
          <w:p w:rsidR="00C04888" w:rsidRPr="00C04888" w:rsidRDefault="00C04888" w:rsidP="00C04888">
            <w:pPr>
              <w:pStyle w:val="BodyText"/>
              <w:rPr>
                <w:b/>
              </w:rPr>
            </w:pPr>
            <w:r w:rsidRPr="00C04888">
              <w:rPr>
                <w:b/>
              </w:rPr>
              <w:t>Minimum Pavement Thickness</w:t>
            </w:r>
          </w:p>
        </w:tc>
      </w:tr>
      <w:tr w:rsidR="00C04888" w:rsidRPr="00C04888" w:rsidTr="006D18B8">
        <w:trPr>
          <w:jc w:val="center"/>
        </w:trPr>
        <w:tc>
          <w:tcPr>
            <w:tcW w:w="5669" w:type="dxa"/>
          </w:tcPr>
          <w:p w:rsidR="00C04888" w:rsidRPr="00C04888" w:rsidRDefault="00C04888" w:rsidP="00C04888">
            <w:pPr>
              <w:pStyle w:val="BodyText"/>
            </w:pPr>
            <w:r w:rsidRPr="00C04888">
              <w:t>Design Traffic less than or equal to</w:t>
            </w:r>
            <w:r w:rsidR="004B06C9">
              <w:t xml:space="preserve"> </w:t>
            </w:r>
            <w:r w:rsidRPr="00C04888">
              <w:t>5x10</w:t>
            </w:r>
            <w:r w:rsidRPr="00C04888">
              <w:rPr>
                <w:vertAlign w:val="superscript"/>
              </w:rPr>
              <w:t xml:space="preserve">5 </w:t>
            </w:r>
            <w:r w:rsidRPr="00C04888">
              <w:t>DESA’s</w:t>
            </w:r>
          </w:p>
        </w:tc>
        <w:tc>
          <w:tcPr>
            <w:tcW w:w="2835" w:type="dxa"/>
            <w:vAlign w:val="center"/>
          </w:tcPr>
          <w:p w:rsidR="00C04888" w:rsidRPr="00C04888" w:rsidRDefault="00C04888" w:rsidP="00C04888">
            <w:pPr>
              <w:pStyle w:val="BodyText"/>
            </w:pPr>
            <w:r w:rsidRPr="00C04888">
              <w:t>300 mm</w:t>
            </w:r>
          </w:p>
        </w:tc>
      </w:tr>
      <w:tr w:rsidR="00C04888" w:rsidRPr="00C04888" w:rsidTr="006D18B8">
        <w:trPr>
          <w:jc w:val="center"/>
        </w:trPr>
        <w:tc>
          <w:tcPr>
            <w:tcW w:w="5669" w:type="dxa"/>
          </w:tcPr>
          <w:p w:rsidR="00C04888" w:rsidRPr="00C04888" w:rsidRDefault="00C04888" w:rsidP="00C04888">
            <w:pPr>
              <w:pStyle w:val="BodyText"/>
            </w:pPr>
            <w:r w:rsidRPr="00C04888">
              <w:t>Design Traffic greater than 5x10</w:t>
            </w:r>
            <w:r w:rsidRPr="00C04888">
              <w:rPr>
                <w:vertAlign w:val="superscript"/>
              </w:rPr>
              <w:t xml:space="preserve">5 </w:t>
            </w:r>
            <w:r w:rsidRPr="00C04888">
              <w:t>DESA’s but less than or equal to 5x10</w:t>
            </w:r>
            <w:r w:rsidRPr="00C04888">
              <w:rPr>
                <w:vertAlign w:val="superscript"/>
              </w:rPr>
              <w:t xml:space="preserve">6 </w:t>
            </w:r>
            <w:r w:rsidRPr="00C04888">
              <w:t>DESA’s</w:t>
            </w:r>
          </w:p>
        </w:tc>
        <w:tc>
          <w:tcPr>
            <w:tcW w:w="2835" w:type="dxa"/>
            <w:vAlign w:val="center"/>
          </w:tcPr>
          <w:p w:rsidR="00C04888" w:rsidRPr="00C04888" w:rsidRDefault="00C04888" w:rsidP="00C04888">
            <w:pPr>
              <w:pStyle w:val="BodyText"/>
            </w:pPr>
            <w:r w:rsidRPr="00C04888">
              <w:t>400 mm</w:t>
            </w:r>
          </w:p>
        </w:tc>
      </w:tr>
      <w:tr w:rsidR="00C04888" w:rsidRPr="00C04888" w:rsidTr="006D18B8">
        <w:trPr>
          <w:jc w:val="center"/>
        </w:trPr>
        <w:tc>
          <w:tcPr>
            <w:tcW w:w="5669" w:type="dxa"/>
          </w:tcPr>
          <w:p w:rsidR="00C04888" w:rsidRPr="00C04888" w:rsidRDefault="00C04888" w:rsidP="00C04888">
            <w:pPr>
              <w:pStyle w:val="BodyText"/>
            </w:pPr>
            <w:r w:rsidRPr="00C04888">
              <w:t>Design Traffic greater than 5x10</w:t>
            </w:r>
            <w:r w:rsidRPr="00C04888">
              <w:rPr>
                <w:vertAlign w:val="superscript"/>
              </w:rPr>
              <w:t xml:space="preserve">6 </w:t>
            </w:r>
            <w:r w:rsidRPr="00C04888">
              <w:t xml:space="preserve">DESA’s </w:t>
            </w:r>
          </w:p>
        </w:tc>
        <w:tc>
          <w:tcPr>
            <w:tcW w:w="2835" w:type="dxa"/>
            <w:vAlign w:val="center"/>
          </w:tcPr>
          <w:p w:rsidR="00C04888" w:rsidRPr="00C04888" w:rsidRDefault="00C04888" w:rsidP="00C04888">
            <w:pPr>
              <w:pStyle w:val="BodyText"/>
            </w:pPr>
            <w:r w:rsidRPr="00C04888">
              <w:t>450 mm</w:t>
            </w:r>
          </w:p>
        </w:tc>
      </w:tr>
    </w:tbl>
    <w:p w:rsidR="00C04888" w:rsidRPr="00C04888" w:rsidRDefault="00C04888" w:rsidP="001558AD">
      <w:pPr>
        <w:pStyle w:val="Heading3"/>
        <w:numPr>
          <w:ilvl w:val="1"/>
          <w:numId w:val="10"/>
        </w:numPr>
      </w:pPr>
      <w:bookmarkStart w:id="44" w:name="_T15.7.3_Minimum_Base"/>
      <w:bookmarkStart w:id="45" w:name="_Toc379870522"/>
      <w:bookmarkStart w:id="46" w:name="_Toc392493633"/>
      <w:bookmarkStart w:id="47" w:name="_Ref48299877"/>
      <w:bookmarkStart w:id="48" w:name="_Toc48307162"/>
      <w:bookmarkEnd w:id="44"/>
      <w:r w:rsidRPr="00C04888">
        <w:t>Minimum Base Course</w:t>
      </w:r>
      <w:bookmarkEnd w:id="39"/>
      <w:r w:rsidRPr="00C04888">
        <w:t xml:space="preserve"> Thickness</w:t>
      </w:r>
      <w:bookmarkEnd w:id="45"/>
      <w:bookmarkEnd w:id="46"/>
      <w:bookmarkEnd w:id="47"/>
      <w:bookmarkEnd w:id="48"/>
    </w:p>
    <w:p w:rsidR="00C04888" w:rsidRPr="00C04888" w:rsidRDefault="00C04888" w:rsidP="00C04888">
      <w:pPr>
        <w:pStyle w:val="BodyText"/>
      </w:pPr>
      <w:r w:rsidRPr="00C04888">
        <w:t>For flexible pavements comprising unmodified granular base materials and a sprayed seal or thin (&lt;50mm) asphalt surfacing, the thickness of Base Course shall be determined in accordance with the Austroads Guide to Pavement Technology series.</w:t>
      </w:r>
      <w:r w:rsidR="004B06C9">
        <w:t xml:space="preserve"> </w:t>
      </w:r>
      <w:r w:rsidRPr="00C04888">
        <w:t>However, if the thickness of Base Course is less than specified in the following table, then the Base Course thickness shall be increased to meet the following requirements:</w:t>
      </w:r>
    </w:p>
    <w:p w:rsidR="00C04888" w:rsidRPr="00C04888" w:rsidRDefault="00C04888" w:rsidP="00C04888">
      <w:pPr>
        <w:pStyle w:val="BodyTex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9"/>
        <w:gridCol w:w="2835"/>
      </w:tblGrid>
      <w:tr w:rsidR="00C04888" w:rsidRPr="00C04888" w:rsidTr="006D18B8">
        <w:trPr>
          <w:jc w:val="center"/>
        </w:trPr>
        <w:tc>
          <w:tcPr>
            <w:tcW w:w="5669" w:type="dxa"/>
            <w:vAlign w:val="center"/>
          </w:tcPr>
          <w:p w:rsidR="00C04888" w:rsidRPr="00C04888" w:rsidRDefault="00C04888" w:rsidP="00C04888">
            <w:pPr>
              <w:pStyle w:val="BodyText"/>
              <w:rPr>
                <w:b/>
              </w:rPr>
            </w:pPr>
            <w:r w:rsidRPr="00C04888">
              <w:rPr>
                <w:b/>
              </w:rPr>
              <w:t>Design Traffic</w:t>
            </w:r>
          </w:p>
        </w:tc>
        <w:tc>
          <w:tcPr>
            <w:tcW w:w="2835" w:type="dxa"/>
            <w:vAlign w:val="center"/>
          </w:tcPr>
          <w:p w:rsidR="00C04888" w:rsidRPr="00C04888" w:rsidRDefault="00C04888" w:rsidP="00C04888">
            <w:pPr>
              <w:pStyle w:val="BodyText"/>
              <w:rPr>
                <w:b/>
              </w:rPr>
            </w:pPr>
            <w:r w:rsidRPr="00C04888">
              <w:rPr>
                <w:b/>
              </w:rPr>
              <w:t>Minimum Base Thickness</w:t>
            </w:r>
          </w:p>
        </w:tc>
      </w:tr>
      <w:tr w:rsidR="00C04888" w:rsidRPr="00C04888" w:rsidTr="006D18B8">
        <w:trPr>
          <w:jc w:val="center"/>
        </w:trPr>
        <w:tc>
          <w:tcPr>
            <w:tcW w:w="5669" w:type="dxa"/>
          </w:tcPr>
          <w:p w:rsidR="00C04888" w:rsidRPr="00C04888" w:rsidRDefault="00C04888" w:rsidP="00C04888">
            <w:pPr>
              <w:pStyle w:val="BodyText"/>
            </w:pPr>
            <w:r w:rsidRPr="00C04888">
              <w:t>Design Traffic less than or equal to</w:t>
            </w:r>
            <w:r w:rsidR="004B06C9">
              <w:t xml:space="preserve"> </w:t>
            </w:r>
            <w:r w:rsidRPr="00C04888">
              <w:t>5x10</w:t>
            </w:r>
            <w:r w:rsidRPr="00C04888">
              <w:rPr>
                <w:vertAlign w:val="superscript"/>
              </w:rPr>
              <w:t xml:space="preserve">5 </w:t>
            </w:r>
            <w:r w:rsidRPr="00C04888">
              <w:t>DESA’s</w:t>
            </w:r>
          </w:p>
        </w:tc>
        <w:tc>
          <w:tcPr>
            <w:tcW w:w="2835" w:type="dxa"/>
            <w:vAlign w:val="center"/>
          </w:tcPr>
          <w:p w:rsidR="00C04888" w:rsidRPr="00C04888" w:rsidRDefault="00C04888" w:rsidP="00C04888">
            <w:pPr>
              <w:pStyle w:val="BodyText"/>
            </w:pPr>
            <w:r w:rsidRPr="00C04888">
              <w:t>100 mm</w:t>
            </w:r>
          </w:p>
        </w:tc>
      </w:tr>
      <w:tr w:rsidR="00C04888" w:rsidRPr="00C04888" w:rsidTr="006D18B8">
        <w:trPr>
          <w:jc w:val="center"/>
        </w:trPr>
        <w:tc>
          <w:tcPr>
            <w:tcW w:w="5669" w:type="dxa"/>
          </w:tcPr>
          <w:p w:rsidR="00C04888" w:rsidRPr="00C04888" w:rsidRDefault="00C04888" w:rsidP="00C04888">
            <w:pPr>
              <w:pStyle w:val="BodyText"/>
            </w:pPr>
            <w:r w:rsidRPr="00C04888">
              <w:t>Design Traffic greater than 5x10</w:t>
            </w:r>
            <w:r w:rsidRPr="00C04888">
              <w:rPr>
                <w:vertAlign w:val="superscript"/>
              </w:rPr>
              <w:t xml:space="preserve">5 </w:t>
            </w:r>
            <w:r w:rsidRPr="00C04888">
              <w:t>DESA’s but less than or equal to 5x10</w:t>
            </w:r>
            <w:r w:rsidRPr="00C04888">
              <w:rPr>
                <w:vertAlign w:val="superscript"/>
              </w:rPr>
              <w:t xml:space="preserve">6 </w:t>
            </w:r>
            <w:r w:rsidRPr="00C04888">
              <w:t>DESA’s</w:t>
            </w:r>
          </w:p>
        </w:tc>
        <w:tc>
          <w:tcPr>
            <w:tcW w:w="2835" w:type="dxa"/>
            <w:vAlign w:val="center"/>
          </w:tcPr>
          <w:p w:rsidR="00C04888" w:rsidRPr="00C04888" w:rsidRDefault="00C04888" w:rsidP="00C04888">
            <w:pPr>
              <w:pStyle w:val="BodyText"/>
            </w:pPr>
            <w:r w:rsidRPr="00C04888">
              <w:t>150 mm</w:t>
            </w:r>
          </w:p>
        </w:tc>
      </w:tr>
      <w:tr w:rsidR="00C04888" w:rsidRPr="00C04888" w:rsidTr="006D18B8">
        <w:trPr>
          <w:jc w:val="center"/>
        </w:trPr>
        <w:tc>
          <w:tcPr>
            <w:tcW w:w="5669" w:type="dxa"/>
          </w:tcPr>
          <w:p w:rsidR="00C04888" w:rsidRPr="00C04888" w:rsidRDefault="00C04888" w:rsidP="00C04888">
            <w:pPr>
              <w:pStyle w:val="BodyText"/>
            </w:pPr>
            <w:r w:rsidRPr="00C04888">
              <w:t>Design Traffic greater than 5x10</w:t>
            </w:r>
            <w:r w:rsidRPr="00C04888">
              <w:rPr>
                <w:vertAlign w:val="superscript"/>
              </w:rPr>
              <w:t xml:space="preserve">6 </w:t>
            </w:r>
            <w:r w:rsidRPr="00C04888">
              <w:t xml:space="preserve">DESA’s </w:t>
            </w:r>
          </w:p>
        </w:tc>
        <w:tc>
          <w:tcPr>
            <w:tcW w:w="2835" w:type="dxa"/>
            <w:vAlign w:val="center"/>
          </w:tcPr>
          <w:p w:rsidR="00C04888" w:rsidRPr="00C04888" w:rsidRDefault="00C04888" w:rsidP="00C04888">
            <w:pPr>
              <w:pStyle w:val="BodyText"/>
            </w:pPr>
            <w:r w:rsidRPr="00C04888">
              <w:t>175 mm</w:t>
            </w:r>
          </w:p>
        </w:tc>
      </w:tr>
    </w:tbl>
    <w:p w:rsidR="00C04888" w:rsidRPr="00C04888" w:rsidRDefault="00C04888" w:rsidP="001558AD">
      <w:pPr>
        <w:pStyle w:val="Heading3"/>
        <w:numPr>
          <w:ilvl w:val="1"/>
          <w:numId w:val="10"/>
        </w:numPr>
      </w:pPr>
      <w:bookmarkStart w:id="49" w:name="_T15.7.4_Material_Quality"/>
      <w:bookmarkStart w:id="50" w:name="_Toc379870523"/>
      <w:bookmarkStart w:id="51" w:name="_Toc392493634"/>
      <w:bookmarkStart w:id="52" w:name="_Toc48307163"/>
      <w:bookmarkEnd w:id="49"/>
      <w:r w:rsidRPr="00C04888">
        <w:t>Material Quality – Sealed Pavements</w:t>
      </w:r>
      <w:bookmarkEnd w:id="50"/>
      <w:bookmarkEnd w:id="51"/>
      <w:bookmarkEnd w:id="52"/>
    </w:p>
    <w:p w:rsidR="00C04888" w:rsidRPr="00C04888" w:rsidRDefault="00C04888" w:rsidP="00C04888">
      <w:pPr>
        <w:pStyle w:val="BodyText"/>
      </w:pPr>
      <w:r w:rsidRPr="00C04888">
        <w:t>Base Class A shall be specified for sites where the Design Traffic is greater than 5x10</w:t>
      </w:r>
      <w:r w:rsidRPr="00C04888">
        <w:rPr>
          <w:vertAlign w:val="superscript"/>
        </w:rPr>
        <w:t xml:space="preserve">6 </w:t>
      </w:r>
      <w:r w:rsidRPr="00C04888">
        <w:t>DESA’s, and for pavements where an asphalt surface is required.</w:t>
      </w:r>
      <w:r w:rsidR="004B06C9">
        <w:t xml:space="preserve"> </w:t>
      </w:r>
      <w:r w:rsidRPr="00C04888">
        <w:t>For all other sites, Base Class A is the preferred material.</w:t>
      </w:r>
      <w:r w:rsidR="004B06C9">
        <w:t xml:space="preserve"> </w:t>
      </w:r>
      <w:r w:rsidRPr="00C04888">
        <w:t>However, for lower trafficked roads, Base Class B may be specified if it is justified by a life cycle costing and is not detrimental to the structural capacity of the pavement.</w:t>
      </w:r>
    </w:p>
    <w:p w:rsidR="00C04888" w:rsidRPr="00C04888" w:rsidRDefault="00C04888" w:rsidP="001558AD">
      <w:pPr>
        <w:pStyle w:val="Heading3"/>
        <w:numPr>
          <w:ilvl w:val="1"/>
          <w:numId w:val="10"/>
        </w:numPr>
      </w:pPr>
      <w:bookmarkStart w:id="53" w:name="_T15.7.5_Material_Quality"/>
      <w:bookmarkStart w:id="54" w:name="_Toc379870524"/>
      <w:bookmarkStart w:id="55" w:name="_Toc392493635"/>
      <w:bookmarkStart w:id="56" w:name="_Toc48307164"/>
      <w:bookmarkEnd w:id="53"/>
      <w:r w:rsidRPr="00C04888">
        <w:t>Material Quality – Unsealed Pavements</w:t>
      </w:r>
      <w:bookmarkEnd w:id="54"/>
      <w:bookmarkEnd w:id="55"/>
      <w:bookmarkEnd w:id="56"/>
    </w:p>
    <w:p w:rsidR="00C04888" w:rsidRPr="00C04888" w:rsidRDefault="00C04888" w:rsidP="00C04888">
      <w:pPr>
        <w:pStyle w:val="BodyText"/>
      </w:pPr>
      <w:r w:rsidRPr="00C04888">
        <w:t xml:space="preserve">The pavement Base Course material for unsealed roads is defined in </w:t>
      </w:r>
      <w:r w:rsidR="00604A74">
        <w:t xml:space="preserve">the </w:t>
      </w:r>
      <w:r w:rsidR="004B1B71">
        <w:t xml:space="preserve">Department’s </w:t>
      </w:r>
      <w:r w:rsidR="00604A74">
        <w:t>Standard Specification</w:t>
      </w:r>
      <w:r w:rsidR="004B1B71">
        <w:t>s.</w:t>
      </w:r>
    </w:p>
    <w:p w:rsidR="00C04888" w:rsidRPr="00C04888" w:rsidRDefault="00C04888" w:rsidP="00496886">
      <w:pPr>
        <w:pStyle w:val="Heading3"/>
        <w:numPr>
          <w:ilvl w:val="1"/>
          <w:numId w:val="10"/>
        </w:numPr>
        <w:rPr>
          <w:lang w:val="en-GB"/>
        </w:rPr>
      </w:pPr>
      <w:bookmarkStart w:id="57" w:name="_T15.7.6_Non-standard_Granular"/>
      <w:bookmarkStart w:id="58" w:name="_Toc379870525"/>
      <w:bookmarkStart w:id="59" w:name="_Toc392493636"/>
      <w:bookmarkStart w:id="60" w:name="_Toc48307165"/>
      <w:bookmarkStart w:id="61" w:name="_Toc235263641"/>
      <w:bookmarkEnd w:id="57"/>
      <w:r w:rsidRPr="00C04888">
        <w:rPr>
          <w:lang w:val="en-GB"/>
        </w:rPr>
        <w:lastRenderedPageBreak/>
        <w:t>Non-standard Granular Materials</w:t>
      </w:r>
      <w:bookmarkEnd w:id="58"/>
      <w:bookmarkEnd w:id="59"/>
      <w:bookmarkEnd w:id="60"/>
    </w:p>
    <w:p w:rsidR="00C04888" w:rsidRPr="00C04888" w:rsidRDefault="00C04888" w:rsidP="00C04888">
      <w:pPr>
        <w:pStyle w:val="BodyText"/>
      </w:pPr>
      <w:r w:rsidRPr="00C04888">
        <w:t>The use of non-standard local gravel sources or the re-use of existing materials may be nominated by Department of State Growth in the design brief, or identified by the designer based on economic considerations.</w:t>
      </w:r>
      <w:r w:rsidR="004B06C9">
        <w:t xml:space="preserve"> </w:t>
      </w:r>
      <w:r w:rsidRPr="00C04888">
        <w:t>Non-standard materials shall only be considered for remote locations where standard materials are not readily available, or for low traffic roads.</w:t>
      </w:r>
    </w:p>
    <w:p w:rsidR="00C04888" w:rsidRPr="00C04888" w:rsidRDefault="00C04888" w:rsidP="00C04888">
      <w:pPr>
        <w:pStyle w:val="BodyText"/>
      </w:pPr>
    </w:p>
    <w:p w:rsidR="00C04888" w:rsidRPr="00C04888" w:rsidRDefault="00C04888" w:rsidP="00C04888">
      <w:pPr>
        <w:pStyle w:val="BodyText"/>
      </w:pPr>
      <w:r w:rsidRPr="00C04888">
        <w:t>Although not desirable, it is recognised that for some sites, it is more economical to utilise local gravel sources or re-use existing materials, rather than import Base Class A or B or subbase materials.</w:t>
      </w:r>
      <w:r w:rsidR="004B06C9">
        <w:t xml:space="preserve"> </w:t>
      </w:r>
      <w:r w:rsidRPr="00C04888">
        <w:t>Prior to the use of non-standard Base materials, the suitability for surfacing shall be established.</w:t>
      </w:r>
    </w:p>
    <w:p w:rsidR="00C04888" w:rsidRPr="00C04888" w:rsidRDefault="00C04888" w:rsidP="00C04888">
      <w:pPr>
        <w:pStyle w:val="BodyText"/>
      </w:pPr>
    </w:p>
    <w:p w:rsidR="00C04888" w:rsidRPr="00C04888" w:rsidRDefault="00C04888" w:rsidP="00C04888">
      <w:pPr>
        <w:pStyle w:val="BodyText"/>
      </w:pPr>
      <w:r w:rsidRPr="00C04888">
        <w:t>Non-standard materials should only be used after consideration of:</w:t>
      </w:r>
    </w:p>
    <w:p w:rsidR="00C04888" w:rsidRPr="00C04888" w:rsidRDefault="00C04888" w:rsidP="007260B8">
      <w:pPr>
        <w:pStyle w:val="ListBullet"/>
      </w:pPr>
      <w:r w:rsidRPr="00C04888">
        <w:t>The documented performance history of the proposed material</w:t>
      </w:r>
    </w:p>
    <w:p w:rsidR="00C04888" w:rsidRPr="00C04888" w:rsidRDefault="00C04888" w:rsidP="007260B8">
      <w:pPr>
        <w:pStyle w:val="ListBullet"/>
      </w:pPr>
      <w:r w:rsidRPr="00C04888">
        <w:t>Relative cost compared to complying materials</w:t>
      </w:r>
    </w:p>
    <w:p w:rsidR="00C04888" w:rsidRPr="00C04888" w:rsidRDefault="00C04888" w:rsidP="007260B8">
      <w:pPr>
        <w:pStyle w:val="ListBullet"/>
      </w:pPr>
      <w:r w:rsidRPr="00C04888">
        <w:t>The predicted traffic loading</w:t>
      </w:r>
    </w:p>
    <w:p w:rsidR="00C04888" w:rsidRPr="00C04888" w:rsidRDefault="00C04888" w:rsidP="007260B8">
      <w:pPr>
        <w:pStyle w:val="ListBullet"/>
      </w:pPr>
      <w:r w:rsidRPr="00C04888">
        <w:t>The subgrade conditions, in particular the sensitivity to moisture</w:t>
      </w:r>
    </w:p>
    <w:p w:rsidR="00C04888" w:rsidRPr="00C04888" w:rsidRDefault="00C04888" w:rsidP="007260B8">
      <w:pPr>
        <w:pStyle w:val="ListBullet"/>
      </w:pPr>
      <w:r w:rsidRPr="00C04888">
        <w:t>The quality and uniformity of the materials as demonstrated by laboratory testing</w:t>
      </w:r>
    </w:p>
    <w:p w:rsidR="00C04888" w:rsidRPr="00C04888" w:rsidRDefault="00C04888" w:rsidP="007260B8">
      <w:pPr>
        <w:pStyle w:val="ListBullet"/>
      </w:pPr>
      <w:r w:rsidRPr="00C04888">
        <w:t>The consequences of poor performance.</w:t>
      </w:r>
    </w:p>
    <w:p w:rsidR="00C04888" w:rsidRPr="00C04888" w:rsidRDefault="00C04888" w:rsidP="00C04888">
      <w:pPr>
        <w:pStyle w:val="BodyText"/>
      </w:pPr>
    </w:p>
    <w:p w:rsidR="00C04888" w:rsidRPr="00C04888" w:rsidRDefault="00C04888" w:rsidP="00C04888">
      <w:pPr>
        <w:pStyle w:val="BodyText"/>
      </w:pPr>
      <w:r w:rsidRPr="00C04888">
        <w:t>The quality of the materials shall be taken into consideration when calculating the base course thickness and total pavement thickness.</w:t>
      </w:r>
      <w:r w:rsidR="004B06C9">
        <w:t xml:space="preserve"> </w:t>
      </w:r>
      <w:r w:rsidRPr="00C04888">
        <w:t>If necessary, mechanistic design should be undertaken to account for lower quality materials.</w:t>
      </w:r>
    </w:p>
    <w:p w:rsidR="00C04888" w:rsidRPr="00C04888" w:rsidRDefault="00C04888" w:rsidP="00C04888">
      <w:pPr>
        <w:pStyle w:val="BodyText"/>
      </w:pPr>
    </w:p>
    <w:p w:rsidR="00C04888" w:rsidRPr="00C04888" w:rsidRDefault="00C04888" w:rsidP="00C04888">
      <w:pPr>
        <w:pStyle w:val="BodyText"/>
      </w:pPr>
      <w:r w:rsidRPr="00C04888">
        <w:t>The use of non-standard materials is a Hold Point, requiring approval from Department of State Growth Road Asset Management Section, prior to undertaking the pavement design.</w:t>
      </w:r>
    </w:p>
    <w:p w:rsidR="00C04888" w:rsidRPr="00C04888" w:rsidRDefault="00C04888" w:rsidP="00496886">
      <w:pPr>
        <w:pStyle w:val="Heading3"/>
        <w:numPr>
          <w:ilvl w:val="1"/>
          <w:numId w:val="10"/>
        </w:numPr>
      </w:pPr>
      <w:bookmarkStart w:id="62" w:name="_T15.7.7_Asphalt_Pavements"/>
      <w:bookmarkStart w:id="63" w:name="_Toc379870526"/>
      <w:bookmarkStart w:id="64" w:name="_Toc392493637"/>
      <w:bookmarkStart w:id="65" w:name="_Toc48307166"/>
      <w:bookmarkEnd w:id="62"/>
      <w:r w:rsidRPr="00C04888">
        <w:t>Asphalt Pavements</w:t>
      </w:r>
      <w:bookmarkEnd w:id="63"/>
      <w:bookmarkEnd w:id="64"/>
      <w:bookmarkEnd w:id="65"/>
    </w:p>
    <w:p w:rsidR="00C04888" w:rsidRPr="00C04888" w:rsidRDefault="00C04888" w:rsidP="00C04888">
      <w:pPr>
        <w:pStyle w:val="BodyText"/>
      </w:pPr>
      <w:r w:rsidRPr="00C04888">
        <w:t xml:space="preserve">For pavements comprising an asphalt Base, the pavements shall include a granular layer, comprising of at least 150mm of Base </w:t>
      </w:r>
      <w:proofErr w:type="gramStart"/>
      <w:r w:rsidRPr="00C04888">
        <w:t>A</w:t>
      </w:r>
      <w:proofErr w:type="gramEnd"/>
      <w:r w:rsidRPr="00C04888">
        <w:t xml:space="preserve"> quality material, placed immediately below the asphalt Base.</w:t>
      </w:r>
    </w:p>
    <w:p w:rsidR="00C04888" w:rsidRPr="00C04888" w:rsidRDefault="00C04888" w:rsidP="00C04888">
      <w:pPr>
        <w:pStyle w:val="BodyText"/>
      </w:pPr>
    </w:p>
    <w:p w:rsidR="00C04888" w:rsidRPr="00C04888" w:rsidRDefault="00C04888" w:rsidP="00C04888">
      <w:pPr>
        <w:pStyle w:val="BodyText"/>
      </w:pPr>
      <w:r w:rsidRPr="00C04888">
        <w:t>For pavements comprising an asphalt Base and asphalt subbase, the pavements shall include a granular subbase, comprising of at least 150mm of subbase 1 quality material, placed immediately below the asphalt subbase.</w:t>
      </w:r>
    </w:p>
    <w:p w:rsidR="00C04888" w:rsidRPr="00C04888" w:rsidRDefault="00C04888" w:rsidP="00496886">
      <w:pPr>
        <w:pStyle w:val="Heading3"/>
        <w:numPr>
          <w:ilvl w:val="1"/>
          <w:numId w:val="10"/>
        </w:numPr>
      </w:pPr>
      <w:bookmarkStart w:id="66" w:name="_T15.7.8_Temporary_Pavements"/>
      <w:bookmarkStart w:id="67" w:name="_Toc379870527"/>
      <w:bookmarkStart w:id="68" w:name="_Toc392493638"/>
      <w:bookmarkStart w:id="69" w:name="_Ref48298721"/>
      <w:bookmarkStart w:id="70" w:name="_Toc48307167"/>
      <w:bookmarkEnd w:id="66"/>
      <w:r w:rsidRPr="00C04888">
        <w:t>Temporary Pavements</w:t>
      </w:r>
      <w:bookmarkEnd w:id="67"/>
      <w:bookmarkEnd w:id="68"/>
      <w:bookmarkEnd w:id="69"/>
      <w:bookmarkEnd w:id="70"/>
    </w:p>
    <w:p w:rsidR="00C04888" w:rsidRPr="00C04888" w:rsidRDefault="00C04888" w:rsidP="00C04888">
      <w:pPr>
        <w:pStyle w:val="BodyText"/>
      </w:pPr>
      <w:r w:rsidRPr="00C04888">
        <w:t>The pavement design for temporary pavements including detours shall utilise a Project Reliability Factor of 80%.</w:t>
      </w:r>
    </w:p>
    <w:p w:rsidR="00C04888" w:rsidRPr="00C04888" w:rsidRDefault="00C04888" w:rsidP="00496886">
      <w:pPr>
        <w:pStyle w:val="Heading3"/>
        <w:numPr>
          <w:ilvl w:val="1"/>
          <w:numId w:val="10"/>
        </w:numPr>
        <w:rPr>
          <w:lang w:val="en-GB"/>
        </w:rPr>
      </w:pPr>
      <w:bookmarkStart w:id="71" w:name="_T15.7.9_Other_Pavement"/>
      <w:bookmarkStart w:id="72" w:name="_Toc379870528"/>
      <w:bookmarkStart w:id="73" w:name="_Toc392493639"/>
      <w:bookmarkStart w:id="74" w:name="_Toc48307168"/>
      <w:bookmarkEnd w:id="71"/>
      <w:r w:rsidRPr="00C04888">
        <w:rPr>
          <w:lang w:val="en-GB"/>
        </w:rPr>
        <w:t>Other Pavement Design Considerations</w:t>
      </w:r>
      <w:bookmarkEnd w:id="72"/>
      <w:bookmarkEnd w:id="73"/>
      <w:bookmarkEnd w:id="74"/>
    </w:p>
    <w:p w:rsidR="00C04888" w:rsidRPr="00C04888" w:rsidRDefault="00C04888" w:rsidP="00C04888">
      <w:pPr>
        <w:pStyle w:val="BodyText"/>
      </w:pPr>
      <w:r w:rsidRPr="00C04888">
        <w:t xml:space="preserve">The thickness of bituminous surfacing, including thin asphalt </w:t>
      </w:r>
      <w:proofErr w:type="spellStart"/>
      <w:r w:rsidRPr="00C04888">
        <w:t>surfacings</w:t>
      </w:r>
      <w:proofErr w:type="spellEnd"/>
      <w:r w:rsidRPr="00C04888">
        <w:t xml:space="preserve"> (less than 50mm thick) and geotextile seals, is considered non-structural for the purpose of pavement design, and shall not be included in the total pavement thickness.</w:t>
      </w:r>
    </w:p>
    <w:p w:rsidR="00C04888" w:rsidRPr="00C04888" w:rsidRDefault="00C04888" w:rsidP="00C04888">
      <w:pPr>
        <w:pStyle w:val="BodyText"/>
      </w:pPr>
    </w:p>
    <w:p w:rsidR="00C04888" w:rsidRPr="00C04888" w:rsidRDefault="00C04888" w:rsidP="00C04888">
      <w:pPr>
        <w:pStyle w:val="BodyText"/>
      </w:pPr>
      <w:r w:rsidRPr="00C04888">
        <w:t xml:space="preserve">Geotextiles and </w:t>
      </w:r>
      <w:proofErr w:type="spellStart"/>
      <w:r w:rsidRPr="00C04888">
        <w:t>geosynthetics</w:t>
      </w:r>
      <w:proofErr w:type="spellEnd"/>
      <w:r w:rsidRPr="00C04888">
        <w:t xml:space="preserve"> that reinforce pavement layers or have load spreading properties are excluded from the mechanistic modelling procedure.</w:t>
      </w:r>
    </w:p>
    <w:p w:rsidR="00C04888" w:rsidRPr="00C04888" w:rsidRDefault="00C04888" w:rsidP="00C04888">
      <w:pPr>
        <w:pStyle w:val="BodyText"/>
      </w:pPr>
    </w:p>
    <w:p w:rsidR="00C04888" w:rsidRPr="00C04888" w:rsidRDefault="00C04888" w:rsidP="00C04888">
      <w:pPr>
        <w:pStyle w:val="BodyText"/>
      </w:pPr>
      <w:r w:rsidRPr="00C04888">
        <w:t>Granular and asphalt thicknesses shall be rounded up to the nearest 5mm.</w:t>
      </w:r>
    </w:p>
    <w:p w:rsidR="00C04888" w:rsidRPr="00C04888" w:rsidRDefault="00C04888" w:rsidP="00C04888">
      <w:pPr>
        <w:pStyle w:val="BodyText"/>
      </w:pPr>
    </w:p>
    <w:p w:rsidR="00C04888" w:rsidRPr="00C04888" w:rsidRDefault="00C04888" w:rsidP="00C04888">
      <w:pPr>
        <w:pStyle w:val="BodyText"/>
      </w:pPr>
      <w:r w:rsidRPr="00C04888">
        <w:lastRenderedPageBreak/>
        <w:t>A construction tolerance of 10mm shall be added to the thickness of the critical layer.</w:t>
      </w:r>
      <w:r w:rsidR="004B06C9">
        <w:t xml:space="preserve"> </w:t>
      </w:r>
      <w:r w:rsidRPr="00C04888">
        <w:t>The critical layer is defined as the layer that controls the design life of the pavement through its fatigue resistance, or in the case of granular pavements, is the unbound granular base layer.</w:t>
      </w:r>
    </w:p>
    <w:p w:rsidR="00C04888" w:rsidRPr="00C04888" w:rsidRDefault="00C04888" w:rsidP="00496886">
      <w:pPr>
        <w:pStyle w:val="Heading3"/>
        <w:numPr>
          <w:ilvl w:val="1"/>
          <w:numId w:val="10"/>
        </w:numPr>
        <w:rPr>
          <w:lang w:val="en-GB"/>
        </w:rPr>
      </w:pPr>
      <w:bookmarkStart w:id="75" w:name="_T15.7.10_Economics_of"/>
      <w:bookmarkStart w:id="76" w:name="_Toc379870529"/>
      <w:bookmarkStart w:id="77" w:name="_Toc392493640"/>
      <w:bookmarkStart w:id="78" w:name="_Toc48307169"/>
      <w:bookmarkEnd w:id="75"/>
      <w:r w:rsidRPr="00C04888">
        <w:rPr>
          <w:lang w:val="en-GB"/>
        </w:rPr>
        <w:t>Economics of Construction</w:t>
      </w:r>
      <w:bookmarkEnd w:id="76"/>
      <w:bookmarkEnd w:id="77"/>
      <w:bookmarkEnd w:id="78"/>
    </w:p>
    <w:p w:rsidR="00C04888" w:rsidRPr="00C04888" w:rsidRDefault="00C04888" w:rsidP="00C04888">
      <w:pPr>
        <w:pStyle w:val="BodyText"/>
      </w:pPr>
      <w:r w:rsidRPr="00C04888">
        <w:t xml:space="preserve">When determining the configuration of the pavement layers, the designer shall take into account the maximum layer thicknesses defined in </w:t>
      </w:r>
      <w:r w:rsidR="004B1B71">
        <w:t>the Department’s Standard Specifications</w:t>
      </w:r>
      <w:r w:rsidRPr="00C04888">
        <w:t>.</w:t>
      </w:r>
      <w:r w:rsidR="004B06C9">
        <w:t xml:space="preserve"> </w:t>
      </w:r>
      <w:r w:rsidRPr="00C04888">
        <w:t>To enable adequate compaction, the layer thickness shall be no less than three times the nominal stone size.</w:t>
      </w:r>
      <w:bookmarkEnd w:id="61"/>
    </w:p>
    <w:p w:rsidR="00C04888" w:rsidRDefault="00C04888" w:rsidP="00C04888">
      <w:pPr>
        <w:pStyle w:val="BodyText"/>
      </w:pPr>
    </w:p>
    <w:p w:rsidR="004027C5" w:rsidRDefault="004027C5" w:rsidP="004027C5">
      <w:pPr>
        <w:pStyle w:val="Heading2"/>
        <w:numPr>
          <w:ilvl w:val="0"/>
          <w:numId w:val="10"/>
        </w:numPr>
      </w:pPr>
      <w:bookmarkStart w:id="79" w:name="_Toc48307170"/>
      <w:r>
        <w:t>Stabilised Materials</w:t>
      </w:r>
      <w:bookmarkEnd w:id="79"/>
    </w:p>
    <w:p w:rsidR="004027C5" w:rsidRPr="004027C5" w:rsidRDefault="004027C5" w:rsidP="004027C5">
      <w:pPr>
        <w:pStyle w:val="Heading3"/>
        <w:numPr>
          <w:ilvl w:val="1"/>
          <w:numId w:val="10"/>
        </w:numPr>
      </w:pPr>
      <w:bookmarkStart w:id="80" w:name="_Toc379870531"/>
      <w:bookmarkStart w:id="81" w:name="_Toc392493642"/>
      <w:bookmarkStart w:id="82" w:name="_Toc48307171"/>
      <w:r w:rsidRPr="004027C5">
        <w:t>Key Considerations</w:t>
      </w:r>
      <w:bookmarkEnd w:id="80"/>
      <w:bookmarkEnd w:id="81"/>
      <w:bookmarkEnd w:id="82"/>
    </w:p>
    <w:p w:rsidR="004027C5" w:rsidRPr="004027C5" w:rsidRDefault="004027C5" w:rsidP="004027C5">
      <w:pPr>
        <w:pStyle w:val="BodyText"/>
      </w:pPr>
      <w:r w:rsidRPr="004027C5">
        <w:t>Where stabilisation is considered, the following factors must be taken into account:</w:t>
      </w:r>
    </w:p>
    <w:p w:rsidR="004027C5" w:rsidRPr="004027C5" w:rsidRDefault="004027C5" w:rsidP="007260B8">
      <w:pPr>
        <w:pStyle w:val="ListBullet"/>
      </w:pPr>
      <w:r w:rsidRPr="004027C5">
        <w:t>The uniformity of the existing materials, both longitudinally and transversely</w:t>
      </w:r>
    </w:p>
    <w:p w:rsidR="004027C5" w:rsidRPr="004027C5" w:rsidRDefault="004027C5" w:rsidP="007260B8">
      <w:pPr>
        <w:pStyle w:val="ListBullet"/>
      </w:pPr>
      <w:r w:rsidRPr="004027C5">
        <w:t>Suitability of the material for stabilisation</w:t>
      </w:r>
    </w:p>
    <w:p w:rsidR="004027C5" w:rsidRPr="004027C5" w:rsidRDefault="004027C5" w:rsidP="007260B8">
      <w:pPr>
        <w:pStyle w:val="ListBullet"/>
      </w:pPr>
      <w:r w:rsidRPr="004027C5">
        <w:t>Impact of any variability in thickness of the existing materials</w:t>
      </w:r>
    </w:p>
    <w:p w:rsidR="004027C5" w:rsidRPr="004027C5" w:rsidRDefault="004027C5" w:rsidP="007260B8">
      <w:pPr>
        <w:pStyle w:val="ListBullet"/>
      </w:pPr>
      <w:r w:rsidRPr="004027C5">
        <w:t>Strength and variability of the subgrade, and the ability to withstand compaction</w:t>
      </w:r>
    </w:p>
    <w:p w:rsidR="004027C5" w:rsidRPr="004027C5" w:rsidRDefault="004027C5" w:rsidP="007260B8">
      <w:pPr>
        <w:pStyle w:val="ListBullet"/>
      </w:pPr>
      <w:r w:rsidRPr="004027C5">
        <w:t>The presences and extent of any asphalt patches</w:t>
      </w:r>
    </w:p>
    <w:p w:rsidR="004027C5" w:rsidRPr="004027C5" w:rsidRDefault="004027C5" w:rsidP="007260B8">
      <w:pPr>
        <w:pStyle w:val="ListBullet"/>
      </w:pPr>
      <w:r w:rsidRPr="004027C5">
        <w:t>The presence and depth of any underground services</w:t>
      </w:r>
    </w:p>
    <w:p w:rsidR="004027C5" w:rsidRPr="004027C5" w:rsidRDefault="004027C5" w:rsidP="007260B8">
      <w:pPr>
        <w:pStyle w:val="ListBullet"/>
      </w:pPr>
      <w:r w:rsidRPr="004027C5">
        <w:t>Implications for future maintenance and rehabilitation.</w:t>
      </w:r>
    </w:p>
    <w:p w:rsidR="004027C5" w:rsidRPr="004027C5" w:rsidRDefault="004027C5" w:rsidP="004027C5">
      <w:pPr>
        <w:pStyle w:val="BodyText"/>
      </w:pPr>
    </w:p>
    <w:p w:rsidR="004027C5" w:rsidRPr="004027C5" w:rsidRDefault="004027C5" w:rsidP="004027C5">
      <w:pPr>
        <w:pStyle w:val="BodyText"/>
      </w:pPr>
      <w:r w:rsidRPr="004027C5">
        <w:t>When proposing a stabilised design, the designer shall ensure there is sufficient testing to demonstrate it is a viable option and is likely to deliver the intended design life.</w:t>
      </w:r>
      <w:r w:rsidR="004B06C9">
        <w:t xml:space="preserve"> </w:t>
      </w:r>
    </w:p>
    <w:p w:rsidR="004027C5" w:rsidRPr="004027C5" w:rsidRDefault="004027C5" w:rsidP="004027C5">
      <w:pPr>
        <w:pStyle w:val="Heading3"/>
        <w:numPr>
          <w:ilvl w:val="1"/>
          <w:numId w:val="10"/>
        </w:numPr>
      </w:pPr>
      <w:bookmarkStart w:id="83" w:name="_T15.8.2_Minimum_Cover"/>
      <w:bookmarkStart w:id="84" w:name="_Toc379870532"/>
      <w:bookmarkStart w:id="85" w:name="_Toc392493643"/>
      <w:bookmarkStart w:id="86" w:name="_Toc48307172"/>
      <w:bookmarkEnd w:id="83"/>
      <w:r w:rsidRPr="004027C5">
        <w:t>Minimum Cover over Stabilised Materials</w:t>
      </w:r>
      <w:bookmarkEnd w:id="84"/>
      <w:bookmarkEnd w:id="85"/>
      <w:bookmarkEnd w:id="86"/>
    </w:p>
    <w:p w:rsidR="004027C5" w:rsidRPr="004027C5" w:rsidRDefault="004027C5" w:rsidP="004027C5">
      <w:pPr>
        <w:pStyle w:val="BodyText"/>
      </w:pPr>
      <w:r w:rsidRPr="004027C5">
        <w:t>Stabilised materials must be covered by either a granular or asphalt Base Course.</w:t>
      </w:r>
      <w:r w:rsidR="004B06C9">
        <w:t xml:space="preserve"> </w:t>
      </w:r>
      <w:r w:rsidRPr="004027C5">
        <w:t xml:space="preserve">The thickness of the Base Course, irrespective of whether it is granular or asphalt, shall comply with the requirements of </w:t>
      </w:r>
      <w:r w:rsidRPr="004027C5">
        <w:rPr>
          <w:i/>
        </w:rPr>
        <w:t xml:space="preserve">Clause </w:t>
      </w:r>
      <w:r w:rsidR="004B1B71">
        <w:rPr>
          <w:i/>
        </w:rPr>
        <w:fldChar w:fldCharType="begin"/>
      </w:r>
      <w:r w:rsidR="004B1B71">
        <w:rPr>
          <w:i/>
        </w:rPr>
        <w:instrText xml:space="preserve"> REF _Ref48299877 \r \h </w:instrText>
      </w:r>
      <w:r w:rsidR="004B1B71">
        <w:rPr>
          <w:i/>
        </w:rPr>
      </w:r>
      <w:r w:rsidR="004B1B71">
        <w:rPr>
          <w:i/>
        </w:rPr>
        <w:fldChar w:fldCharType="separate"/>
      </w:r>
      <w:r w:rsidR="004B1B71">
        <w:rPr>
          <w:i/>
        </w:rPr>
        <w:t>T15.7.3</w:t>
      </w:r>
      <w:r w:rsidR="004B1B71">
        <w:rPr>
          <w:i/>
        </w:rPr>
        <w:fldChar w:fldCharType="end"/>
      </w:r>
      <w:r w:rsidRPr="004027C5">
        <w:t xml:space="preserve">. </w:t>
      </w:r>
    </w:p>
    <w:p w:rsidR="004027C5" w:rsidRPr="004027C5" w:rsidRDefault="004027C5" w:rsidP="004027C5">
      <w:pPr>
        <w:pStyle w:val="BodyText"/>
      </w:pPr>
    </w:p>
    <w:p w:rsidR="004027C5" w:rsidRPr="004027C5" w:rsidRDefault="004027C5" w:rsidP="004027C5">
      <w:pPr>
        <w:pStyle w:val="BodyText"/>
      </w:pPr>
      <w:r w:rsidRPr="004027C5">
        <w:t>No minimum cover is required for temporary pavements.</w:t>
      </w:r>
    </w:p>
    <w:p w:rsidR="004027C5" w:rsidRPr="004027C5" w:rsidRDefault="004027C5" w:rsidP="004027C5">
      <w:pPr>
        <w:pStyle w:val="Heading3"/>
        <w:numPr>
          <w:ilvl w:val="1"/>
          <w:numId w:val="10"/>
        </w:numPr>
      </w:pPr>
      <w:bookmarkStart w:id="87" w:name="_T15.8.3_Pavement_Layer"/>
      <w:bookmarkStart w:id="88" w:name="_Toc379870533"/>
      <w:bookmarkStart w:id="89" w:name="_Toc392493644"/>
      <w:bookmarkStart w:id="90" w:name="_Toc48307173"/>
      <w:bookmarkEnd w:id="87"/>
      <w:r w:rsidRPr="004027C5">
        <w:t>Pavement Layer Thickness</w:t>
      </w:r>
      <w:bookmarkEnd w:id="88"/>
      <w:bookmarkEnd w:id="89"/>
      <w:bookmarkEnd w:id="90"/>
    </w:p>
    <w:p w:rsidR="004027C5" w:rsidRPr="004027C5" w:rsidRDefault="004027C5" w:rsidP="004027C5">
      <w:pPr>
        <w:pStyle w:val="BodyText"/>
      </w:pPr>
      <w:r w:rsidRPr="004027C5">
        <w:t>The minimum thickness of a stabilised layer is 150mm.</w:t>
      </w:r>
      <w:r w:rsidR="004B06C9">
        <w:t xml:space="preserve"> </w:t>
      </w:r>
    </w:p>
    <w:p w:rsidR="004027C5" w:rsidRPr="004027C5" w:rsidRDefault="004027C5" w:rsidP="004027C5">
      <w:pPr>
        <w:pStyle w:val="BodyText"/>
      </w:pPr>
    </w:p>
    <w:p w:rsidR="004027C5" w:rsidRPr="004027C5" w:rsidRDefault="004027C5" w:rsidP="004027C5">
      <w:pPr>
        <w:pStyle w:val="BodyText"/>
      </w:pPr>
      <w:r w:rsidRPr="004027C5">
        <w:t>The maximum thickness of a stabilised layer is 250mm, to ensure full compaction.</w:t>
      </w:r>
    </w:p>
    <w:p w:rsidR="004027C5" w:rsidRPr="004027C5" w:rsidRDefault="004027C5" w:rsidP="004027C5">
      <w:pPr>
        <w:pStyle w:val="BodyText"/>
      </w:pPr>
    </w:p>
    <w:p w:rsidR="004027C5" w:rsidRPr="004027C5" w:rsidRDefault="004027C5" w:rsidP="004027C5">
      <w:pPr>
        <w:pStyle w:val="BodyText"/>
      </w:pPr>
      <w:r w:rsidRPr="004027C5">
        <w:t>Multiple bound layers should be avoided.</w:t>
      </w:r>
      <w:r w:rsidR="004B06C9">
        <w:t xml:space="preserve"> </w:t>
      </w:r>
      <w:r w:rsidRPr="004027C5">
        <w:t>If multiple layers are necessary, particular attention needs to be directed towards the bonding of the layers.</w:t>
      </w:r>
      <w:r w:rsidR="004B06C9">
        <w:t xml:space="preserve"> </w:t>
      </w:r>
      <w:r w:rsidRPr="004027C5">
        <w:t>The sensitivity of the pavement life to the nature of the bond between layers should be assessed.</w:t>
      </w:r>
    </w:p>
    <w:p w:rsidR="004027C5" w:rsidRPr="004027C5" w:rsidRDefault="004027C5" w:rsidP="004027C5">
      <w:pPr>
        <w:pStyle w:val="Heading3"/>
        <w:numPr>
          <w:ilvl w:val="1"/>
          <w:numId w:val="10"/>
        </w:numPr>
      </w:pPr>
      <w:bookmarkStart w:id="91" w:name="_T15.8.4_Cracking"/>
      <w:bookmarkStart w:id="92" w:name="_Toc379870534"/>
      <w:bookmarkStart w:id="93" w:name="_Toc392493645"/>
      <w:bookmarkStart w:id="94" w:name="_Toc48307174"/>
      <w:bookmarkEnd w:id="91"/>
      <w:r w:rsidRPr="004027C5">
        <w:lastRenderedPageBreak/>
        <w:t>Cracking</w:t>
      </w:r>
      <w:bookmarkEnd w:id="92"/>
      <w:bookmarkEnd w:id="93"/>
      <w:bookmarkEnd w:id="94"/>
    </w:p>
    <w:p w:rsidR="004027C5" w:rsidRPr="004027C5" w:rsidRDefault="004027C5" w:rsidP="004027C5">
      <w:pPr>
        <w:pStyle w:val="BodyText"/>
      </w:pPr>
      <w:r w:rsidRPr="004027C5">
        <w:t>Shrinkage cracking in cementitious materials is inevitable. Cracks that reflect through to the pavement surface allow the ingress of water, which can compromise the structural integrity and performance of the pavement.</w:t>
      </w:r>
      <w:r w:rsidR="004B06C9">
        <w:t xml:space="preserve"> </w:t>
      </w:r>
      <w:r w:rsidRPr="004027C5">
        <w:t xml:space="preserve">The design process must include measures to minimise cracking. </w:t>
      </w:r>
    </w:p>
    <w:p w:rsidR="004027C5" w:rsidRDefault="004027C5" w:rsidP="004027C5">
      <w:pPr>
        <w:pStyle w:val="BodyText"/>
      </w:pPr>
    </w:p>
    <w:p w:rsidR="004027C5" w:rsidRDefault="004027C5" w:rsidP="004027C5">
      <w:pPr>
        <w:pStyle w:val="Heading2"/>
        <w:numPr>
          <w:ilvl w:val="0"/>
          <w:numId w:val="10"/>
        </w:numPr>
      </w:pPr>
      <w:bookmarkStart w:id="95" w:name="_Toc48307175"/>
      <w:r>
        <w:t>Shoulders</w:t>
      </w:r>
      <w:bookmarkEnd w:id="95"/>
    </w:p>
    <w:p w:rsidR="004027C5" w:rsidRDefault="004027C5" w:rsidP="004027C5">
      <w:pPr>
        <w:pStyle w:val="BodyText"/>
      </w:pPr>
      <w:r w:rsidRPr="004027C5">
        <w:t>Shoulders and verges shall be constructed in accordance with the pavement design for the adjacent traffic lane.</w:t>
      </w:r>
    </w:p>
    <w:p w:rsidR="004027C5" w:rsidRDefault="004027C5" w:rsidP="004027C5">
      <w:pPr>
        <w:pStyle w:val="BodyText"/>
      </w:pPr>
    </w:p>
    <w:p w:rsidR="004027C5" w:rsidRDefault="004027C5" w:rsidP="004027C5">
      <w:pPr>
        <w:pStyle w:val="Heading2"/>
        <w:numPr>
          <w:ilvl w:val="0"/>
          <w:numId w:val="10"/>
        </w:numPr>
      </w:pPr>
      <w:bookmarkStart w:id="96" w:name="_Toc48307176"/>
      <w:r>
        <w:t>Pavement Drainage</w:t>
      </w:r>
      <w:bookmarkEnd w:id="96"/>
    </w:p>
    <w:p w:rsidR="004027C5" w:rsidRPr="004027C5" w:rsidRDefault="004027C5" w:rsidP="007260B8">
      <w:pPr>
        <w:pStyle w:val="Heading3"/>
        <w:numPr>
          <w:ilvl w:val="1"/>
          <w:numId w:val="10"/>
        </w:numPr>
      </w:pPr>
      <w:bookmarkStart w:id="97" w:name="_Toc379870537"/>
      <w:bookmarkStart w:id="98" w:name="_Toc392493648"/>
      <w:bookmarkStart w:id="99" w:name="_Toc48307177"/>
      <w:r w:rsidRPr="004027C5">
        <w:t>Sub-surface Drainage</w:t>
      </w:r>
      <w:bookmarkEnd w:id="97"/>
      <w:bookmarkEnd w:id="98"/>
      <w:bookmarkEnd w:id="99"/>
    </w:p>
    <w:p w:rsidR="004027C5" w:rsidRPr="004027C5" w:rsidRDefault="004027C5" w:rsidP="004027C5">
      <w:pPr>
        <w:pStyle w:val="BodyText"/>
      </w:pPr>
      <w:r w:rsidRPr="004027C5">
        <w:t>Particular attention is to be directed towards an understanding of groundwater regimes and solutions defined during design.</w:t>
      </w:r>
      <w:r w:rsidR="004B06C9">
        <w:t xml:space="preserve"> </w:t>
      </w:r>
      <w:r w:rsidRPr="004027C5">
        <w:t xml:space="preserve">Designers should pay close attention to potentially high ground water levels in cuts and at cut-fill boundaries and provide remedies. </w:t>
      </w:r>
    </w:p>
    <w:p w:rsidR="004027C5" w:rsidRPr="004027C5" w:rsidRDefault="004027C5" w:rsidP="004027C5">
      <w:pPr>
        <w:pStyle w:val="BodyText"/>
        <w:rPr>
          <w:b/>
        </w:rPr>
      </w:pPr>
    </w:p>
    <w:p w:rsidR="004027C5" w:rsidRPr="004027C5" w:rsidRDefault="004027C5" w:rsidP="004027C5">
      <w:pPr>
        <w:pStyle w:val="BodyText"/>
      </w:pPr>
      <w:r w:rsidRPr="004027C5">
        <w:t xml:space="preserve">Water shall not be allowed to accumulate in the pavement. </w:t>
      </w:r>
    </w:p>
    <w:p w:rsidR="004027C5" w:rsidRPr="004027C5" w:rsidRDefault="004027C5" w:rsidP="004027C5">
      <w:pPr>
        <w:pStyle w:val="BodyText"/>
        <w:rPr>
          <w:b/>
        </w:rPr>
      </w:pPr>
    </w:p>
    <w:p w:rsidR="004027C5" w:rsidRPr="004027C5" w:rsidRDefault="004027C5" w:rsidP="004027C5">
      <w:pPr>
        <w:pStyle w:val="BodyText"/>
      </w:pPr>
      <w:r w:rsidRPr="004027C5">
        <w:t>Full width construction is preferred.</w:t>
      </w:r>
      <w:r w:rsidR="004B06C9">
        <w:t xml:space="preserve"> </w:t>
      </w:r>
      <w:r w:rsidRPr="004027C5">
        <w:t>Boxed-in construction (where the shoulder material is less permeable than pavement) should be avoided.</w:t>
      </w:r>
    </w:p>
    <w:p w:rsidR="004027C5" w:rsidRPr="004027C5" w:rsidRDefault="004027C5" w:rsidP="004027C5">
      <w:pPr>
        <w:pStyle w:val="BodyText"/>
        <w:rPr>
          <w:b/>
        </w:rPr>
      </w:pPr>
    </w:p>
    <w:p w:rsidR="004027C5" w:rsidRPr="004027C5" w:rsidRDefault="004027C5" w:rsidP="004027C5">
      <w:pPr>
        <w:pStyle w:val="BodyText"/>
      </w:pPr>
      <w:r w:rsidRPr="004027C5">
        <w:t xml:space="preserve">Permeability reversals (a sharp decrease in permeability) between the base and subbase should be avoided. </w:t>
      </w:r>
    </w:p>
    <w:p w:rsidR="004027C5" w:rsidRPr="004027C5" w:rsidRDefault="004027C5" w:rsidP="004027C5">
      <w:pPr>
        <w:pStyle w:val="BodyText"/>
        <w:rPr>
          <w:b/>
        </w:rPr>
      </w:pPr>
    </w:p>
    <w:p w:rsidR="004027C5" w:rsidRPr="004027C5" w:rsidRDefault="004027C5" w:rsidP="004027C5">
      <w:pPr>
        <w:pStyle w:val="BodyText"/>
      </w:pPr>
      <w:r w:rsidRPr="004027C5">
        <w:t>Where it is intended to place a granular overlay over an existing bituminous surfacing, the existing surfacing should be broken up or removed.</w:t>
      </w:r>
    </w:p>
    <w:p w:rsidR="004027C5" w:rsidRPr="004027C5" w:rsidRDefault="004027C5" w:rsidP="007260B8">
      <w:pPr>
        <w:pStyle w:val="Heading3"/>
        <w:numPr>
          <w:ilvl w:val="1"/>
          <w:numId w:val="10"/>
        </w:numPr>
      </w:pPr>
      <w:bookmarkStart w:id="100" w:name="_T15.10.2_Surface_Drainage"/>
      <w:bookmarkStart w:id="101" w:name="_Toc379870538"/>
      <w:bookmarkStart w:id="102" w:name="_Toc392493649"/>
      <w:bookmarkStart w:id="103" w:name="_Toc48307178"/>
      <w:bookmarkEnd w:id="100"/>
      <w:r w:rsidRPr="004027C5">
        <w:t>Surface Drainage</w:t>
      </w:r>
      <w:bookmarkEnd w:id="101"/>
      <w:bookmarkEnd w:id="102"/>
      <w:bookmarkEnd w:id="103"/>
    </w:p>
    <w:p w:rsidR="004027C5" w:rsidRPr="004027C5" w:rsidRDefault="004027C5" w:rsidP="004027C5">
      <w:pPr>
        <w:pStyle w:val="BodyText"/>
      </w:pPr>
      <w:r w:rsidRPr="004027C5">
        <w:t>The surface drainage must be such that water will shed quickly from pavements without the development of water flow depths that would lead to a significant reduction in skid resistance.</w:t>
      </w:r>
      <w:r w:rsidR="004B06C9">
        <w:t xml:space="preserve"> </w:t>
      </w:r>
      <w:r w:rsidRPr="004027C5">
        <w:t>Flow paths shall be assessed for urban asphalt sites and other high-risk locations.</w:t>
      </w:r>
    </w:p>
    <w:p w:rsidR="004027C5" w:rsidRPr="004027C5" w:rsidRDefault="004027C5" w:rsidP="004027C5">
      <w:pPr>
        <w:pStyle w:val="BodyText"/>
        <w:rPr>
          <w:b/>
        </w:rPr>
      </w:pPr>
    </w:p>
    <w:p w:rsidR="004027C5" w:rsidRPr="004027C5" w:rsidRDefault="004027C5" w:rsidP="004027C5">
      <w:pPr>
        <w:pStyle w:val="BodyText"/>
      </w:pPr>
      <w:r w:rsidRPr="004027C5">
        <w:t>Where a one way cross-fall occurs, consideration should be given to the sealing of the higher shoulder and/or the use of subsurface drains.</w:t>
      </w:r>
    </w:p>
    <w:p w:rsidR="004027C5" w:rsidRPr="004027C5" w:rsidRDefault="004027C5" w:rsidP="004027C5">
      <w:pPr>
        <w:pStyle w:val="BodyText"/>
        <w:rPr>
          <w:b/>
        </w:rPr>
      </w:pPr>
    </w:p>
    <w:p w:rsidR="004027C5" w:rsidRPr="004027C5" w:rsidRDefault="004027C5" w:rsidP="004027C5">
      <w:pPr>
        <w:pStyle w:val="BodyText"/>
      </w:pPr>
      <w:r w:rsidRPr="004027C5">
        <w:t>Consideration must be given to the permeability characteristics of medians and islands, with the aim of limiting water ingress into the pavement.</w:t>
      </w:r>
    </w:p>
    <w:p w:rsidR="004027C5" w:rsidRPr="004027C5" w:rsidRDefault="004027C5" w:rsidP="004027C5">
      <w:pPr>
        <w:pStyle w:val="BodyText"/>
      </w:pPr>
    </w:p>
    <w:p w:rsidR="004027C5" w:rsidRPr="004027C5" w:rsidRDefault="004027C5" w:rsidP="004027C5">
      <w:pPr>
        <w:pStyle w:val="BodyText"/>
      </w:pPr>
      <w:r w:rsidRPr="004027C5">
        <w:t>The invert of a table drain must be lower than the underside of the lowest pavement layer.</w:t>
      </w:r>
    </w:p>
    <w:p w:rsidR="004027C5" w:rsidRDefault="004027C5" w:rsidP="004027C5">
      <w:pPr>
        <w:pStyle w:val="BodyText"/>
      </w:pPr>
    </w:p>
    <w:p w:rsidR="007260B8" w:rsidRDefault="007260B8" w:rsidP="007260B8">
      <w:pPr>
        <w:pStyle w:val="Heading2"/>
        <w:numPr>
          <w:ilvl w:val="0"/>
          <w:numId w:val="10"/>
        </w:numPr>
      </w:pPr>
      <w:bookmarkStart w:id="104" w:name="_Toc48307179"/>
      <w:r>
        <w:t>Bituminous Surfacing Selection</w:t>
      </w:r>
      <w:bookmarkEnd w:id="104"/>
    </w:p>
    <w:p w:rsidR="007260B8" w:rsidRPr="007260B8" w:rsidRDefault="007260B8" w:rsidP="007260B8">
      <w:pPr>
        <w:pStyle w:val="BodyText"/>
      </w:pPr>
      <w:r w:rsidRPr="007260B8">
        <w:t>The bituminous surfacing type shall take into account the likely road users (e.g. motor vehicles, pedestrians, cyclists) and environmental factors (e.g. noise, snow clearing).</w:t>
      </w:r>
      <w:r w:rsidR="004B06C9">
        <w:t xml:space="preserve"> </w:t>
      </w:r>
    </w:p>
    <w:p w:rsidR="007260B8" w:rsidRPr="007260B8" w:rsidRDefault="007260B8" w:rsidP="007260B8">
      <w:pPr>
        <w:pStyle w:val="BodyText"/>
      </w:pPr>
    </w:p>
    <w:p w:rsidR="007260B8" w:rsidRPr="007260B8" w:rsidRDefault="007260B8" w:rsidP="007260B8">
      <w:pPr>
        <w:pStyle w:val="BodyText"/>
      </w:pPr>
      <w:r w:rsidRPr="007260B8">
        <w:lastRenderedPageBreak/>
        <w:t xml:space="preserve">The selection of bituminous surfacing shall be undertaken in accordance with the latest version of the </w:t>
      </w:r>
      <w:r w:rsidRPr="007260B8">
        <w:rPr>
          <w:i/>
        </w:rPr>
        <w:t xml:space="preserve">Austroads Guide to Pavement Technology Part 3: Pavement </w:t>
      </w:r>
      <w:proofErr w:type="spellStart"/>
      <w:r w:rsidRPr="007260B8">
        <w:rPr>
          <w:i/>
        </w:rPr>
        <w:t>Surfacings</w:t>
      </w:r>
      <w:proofErr w:type="spellEnd"/>
      <w:r w:rsidRPr="007260B8">
        <w:t>.</w:t>
      </w:r>
      <w:r w:rsidR="004B06C9">
        <w:t xml:space="preserve"> </w:t>
      </w:r>
    </w:p>
    <w:p w:rsidR="007260B8" w:rsidRPr="007260B8" w:rsidRDefault="007260B8" w:rsidP="007260B8">
      <w:pPr>
        <w:pStyle w:val="BodyText"/>
      </w:pPr>
    </w:p>
    <w:p w:rsidR="007260B8" w:rsidRPr="007260B8" w:rsidRDefault="007260B8" w:rsidP="007260B8">
      <w:pPr>
        <w:pStyle w:val="BodyText"/>
      </w:pPr>
      <w:r w:rsidRPr="007260B8">
        <w:t xml:space="preserve">The selection of bituminous </w:t>
      </w:r>
      <w:proofErr w:type="spellStart"/>
      <w:r w:rsidRPr="007260B8">
        <w:t>surfacings</w:t>
      </w:r>
      <w:proofErr w:type="spellEnd"/>
      <w:r w:rsidRPr="007260B8">
        <w:t xml:space="preserve"> shall be consistent with the provisions of the Tasmanian State Road Traffic Noise Management Guidelines (2011).</w:t>
      </w:r>
      <w:r w:rsidR="004B06C9">
        <w:t xml:space="preserve"> </w:t>
      </w:r>
    </w:p>
    <w:p w:rsidR="007260B8" w:rsidRPr="007260B8" w:rsidRDefault="007260B8" w:rsidP="007260B8">
      <w:pPr>
        <w:pStyle w:val="BodyText"/>
      </w:pPr>
    </w:p>
    <w:p w:rsidR="007260B8" w:rsidRPr="007260B8" w:rsidRDefault="007260B8" w:rsidP="007260B8">
      <w:pPr>
        <w:pStyle w:val="BodyText"/>
      </w:pPr>
      <w:r w:rsidRPr="007260B8">
        <w:t>A waterproofing seal shall be provided underneath all asphalt wearing courses, except for dense graded asphalt greater than 100mm thick.</w:t>
      </w:r>
      <w:r w:rsidR="004B06C9">
        <w:t xml:space="preserve"> </w:t>
      </w:r>
      <w:r w:rsidRPr="007260B8">
        <w:t xml:space="preserve">The preferred waterproofing seal is a 10mm </w:t>
      </w:r>
      <w:proofErr w:type="spellStart"/>
      <w:r w:rsidRPr="007260B8">
        <w:t>primerseal</w:t>
      </w:r>
      <w:proofErr w:type="spellEnd"/>
      <w:r w:rsidRPr="007260B8">
        <w:t xml:space="preserve"> with bitumen emulsion. </w:t>
      </w:r>
    </w:p>
    <w:p w:rsidR="007260B8" w:rsidRPr="007260B8" w:rsidRDefault="007260B8" w:rsidP="007260B8">
      <w:pPr>
        <w:pStyle w:val="BodyText"/>
      </w:pPr>
    </w:p>
    <w:p w:rsidR="007260B8" w:rsidRPr="007260B8" w:rsidRDefault="007260B8" w:rsidP="007260B8">
      <w:pPr>
        <w:pStyle w:val="BodyText"/>
      </w:pPr>
      <w:r w:rsidRPr="007260B8">
        <w:t xml:space="preserve">Where an asphalt surfacing is proposed, asphalt fatigue shall be assessed in accordance with the </w:t>
      </w:r>
      <w:r w:rsidRPr="007260B8">
        <w:rPr>
          <w:i/>
        </w:rPr>
        <w:t>Austroads Guide to Pavement Technology</w:t>
      </w:r>
      <w:r w:rsidRPr="007260B8">
        <w:t xml:space="preserve"> series.</w:t>
      </w:r>
    </w:p>
    <w:p w:rsidR="007260B8" w:rsidRPr="007260B8" w:rsidRDefault="007260B8" w:rsidP="007260B8">
      <w:pPr>
        <w:pStyle w:val="BodyText"/>
      </w:pPr>
    </w:p>
    <w:p w:rsidR="007260B8" w:rsidRPr="007260B8" w:rsidRDefault="007260B8" w:rsidP="007260B8">
      <w:pPr>
        <w:pStyle w:val="BodyText"/>
        <w:rPr>
          <w:b/>
        </w:rPr>
      </w:pPr>
      <w:r w:rsidRPr="007260B8">
        <w:t>Open Graded Asphalt (OGA) shall only be used to address specific issues. OGA shall not be used in locations where there are significant stopping and turning movements such as at intersections with traffic lights, approaches to roundabouts etc.</w:t>
      </w:r>
      <w:r w:rsidR="004B06C9">
        <w:t xml:space="preserve"> </w:t>
      </w:r>
      <w:r w:rsidRPr="007260B8">
        <w:t>Their use is limited to where:</w:t>
      </w:r>
    </w:p>
    <w:p w:rsidR="007260B8" w:rsidRPr="007260B8" w:rsidRDefault="007260B8" w:rsidP="007260B8">
      <w:pPr>
        <w:pStyle w:val="ListBullet"/>
        <w:rPr>
          <w:b/>
        </w:rPr>
      </w:pPr>
      <w:r w:rsidRPr="007260B8">
        <w:t>The substrate is free of depressions that will cause water to pond</w:t>
      </w:r>
    </w:p>
    <w:p w:rsidR="007260B8" w:rsidRPr="007260B8" w:rsidRDefault="007260B8" w:rsidP="007260B8">
      <w:pPr>
        <w:pStyle w:val="ListBullet"/>
        <w:rPr>
          <w:b/>
        </w:rPr>
      </w:pPr>
      <w:r w:rsidRPr="007260B8">
        <w:t>Water is free to drain from the edge of the OGA</w:t>
      </w:r>
    </w:p>
    <w:p w:rsidR="007260B8" w:rsidRPr="007260B8" w:rsidRDefault="007260B8" w:rsidP="007260B8">
      <w:pPr>
        <w:pStyle w:val="ListBullet"/>
        <w:rPr>
          <w:b/>
        </w:rPr>
      </w:pPr>
      <w:r w:rsidRPr="007260B8">
        <w:t>The OGA is placed on an effectively impermeable surface.</w:t>
      </w:r>
    </w:p>
    <w:p w:rsidR="007260B8" w:rsidRPr="007260B8" w:rsidRDefault="007260B8" w:rsidP="007260B8">
      <w:pPr>
        <w:pStyle w:val="BodyText"/>
        <w:rPr>
          <w:b/>
        </w:rPr>
      </w:pPr>
    </w:p>
    <w:p w:rsidR="007260B8" w:rsidRPr="007260B8" w:rsidRDefault="007260B8" w:rsidP="007260B8">
      <w:pPr>
        <w:pStyle w:val="BodyText"/>
      </w:pPr>
      <w:r w:rsidRPr="007260B8">
        <w:t>Class 170 bitumen shall be used in sprayed seals and in most conventional asphalt applications.</w:t>
      </w:r>
      <w:r w:rsidR="004B06C9">
        <w:t xml:space="preserve"> </w:t>
      </w:r>
      <w:r w:rsidRPr="007260B8">
        <w:t>Class 320 bitumen may be used for specific applications such as deep lift asphalt pavements or to provide increased rut resistance.</w:t>
      </w:r>
      <w:r w:rsidR="004B06C9">
        <w:t xml:space="preserve"> </w:t>
      </w:r>
      <w:r w:rsidRPr="007260B8">
        <w:t>For sites with significant heavy vehicles generating additional stress for the surfacing, the designer shall consult with Department of State Growth Road Asset Management Section.</w:t>
      </w:r>
    </w:p>
    <w:p w:rsidR="007260B8" w:rsidRPr="007260B8" w:rsidRDefault="007260B8" w:rsidP="007260B8">
      <w:pPr>
        <w:pStyle w:val="BodyText"/>
      </w:pPr>
    </w:p>
    <w:p w:rsidR="007260B8" w:rsidRPr="007260B8" w:rsidRDefault="007260B8" w:rsidP="007260B8">
      <w:pPr>
        <w:pStyle w:val="BodyText"/>
      </w:pPr>
      <w:r w:rsidRPr="007260B8">
        <w:t>If a polymer modified binder treatment is specified, consideration must be given to the availability in Tasmania of the various binders.</w:t>
      </w:r>
    </w:p>
    <w:p w:rsidR="007260B8" w:rsidRPr="007260B8" w:rsidRDefault="007260B8" w:rsidP="007260B8">
      <w:pPr>
        <w:pStyle w:val="BodyText"/>
      </w:pPr>
    </w:p>
    <w:p w:rsidR="007260B8" w:rsidRPr="007260B8" w:rsidRDefault="007260B8" w:rsidP="007260B8">
      <w:pPr>
        <w:pStyle w:val="BodyText"/>
      </w:pPr>
      <w:r w:rsidRPr="007260B8">
        <w:t>Traffic shall not be allowed to travel on sprayed seals with aggregates larger than 14mm nominal size.</w:t>
      </w:r>
    </w:p>
    <w:p w:rsidR="007260B8" w:rsidRPr="007260B8" w:rsidRDefault="007260B8" w:rsidP="007260B8">
      <w:pPr>
        <w:pStyle w:val="BodyText"/>
      </w:pPr>
    </w:p>
    <w:p w:rsidR="007260B8" w:rsidRPr="007260B8" w:rsidRDefault="007260B8" w:rsidP="007260B8">
      <w:pPr>
        <w:pStyle w:val="BodyText"/>
      </w:pPr>
      <w:r w:rsidRPr="007260B8">
        <w:t>Traffic shall not be allowed to travel on primes or tack coats.</w:t>
      </w:r>
    </w:p>
    <w:p w:rsidR="007260B8" w:rsidRPr="007260B8" w:rsidRDefault="007260B8" w:rsidP="007260B8">
      <w:pPr>
        <w:pStyle w:val="BodyText"/>
      </w:pPr>
    </w:p>
    <w:p w:rsidR="007260B8" w:rsidRPr="007260B8" w:rsidRDefault="007260B8" w:rsidP="007260B8">
      <w:pPr>
        <w:pStyle w:val="BodyText"/>
      </w:pPr>
      <w:proofErr w:type="spellStart"/>
      <w:r w:rsidRPr="007260B8">
        <w:t>Primerseals</w:t>
      </w:r>
      <w:proofErr w:type="spellEnd"/>
      <w:r w:rsidRPr="007260B8">
        <w:t xml:space="preserve"> are a short term treatment. Specification of the primer seal shall take into account the design requirements of the final seal.</w:t>
      </w:r>
      <w:r w:rsidR="004B06C9">
        <w:t xml:space="preserve"> </w:t>
      </w:r>
      <w:r w:rsidRPr="007260B8">
        <w:t xml:space="preserve">The typical stone size allowable for </w:t>
      </w:r>
      <w:proofErr w:type="spellStart"/>
      <w:r w:rsidRPr="007260B8">
        <w:t>primersealing</w:t>
      </w:r>
      <w:proofErr w:type="spellEnd"/>
      <w:r w:rsidRPr="007260B8">
        <w:t xml:space="preserve"> is 10mm.</w:t>
      </w:r>
      <w:r w:rsidR="004B06C9">
        <w:t xml:space="preserve"> </w:t>
      </w:r>
      <w:r w:rsidRPr="007260B8">
        <w:t xml:space="preserve">Approval is required from Department of State Growth’s Road Asset Management Section if specifying an alternate stone size for a </w:t>
      </w:r>
      <w:proofErr w:type="spellStart"/>
      <w:r w:rsidRPr="007260B8">
        <w:t>primerseal</w:t>
      </w:r>
      <w:proofErr w:type="spellEnd"/>
      <w:r w:rsidRPr="007260B8">
        <w:t>.</w:t>
      </w:r>
    </w:p>
    <w:p w:rsidR="007260B8" w:rsidRPr="007260B8" w:rsidRDefault="007260B8" w:rsidP="007260B8">
      <w:pPr>
        <w:pStyle w:val="BodyText"/>
      </w:pPr>
    </w:p>
    <w:p w:rsidR="007260B8" w:rsidRPr="007260B8" w:rsidRDefault="007260B8" w:rsidP="007260B8">
      <w:pPr>
        <w:pStyle w:val="BodyText"/>
      </w:pPr>
      <w:r w:rsidRPr="007260B8">
        <w:t>For pavements constructed clear of traffic with delayed opening time, particularly attention to the surfacing design is required.</w:t>
      </w:r>
      <w:r w:rsidR="004B06C9">
        <w:t xml:space="preserve"> </w:t>
      </w:r>
      <w:r w:rsidRPr="007260B8">
        <w:t>The key factors are the time of initial seal, and time lapse until the road is open to traffic.</w:t>
      </w:r>
    </w:p>
    <w:p w:rsidR="007260B8" w:rsidRPr="007260B8" w:rsidRDefault="007260B8" w:rsidP="007260B8">
      <w:pPr>
        <w:pStyle w:val="BodyText"/>
      </w:pPr>
    </w:p>
    <w:p w:rsidR="007260B8" w:rsidRDefault="007260B8" w:rsidP="004027C5">
      <w:pPr>
        <w:pStyle w:val="BodyText"/>
      </w:pPr>
      <w:r w:rsidRPr="007260B8">
        <w:t>All bituminous surfacing selections shall be approved by Department of State Growth Road Asset Management section.</w:t>
      </w:r>
    </w:p>
    <w:p w:rsidR="007260B8" w:rsidRDefault="007260B8" w:rsidP="004027C5">
      <w:pPr>
        <w:pStyle w:val="BodyText"/>
      </w:pPr>
    </w:p>
    <w:p w:rsidR="007260B8" w:rsidRDefault="007260B8" w:rsidP="007260B8">
      <w:pPr>
        <w:pStyle w:val="Heading2"/>
        <w:numPr>
          <w:ilvl w:val="0"/>
          <w:numId w:val="10"/>
        </w:numPr>
      </w:pPr>
      <w:bookmarkStart w:id="105" w:name="_Toc48307180"/>
      <w:r>
        <w:t>Construction and Maintenance</w:t>
      </w:r>
      <w:bookmarkEnd w:id="105"/>
      <w:r>
        <w:t xml:space="preserve"> </w:t>
      </w:r>
    </w:p>
    <w:p w:rsidR="007260B8" w:rsidRPr="007260B8" w:rsidRDefault="007260B8" w:rsidP="007260B8">
      <w:pPr>
        <w:pStyle w:val="BodyText"/>
      </w:pPr>
      <w:r w:rsidRPr="007260B8">
        <w:t>Construction and maintenance issues shall be taken into consideration, including:</w:t>
      </w:r>
    </w:p>
    <w:p w:rsidR="007260B8" w:rsidRPr="007260B8" w:rsidRDefault="007260B8" w:rsidP="007260B8">
      <w:pPr>
        <w:pStyle w:val="ListBullet"/>
      </w:pPr>
      <w:r w:rsidRPr="007260B8">
        <w:t>The type and frequency of pavement maintenance</w:t>
      </w:r>
    </w:p>
    <w:p w:rsidR="007260B8" w:rsidRPr="007260B8" w:rsidRDefault="007260B8" w:rsidP="007260B8">
      <w:pPr>
        <w:pStyle w:val="ListBullet"/>
      </w:pPr>
      <w:r w:rsidRPr="007260B8">
        <w:t>The pavement should be designed to avoid failure in the lower layers, so that future maintenance is confined to the upper layers</w:t>
      </w:r>
    </w:p>
    <w:p w:rsidR="007260B8" w:rsidRPr="007260B8" w:rsidRDefault="007260B8" w:rsidP="007260B8">
      <w:pPr>
        <w:pStyle w:val="ListBullet"/>
      </w:pPr>
      <w:r w:rsidRPr="007260B8">
        <w:lastRenderedPageBreak/>
        <w:t>Impact from vibration due to compaction on nearby structures</w:t>
      </w:r>
    </w:p>
    <w:p w:rsidR="007260B8" w:rsidRPr="007260B8" w:rsidRDefault="007260B8" w:rsidP="007260B8">
      <w:pPr>
        <w:pStyle w:val="ListBullet"/>
      </w:pPr>
      <w:r w:rsidRPr="007260B8">
        <w:t>Underground services</w:t>
      </w:r>
    </w:p>
    <w:p w:rsidR="007260B8" w:rsidRPr="007260B8" w:rsidRDefault="007260B8" w:rsidP="007260B8">
      <w:pPr>
        <w:pStyle w:val="ListBullet"/>
      </w:pPr>
      <w:r w:rsidRPr="007260B8">
        <w:t>Availability and adequacy of construction equipment, materials and expertise</w:t>
      </w:r>
    </w:p>
    <w:p w:rsidR="007260B8" w:rsidRPr="007260B8" w:rsidRDefault="007260B8" w:rsidP="007260B8">
      <w:pPr>
        <w:pStyle w:val="ListBullet"/>
      </w:pPr>
      <w:r w:rsidRPr="007260B8">
        <w:t>For narrow pavement widening, ability to compact and/or stabilise the pavement adequately</w:t>
      </w:r>
    </w:p>
    <w:p w:rsidR="007260B8" w:rsidRPr="007260B8" w:rsidRDefault="007260B8" w:rsidP="007260B8">
      <w:pPr>
        <w:pStyle w:val="ListBullet"/>
      </w:pPr>
      <w:r w:rsidRPr="007260B8">
        <w:t>The ability to maintain the drainage system to ensure the pavement is protected from water ingress throughout its serviceable life</w:t>
      </w:r>
    </w:p>
    <w:p w:rsidR="007260B8" w:rsidRPr="007260B8" w:rsidRDefault="007260B8" w:rsidP="007260B8">
      <w:pPr>
        <w:pStyle w:val="ListBullet"/>
      </w:pPr>
      <w:r w:rsidRPr="007260B8">
        <w:t>Future treatment where there are height or level constraints.</w:t>
      </w:r>
    </w:p>
    <w:p w:rsidR="007260B8" w:rsidRPr="007260B8" w:rsidRDefault="007260B8" w:rsidP="007260B8">
      <w:pPr>
        <w:pStyle w:val="BodyText"/>
      </w:pPr>
    </w:p>
    <w:p w:rsidR="007260B8" w:rsidRPr="007260B8" w:rsidRDefault="007260B8" w:rsidP="007260B8">
      <w:pPr>
        <w:pStyle w:val="BodyText"/>
      </w:pPr>
      <w:r w:rsidRPr="007260B8">
        <w:t xml:space="preserve">The </w:t>
      </w:r>
      <w:r w:rsidRPr="007260B8">
        <w:rPr>
          <w:i/>
        </w:rPr>
        <w:t>Work Health and Safety Act 2012</w:t>
      </w:r>
      <w:r w:rsidRPr="007260B8">
        <w:t xml:space="preserve"> requires the designer to take into consideration safe work practices for the construction, operation, maintenance and removal of infrastructure assets.</w:t>
      </w:r>
    </w:p>
    <w:p w:rsidR="007260B8" w:rsidRPr="007260B8" w:rsidRDefault="007260B8" w:rsidP="007260B8">
      <w:pPr>
        <w:pStyle w:val="BodyText"/>
      </w:pPr>
    </w:p>
    <w:p w:rsidR="007260B8" w:rsidRPr="007260B8" w:rsidRDefault="007260B8" w:rsidP="007260B8">
      <w:pPr>
        <w:pStyle w:val="BodyText"/>
      </w:pPr>
      <w:r w:rsidRPr="007260B8">
        <w:t>Detailed temperature and rainfall information is available from the Bureau of Meteorology website (</w:t>
      </w:r>
      <w:hyperlink r:id="rId14" w:history="1">
        <w:r w:rsidRPr="007260B8">
          <w:rPr>
            <w:rStyle w:val="Hyperlink"/>
          </w:rPr>
          <w:t>www.bom.gov.au</w:t>
        </w:r>
      </w:hyperlink>
      <w:r w:rsidRPr="007260B8">
        <w:t>).</w:t>
      </w:r>
      <w:r w:rsidR="004B06C9">
        <w:t xml:space="preserve"> </w:t>
      </w:r>
      <w:r w:rsidRPr="007260B8">
        <w:t>Climate and weather should be considered, especially with respect to construction.</w:t>
      </w:r>
      <w:r w:rsidR="004B06C9">
        <w:t xml:space="preserve"> </w:t>
      </w:r>
      <w:r w:rsidRPr="007260B8">
        <w:t xml:space="preserve">For example whether it is warm enough to place asphalt overnight, or the risk of exposing the subgrade. </w:t>
      </w:r>
    </w:p>
    <w:p w:rsidR="007260B8" w:rsidRPr="007260B8" w:rsidRDefault="007260B8" w:rsidP="007260B8">
      <w:pPr>
        <w:pStyle w:val="BodyText"/>
      </w:pPr>
    </w:p>
    <w:p w:rsidR="007260B8" w:rsidRPr="007260B8" w:rsidRDefault="007260B8" w:rsidP="007260B8">
      <w:pPr>
        <w:pStyle w:val="BodyText"/>
      </w:pPr>
      <w:r w:rsidRPr="007260B8">
        <w:t>The design shall consider potential safety issues and nuisance that might occur during and after construction, including the safety of construction personnel, road users during and after construction; traffic delays; vibration, siltation and scour, fumes and dust during construction and noise. This list is not exhaustive.</w:t>
      </w:r>
      <w:r w:rsidR="004B06C9">
        <w:t xml:space="preserve"> </w:t>
      </w:r>
      <w:r w:rsidRPr="007260B8">
        <w:t>The designer must consider the implications of the design on construction personnel, road users and residents and seek to find a balanced solution.</w:t>
      </w:r>
    </w:p>
    <w:p w:rsidR="007260B8" w:rsidRDefault="007260B8" w:rsidP="004027C5">
      <w:pPr>
        <w:pStyle w:val="BodyText"/>
      </w:pPr>
    </w:p>
    <w:p w:rsidR="004B06C9" w:rsidRDefault="004B06C9" w:rsidP="004B06C9">
      <w:pPr>
        <w:pStyle w:val="Heading2"/>
        <w:numPr>
          <w:ilvl w:val="0"/>
          <w:numId w:val="10"/>
        </w:numPr>
      </w:pPr>
      <w:bookmarkStart w:id="106" w:name="_Toc48307181"/>
      <w:r>
        <w:t>Specification</w:t>
      </w:r>
      <w:bookmarkEnd w:id="106"/>
    </w:p>
    <w:p w:rsidR="004B06C9" w:rsidRPr="004B06C9" w:rsidRDefault="004B06C9" w:rsidP="004B06C9">
      <w:pPr>
        <w:pStyle w:val="BodyText"/>
      </w:pPr>
      <w:r w:rsidRPr="004B06C9">
        <w:t>Specific design details shall be provided in project specification, including:</w:t>
      </w:r>
    </w:p>
    <w:p w:rsidR="004B06C9" w:rsidRPr="004B06C9" w:rsidRDefault="004B06C9" w:rsidP="004B06C9">
      <w:pPr>
        <w:pStyle w:val="ListBullet"/>
        <w:rPr>
          <w:b/>
        </w:rPr>
      </w:pPr>
      <w:r w:rsidRPr="004B06C9">
        <w:t xml:space="preserve">The area of dig out patching and its cost implications compared to an increase in thickness of overlay. </w:t>
      </w:r>
    </w:p>
    <w:p w:rsidR="004B06C9" w:rsidRPr="004B06C9" w:rsidRDefault="004B06C9" w:rsidP="004B06C9">
      <w:pPr>
        <w:pStyle w:val="ListBullet"/>
        <w:rPr>
          <w:b/>
        </w:rPr>
      </w:pPr>
      <w:r w:rsidRPr="004B06C9">
        <w:t xml:space="preserve">Proposed substrate treatments where asphalt is to be applied. </w:t>
      </w:r>
    </w:p>
    <w:p w:rsidR="004B06C9" w:rsidRPr="004B06C9" w:rsidRDefault="004B06C9" w:rsidP="004B06C9">
      <w:pPr>
        <w:pStyle w:val="ListBullet"/>
        <w:rPr>
          <w:b/>
        </w:rPr>
      </w:pPr>
      <w:r w:rsidRPr="004B06C9">
        <w:t>Contingencies if the subgrade conditions do not meet the design CBR.</w:t>
      </w:r>
    </w:p>
    <w:p w:rsidR="004B06C9" w:rsidRPr="004B06C9" w:rsidRDefault="004B06C9" w:rsidP="004B06C9">
      <w:pPr>
        <w:pStyle w:val="ListBullet"/>
        <w:rPr>
          <w:b/>
        </w:rPr>
      </w:pPr>
      <w:r w:rsidRPr="004B06C9">
        <w:t>The required roughness levels when the proposed works do not comply with the defini</w:t>
      </w:r>
      <w:r w:rsidR="00E75A28">
        <w:t>tion of “new work”</w:t>
      </w:r>
      <w:r w:rsidRPr="004B06C9">
        <w:t>. In the event that setting appropriate limits is impractical, the project specification should define a method of control for evenness of surface.</w:t>
      </w:r>
    </w:p>
    <w:p w:rsidR="004B06C9" w:rsidRPr="004B06C9" w:rsidRDefault="004B06C9" w:rsidP="004B06C9">
      <w:pPr>
        <w:pStyle w:val="ListBullet"/>
        <w:rPr>
          <w:b/>
        </w:rPr>
      </w:pPr>
      <w:r w:rsidRPr="004B06C9">
        <w:t xml:space="preserve">Special testing requirements for asphalt including the need or otherwise of a “Production and Construction Trial” and Level 2 and 3 testing in accordance with APRG Report No 18 “ Selection and design of Asphalt Mixes”. </w:t>
      </w:r>
    </w:p>
    <w:p w:rsidR="004B06C9" w:rsidRPr="004B06C9" w:rsidRDefault="004B06C9" w:rsidP="004B06C9">
      <w:pPr>
        <w:pStyle w:val="BodyText"/>
      </w:pPr>
    </w:p>
    <w:p w:rsidR="004B06C9" w:rsidRDefault="004B06C9" w:rsidP="004B06C9">
      <w:pPr>
        <w:pStyle w:val="Heading2"/>
        <w:numPr>
          <w:ilvl w:val="0"/>
          <w:numId w:val="10"/>
        </w:numPr>
      </w:pPr>
      <w:bookmarkStart w:id="107" w:name="_Toc48307182"/>
      <w:r>
        <w:t>Reporting</w:t>
      </w:r>
      <w:bookmarkEnd w:id="107"/>
    </w:p>
    <w:p w:rsidR="004B06C9" w:rsidRPr="004B06C9" w:rsidRDefault="004B06C9" w:rsidP="004B06C9">
      <w:pPr>
        <w:pStyle w:val="BodyText"/>
      </w:pPr>
      <w:r w:rsidRPr="004B06C9">
        <w:t>A pavement design report shall be provided with the planning or preliminary design.</w:t>
      </w:r>
    </w:p>
    <w:p w:rsidR="004B06C9" w:rsidRPr="004B06C9" w:rsidRDefault="004B06C9" w:rsidP="004B06C9">
      <w:pPr>
        <w:pStyle w:val="BodyText"/>
        <w:rPr>
          <w:b/>
        </w:rPr>
      </w:pPr>
    </w:p>
    <w:p w:rsidR="004B06C9" w:rsidRPr="004B06C9" w:rsidRDefault="004B06C9" w:rsidP="004B06C9">
      <w:pPr>
        <w:pStyle w:val="BodyText"/>
      </w:pPr>
      <w:r w:rsidRPr="004B06C9">
        <w:t>All available information should be referenced in the report if not included. Where not included, the reasons should be stated. Opinion need not be avoided, although it must always have a basis in fact and should be described as opinion.</w:t>
      </w:r>
    </w:p>
    <w:p w:rsidR="004B06C9" w:rsidRPr="004B06C9" w:rsidRDefault="004B06C9" w:rsidP="004B06C9">
      <w:pPr>
        <w:pStyle w:val="BodyText"/>
        <w:rPr>
          <w:b/>
        </w:rPr>
      </w:pPr>
    </w:p>
    <w:p w:rsidR="004B06C9" w:rsidRPr="004B06C9" w:rsidRDefault="004B06C9" w:rsidP="004B06C9">
      <w:pPr>
        <w:pStyle w:val="BodyText"/>
        <w:rPr>
          <w:b/>
        </w:rPr>
      </w:pPr>
      <w:r w:rsidRPr="004B06C9">
        <w:t>In preparing the report it should be recognised that the report has uses beyond the design and specification functions.</w:t>
      </w:r>
      <w:r>
        <w:t xml:space="preserve"> </w:t>
      </w:r>
      <w:r w:rsidRPr="004B06C9">
        <w:t xml:space="preserve">It may be used by Department of State Growth to assess priorities and risks, by the Contractor to </w:t>
      </w:r>
      <w:r w:rsidRPr="004B06C9">
        <w:lastRenderedPageBreak/>
        <w:t>determine methods and costs and by the Construction Superintendent to make decisions throughout construction.</w:t>
      </w:r>
      <w:r>
        <w:t xml:space="preserve"> </w:t>
      </w:r>
      <w:r w:rsidRPr="004B06C9">
        <w:t>As a result, in addition to providing full disclosure, the report should:</w:t>
      </w:r>
    </w:p>
    <w:p w:rsidR="004B06C9" w:rsidRPr="004B06C9" w:rsidRDefault="004B06C9" w:rsidP="004B06C9">
      <w:pPr>
        <w:pStyle w:val="ListBullet"/>
        <w:rPr>
          <w:b/>
        </w:rPr>
      </w:pPr>
      <w:r w:rsidRPr="004B06C9">
        <w:t>Define locations in terms of Department of State Growth’s link numbers and chainage, observing the prescribed and counter direction</w:t>
      </w:r>
    </w:p>
    <w:p w:rsidR="004B06C9" w:rsidRPr="004B06C9" w:rsidRDefault="004B06C9" w:rsidP="004B06C9">
      <w:pPr>
        <w:pStyle w:val="ListBullet"/>
        <w:rPr>
          <w:b/>
        </w:rPr>
      </w:pPr>
      <w:r w:rsidRPr="004B06C9">
        <w:t>Describe the site and/or existing condition of the pavement including groundwater and moisture conditions</w:t>
      </w:r>
    </w:p>
    <w:p w:rsidR="004B06C9" w:rsidRPr="004B06C9" w:rsidRDefault="004B06C9" w:rsidP="004B06C9">
      <w:pPr>
        <w:pStyle w:val="ListBullet"/>
        <w:rPr>
          <w:b/>
        </w:rPr>
      </w:pPr>
      <w:r w:rsidRPr="004B06C9">
        <w:t xml:space="preserve">Provide an understanding of the basis of the design and the determining factors </w:t>
      </w:r>
    </w:p>
    <w:p w:rsidR="004B06C9" w:rsidRPr="004B06C9" w:rsidRDefault="004B06C9" w:rsidP="004B06C9">
      <w:pPr>
        <w:pStyle w:val="ListBullet"/>
        <w:rPr>
          <w:b/>
        </w:rPr>
      </w:pPr>
      <w:r w:rsidRPr="004B06C9">
        <w:t>Collate data so that is easily accessed by the range of users described above</w:t>
      </w:r>
    </w:p>
    <w:p w:rsidR="004B06C9" w:rsidRPr="004B06C9" w:rsidRDefault="004B06C9" w:rsidP="004B06C9">
      <w:pPr>
        <w:pStyle w:val="ListBullet"/>
        <w:rPr>
          <w:b/>
        </w:rPr>
      </w:pPr>
      <w:r w:rsidRPr="004B06C9">
        <w:t xml:space="preserve">Where applicable, include statistical summaries of deflection data as well as overlay thickness estimates based on the </w:t>
      </w:r>
      <w:r w:rsidRPr="004B06C9">
        <w:rPr>
          <w:i/>
        </w:rPr>
        <w:t>Austroads</w:t>
      </w:r>
      <w:r w:rsidRPr="004B06C9">
        <w:t xml:space="preserve"> overlay design procedures</w:t>
      </w:r>
    </w:p>
    <w:p w:rsidR="004B06C9" w:rsidRPr="004B06C9" w:rsidRDefault="004B06C9" w:rsidP="004B06C9">
      <w:pPr>
        <w:pStyle w:val="ListBullet"/>
        <w:rPr>
          <w:b/>
        </w:rPr>
      </w:pPr>
      <w:r w:rsidRPr="004B06C9">
        <w:t xml:space="preserve">Provide comment on compliance of materials with </w:t>
      </w:r>
      <w:r w:rsidRPr="004B06C9">
        <w:rPr>
          <w:i/>
        </w:rPr>
        <w:t>Department of State Growth’s Standard Specifications</w:t>
      </w:r>
      <w:r w:rsidRPr="004B06C9">
        <w:t xml:space="preserve"> but including a statement about the reliability of the data, scatter of results, statistical significance, etc.</w:t>
      </w:r>
    </w:p>
    <w:p w:rsidR="004B06C9" w:rsidRPr="004B06C9" w:rsidRDefault="004B06C9" w:rsidP="004B06C9">
      <w:pPr>
        <w:pStyle w:val="ListBullet"/>
        <w:rPr>
          <w:b/>
        </w:rPr>
      </w:pPr>
      <w:r w:rsidRPr="004B06C9">
        <w:t>Discuss alternatives, including benefits, cost and risks.</w:t>
      </w:r>
      <w:r>
        <w:t xml:space="preserve"> </w:t>
      </w:r>
      <w:r w:rsidRPr="004B06C9">
        <w:t>It is important that all parties are made fully aware of likely risks, particularly those arising from a limited data set.</w:t>
      </w:r>
    </w:p>
    <w:p w:rsidR="004B06C9" w:rsidRPr="004B06C9" w:rsidRDefault="004B06C9" w:rsidP="004B06C9">
      <w:pPr>
        <w:pStyle w:val="ListBullet"/>
        <w:rPr>
          <w:b/>
        </w:rPr>
      </w:pPr>
      <w:r w:rsidRPr="004B06C9">
        <w:t>Include reasons for deviations from the specified standards or those standards outlined above, such as the use of other than a Class 170 or 320 bitumen or where multigrade bitumen or polymer modified binders are recommended.</w:t>
      </w:r>
    </w:p>
    <w:p w:rsidR="004B06C9" w:rsidRPr="004B06C9" w:rsidRDefault="004B06C9" w:rsidP="004B06C9">
      <w:pPr>
        <w:pStyle w:val="BodyText"/>
        <w:rPr>
          <w:b/>
        </w:rPr>
      </w:pPr>
    </w:p>
    <w:p w:rsidR="004B06C9" w:rsidRPr="004B06C9" w:rsidRDefault="004B06C9" w:rsidP="004B06C9">
      <w:pPr>
        <w:pStyle w:val="BodyText"/>
      </w:pPr>
      <w:r w:rsidRPr="004B06C9">
        <w:t>The pavement design shall be clearly documented, including the methodology and calculations, supported by:</w:t>
      </w:r>
    </w:p>
    <w:p w:rsidR="004B06C9" w:rsidRPr="004B06C9" w:rsidRDefault="004B06C9" w:rsidP="004B06C9">
      <w:pPr>
        <w:pStyle w:val="ListBullet"/>
      </w:pPr>
      <w:r w:rsidRPr="004B06C9">
        <w:t>The subgrade conditions</w:t>
      </w:r>
    </w:p>
    <w:p w:rsidR="004B06C9" w:rsidRPr="004B06C9" w:rsidRDefault="004B06C9" w:rsidP="004B06C9">
      <w:pPr>
        <w:pStyle w:val="ListBullet"/>
      </w:pPr>
      <w:r w:rsidRPr="004B06C9">
        <w:t>The design traffic calculations</w:t>
      </w:r>
    </w:p>
    <w:p w:rsidR="004B06C9" w:rsidRPr="004B06C9" w:rsidRDefault="004B06C9" w:rsidP="004B06C9">
      <w:pPr>
        <w:pStyle w:val="ListBullet"/>
      </w:pPr>
      <w:r w:rsidRPr="004B06C9">
        <w:t xml:space="preserve">Where relevant, the CIRCLY Job Summary File, critical strains and </w:t>
      </w:r>
      <w:proofErr w:type="spellStart"/>
      <w:r w:rsidRPr="004B06C9">
        <w:t>CIRCLY.clo</w:t>
      </w:r>
      <w:proofErr w:type="spellEnd"/>
      <w:r w:rsidRPr="004B06C9">
        <w:t xml:space="preserve"> output files, including the performance relationships used (or an alternative software program complying with the </w:t>
      </w:r>
      <w:r w:rsidRPr="004B06C9">
        <w:rPr>
          <w:i/>
        </w:rPr>
        <w:t>Austroads Guide to Pavement Technology</w:t>
      </w:r>
      <w:r w:rsidRPr="004B06C9">
        <w:t>)</w:t>
      </w:r>
    </w:p>
    <w:p w:rsidR="004B06C9" w:rsidRDefault="004B06C9" w:rsidP="004B06C9">
      <w:pPr>
        <w:pStyle w:val="ListBullet"/>
      </w:pPr>
      <w:r w:rsidRPr="004B06C9">
        <w:t xml:space="preserve">Adjustment of the critical layer thickness, in accordance with </w:t>
      </w:r>
      <w:r w:rsidRPr="004B06C9">
        <w:rPr>
          <w:i/>
        </w:rPr>
        <w:t xml:space="preserve">Clause </w:t>
      </w:r>
      <w:r>
        <w:rPr>
          <w:i/>
        </w:rPr>
        <w:fldChar w:fldCharType="begin"/>
      </w:r>
      <w:r>
        <w:rPr>
          <w:i/>
        </w:rPr>
        <w:instrText xml:space="preserve"> REF _Ref48298721 \r \h </w:instrText>
      </w:r>
      <w:r>
        <w:rPr>
          <w:i/>
        </w:rPr>
      </w:r>
      <w:r>
        <w:rPr>
          <w:i/>
        </w:rPr>
        <w:fldChar w:fldCharType="separate"/>
      </w:r>
      <w:r>
        <w:rPr>
          <w:i/>
        </w:rPr>
        <w:t>T15.7.8</w:t>
      </w:r>
      <w:r>
        <w:rPr>
          <w:i/>
        </w:rPr>
        <w:fldChar w:fldCharType="end"/>
      </w:r>
      <w:r w:rsidRPr="004B06C9">
        <w:t>.</w:t>
      </w:r>
    </w:p>
    <w:p w:rsidR="0072534C" w:rsidRDefault="0072534C" w:rsidP="0072534C">
      <w:pPr>
        <w:pStyle w:val="ListBullet"/>
        <w:numPr>
          <w:ilvl w:val="0"/>
          <w:numId w:val="0"/>
        </w:numPr>
      </w:pPr>
    </w:p>
    <w:p w:rsidR="004B06C9" w:rsidRDefault="004B06C9" w:rsidP="004B06C9">
      <w:pPr>
        <w:pStyle w:val="Heading2"/>
        <w:numPr>
          <w:ilvl w:val="0"/>
          <w:numId w:val="10"/>
        </w:numPr>
      </w:pPr>
      <w:bookmarkStart w:id="108" w:name="_Toc48307183"/>
      <w:r>
        <w:t>Hold Points</w:t>
      </w:r>
      <w:bookmarkEnd w:id="108"/>
    </w:p>
    <w:p w:rsidR="004B06C9" w:rsidRPr="004B06C9" w:rsidRDefault="004B06C9" w:rsidP="004B06C9">
      <w:pPr>
        <w:pStyle w:val="BodyText"/>
        <w:rPr>
          <w:i/>
          <w:iCs/>
        </w:rPr>
      </w:pPr>
      <w:r w:rsidRPr="004B06C9">
        <w:t xml:space="preserve">Hold Points for this Specification are listed in </w:t>
      </w:r>
      <w:r w:rsidRPr="004B06C9">
        <w:rPr>
          <w:i/>
          <w:iCs/>
        </w:rPr>
        <w:t xml:space="preserve">Table </w:t>
      </w:r>
      <w:r>
        <w:rPr>
          <w:i/>
          <w:iCs/>
        </w:rPr>
        <w:fldChar w:fldCharType="begin"/>
      </w:r>
      <w:r>
        <w:rPr>
          <w:i/>
          <w:iCs/>
        </w:rPr>
        <w:instrText xml:space="preserve"> REF _Ref48298611 \r \h </w:instrText>
      </w:r>
      <w:r>
        <w:rPr>
          <w:i/>
          <w:iCs/>
        </w:rPr>
      </w:r>
      <w:r>
        <w:rPr>
          <w:i/>
          <w:iCs/>
        </w:rPr>
        <w:fldChar w:fldCharType="separate"/>
      </w:r>
      <w:r>
        <w:rPr>
          <w:i/>
          <w:iCs/>
        </w:rPr>
        <w:t>T15.15.1</w:t>
      </w:r>
      <w:r>
        <w:rPr>
          <w:i/>
          <w:iCs/>
        </w:rPr>
        <w:fldChar w:fldCharType="end"/>
      </w:r>
      <w:r w:rsidRPr="004B06C9">
        <w:rPr>
          <w:i/>
          <w:iCs/>
        </w:rPr>
        <w:t xml:space="preserve"> – Hold Points.</w:t>
      </w:r>
    </w:p>
    <w:p w:rsidR="004B06C9" w:rsidRPr="004B06C9" w:rsidRDefault="004B06C9" w:rsidP="004B06C9">
      <w:pPr>
        <w:pStyle w:val="Heading3"/>
        <w:numPr>
          <w:ilvl w:val="1"/>
          <w:numId w:val="10"/>
        </w:numPr>
      </w:pPr>
      <w:bookmarkStart w:id="109" w:name="_Ref48298611"/>
      <w:bookmarkStart w:id="110" w:name="_Toc48307184"/>
      <w:r w:rsidRPr="004B06C9">
        <w:t>Schedule of Hold Points</w:t>
      </w:r>
      <w:bookmarkEnd w:id="109"/>
      <w:bookmarkEnd w:id="110"/>
    </w:p>
    <w:tbl>
      <w:tblPr>
        <w:tblStyle w:val="TableGrid"/>
        <w:tblW w:w="0" w:type="auto"/>
        <w:jc w:val="center"/>
        <w:tblLook w:val="04A0" w:firstRow="1" w:lastRow="0" w:firstColumn="1" w:lastColumn="0" w:noHBand="0" w:noVBand="1"/>
      </w:tblPr>
      <w:tblGrid>
        <w:gridCol w:w="2900"/>
        <w:gridCol w:w="3506"/>
        <w:gridCol w:w="2889"/>
      </w:tblGrid>
      <w:tr w:rsidR="004B06C9" w:rsidRPr="004B06C9" w:rsidTr="006D18B8">
        <w:trPr>
          <w:jc w:val="center"/>
        </w:trPr>
        <w:tc>
          <w:tcPr>
            <w:tcW w:w="2900" w:type="dxa"/>
            <w:vAlign w:val="center"/>
          </w:tcPr>
          <w:p w:rsidR="004B06C9" w:rsidRPr="004B06C9" w:rsidRDefault="004B06C9" w:rsidP="004B06C9">
            <w:pPr>
              <w:pStyle w:val="BodyText"/>
              <w:rPr>
                <w:b/>
              </w:rPr>
            </w:pPr>
            <w:r w:rsidRPr="004B06C9">
              <w:rPr>
                <w:b/>
              </w:rPr>
              <w:t>Description of Hold Point</w:t>
            </w:r>
          </w:p>
        </w:tc>
        <w:tc>
          <w:tcPr>
            <w:tcW w:w="3506" w:type="dxa"/>
            <w:vAlign w:val="center"/>
          </w:tcPr>
          <w:p w:rsidR="004B06C9" w:rsidRPr="004B06C9" w:rsidRDefault="004B06C9" w:rsidP="004B06C9">
            <w:pPr>
              <w:pStyle w:val="BodyText"/>
              <w:rPr>
                <w:b/>
              </w:rPr>
            </w:pPr>
            <w:r w:rsidRPr="004B06C9">
              <w:rPr>
                <w:b/>
              </w:rPr>
              <w:t>Nominated Work Not to Proceed</w:t>
            </w:r>
          </w:p>
        </w:tc>
        <w:tc>
          <w:tcPr>
            <w:tcW w:w="2889" w:type="dxa"/>
            <w:vAlign w:val="center"/>
          </w:tcPr>
          <w:p w:rsidR="004B06C9" w:rsidRPr="004B06C9" w:rsidRDefault="004B06C9" w:rsidP="004B06C9">
            <w:pPr>
              <w:pStyle w:val="BodyText"/>
              <w:rPr>
                <w:b/>
              </w:rPr>
            </w:pPr>
            <w:r w:rsidRPr="004B06C9">
              <w:rPr>
                <w:b/>
              </w:rPr>
              <w:t>Evidence of Compliance</w:t>
            </w:r>
          </w:p>
        </w:tc>
      </w:tr>
      <w:tr w:rsidR="004B06C9" w:rsidRPr="004B06C9" w:rsidTr="006D18B8">
        <w:trPr>
          <w:jc w:val="center"/>
        </w:trPr>
        <w:tc>
          <w:tcPr>
            <w:tcW w:w="2900" w:type="dxa"/>
          </w:tcPr>
          <w:p w:rsidR="004B06C9" w:rsidRPr="004B06C9" w:rsidRDefault="004B06C9" w:rsidP="004B06C9">
            <w:pPr>
              <w:pStyle w:val="BodyText"/>
            </w:pPr>
            <w:r w:rsidRPr="004B06C9">
              <w:t>Use of non-standard materials</w:t>
            </w:r>
          </w:p>
        </w:tc>
        <w:tc>
          <w:tcPr>
            <w:tcW w:w="3506" w:type="dxa"/>
          </w:tcPr>
          <w:p w:rsidR="004B06C9" w:rsidRPr="004B06C9" w:rsidRDefault="004B06C9" w:rsidP="004B06C9">
            <w:pPr>
              <w:pStyle w:val="BodyText"/>
            </w:pPr>
            <w:r w:rsidRPr="004B06C9">
              <w:t>Pavement design</w:t>
            </w:r>
          </w:p>
        </w:tc>
        <w:tc>
          <w:tcPr>
            <w:tcW w:w="2889" w:type="dxa"/>
          </w:tcPr>
          <w:p w:rsidR="004B06C9" w:rsidRPr="004B06C9" w:rsidRDefault="004B06C9" w:rsidP="004B06C9">
            <w:pPr>
              <w:pStyle w:val="BodyText"/>
            </w:pPr>
            <w:r w:rsidRPr="004B06C9">
              <w:t>Approval from Department of State Growth Road Asset Management Section</w:t>
            </w:r>
          </w:p>
        </w:tc>
      </w:tr>
      <w:tr w:rsidR="004B06C9" w:rsidRPr="004B06C9" w:rsidTr="006D18B8">
        <w:trPr>
          <w:jc w:val="center"/>
        </w:trPr>
        <w:tc>
          <w:tcPr>
            <w:tcW w:w="2900" w:type="dxa"/>
          </w:tcPr>
          <w:p w:rsidR="004B06C9" w:rsidRPr="004B06C9" w:rsidRDefault="004B06C9" w:rsidP="004B06C9">
            <w:pPr>
              <w:pStyle w:val="BodyText"/>
            </w:pPr>
            <w:r w:rsidRPr="004B06C9">
              <w:t>Pavement Design</w:t>
            </w:r>
          </w:p>
        </w:tc>
        <w:tc>
          <w:tcPr>
            <w:tcW w:w="3506" w:type="dxa"/>
          </w:tcPr>
          <w:p w:rsidR="004B06C9" w:rsidRPr="004B06C9" w:rsidRDefault="004B06C9" w:rsidP="004B06C9">
            <w:pPr>
              <w:pStyle w:val="BodyText"/>
            </w:pPr>
            <w:r w:rsidRPr="004B06C9">
              <w:t>Detailed design and preparation of tender documentation</w:t>
            </w:r>
          </w:p>
        </w:tc>
        <w:tc>
          <w:tcPr>
            <w:tcW w:w="2889" w:type="dxa"/>
          </w:tcPr>
          <w:p w:rsidR="004B06C9" w:rsidRPr="004B06C9" w:rsidRDefault="004B06C9" w:rsidP="004B06C9">
            <w:pPr>
              <w:pStyle w:val="BodyText"/>
            </w:pPr>
            <w:r w:rsidRPr="004B06C9">
              <w:t>Approval from Department of State Growth Road Asset Management Section</w:t>
            </w:r>
          </w:p>
        </w:tc>
      </w:tr>
      <w:tr w:rsidR="004B06C9" w:rsidRPr="004B06C9" w:rsidTr="006D18B8">
        <w:trPr>
          <w:jc w:val="center"/>
        </w:trPr>
        <w:tc>
          <w:tcPr>
            <w:tcW w:w="2900" w:type="dxa"/>
          </w:tcPr>
          <w:p w:rsidR="004B06C9" w:rsidRPr="004B06C9" w:rsidRDefault="004B06C9" w:rsidP="004B06C9">
            <w:pPr>
              <w:pStyle w:val="BodyText"/>
            </w:pPr>
            <w:r w:rsidRPr="004B06C9">
              <w:t>Surfacing Selection</w:t>
            </w:r>
          </w:p>
        </w:tc>
        <w:tc>
          <w:tcPr>
            <w:tcW w:w="3506" w:type="dxa"/>
          </w:tcPr>
          <w:p w:rsidR="004B06C9" w:rsidRPr="004B06C9" w:rsidRDefault="004B06C9" w:rsidP="004B06C9">
            <w:pPr>
              <w:pStyle w:val="BodyText"/>
            </w:pPr>
            <w:r w:rsidRPr="004B06C9">
              <w:t>Detailed design and preparation of tender documentation</w:t>
            </w:r>
          </w:p>
        </w:tc>
        <w:tc>
          <w:tcPr>
            <w:tcW w:w="2889" w:type="dxa"/>
          </w:tcPr>
          <w:p w:rsidR="004B06C9" w:rsidRPr="004B06C9" w:rsidRDefault="004B06C9" w:rsidP="004B06C9">
            <w:pPr>
              <w:pStyle w:val="BodyText"/>
            </w:pPr>
            <w:r w:rsidRPr="004B06C9">
              <w:t>Approval from Department of State Growth Road Asset Management Section</w:t>
            </w:r>
          </w:p>
        </w:tc>
      </w:tr>
    </w:tbl>
    <w:p w:rsidR="004B06C9" w:rsidRPr="004B06C9" w:rsidRDefault="004B06C9" w:rsidP="004B06C9">
      <w:pPr>
        <w:pStyle w:val="BodyText"/>
        <w:rPr>
          <w:i/>
        </w:rPr>
      </w:pPr>
    </w:p>
    <w:p w:rsidR="004B06C9" w:rsidRPr="004B06C9" w:rsidRDefault="004B06C9" w:rsidP="004B06C9">
      <w:pPr>
        <w:pStyle w:val="BodyText"/>
        <w:rPr>
          <w:i/>
        </w:rPr>
      </w:pPr>
      <w:r w:rsidRPr="004B06C9">
        <w:rPr>
          <w:i/>
        </w:rPr>
        <w:t>Note: Earlier involvement (i.e. prior to reaching the above Hold Points) of Department of State Growth Road Asset Management Section is desirable, and can minimise the risk of re-work if the pavement design is significantly changed as a consequence of the Hold Point.</w:t>
      </w:r>
    </w:p>
    <w:p w:rsidR="004B06C9" w:rsidRPr="004B06C9" w:rsidRDefault="004B06C9" w:rsidP="004B06C9">
      <w:pPr>
        <w:pStyle w:val="BodyText"/>
      </w:pPr>
    </w:p>
    <w:p w:rsidR="004B06C9" w:rsidRPr="004B06C9" w:rsidRDefault="004B06C9" w:rsidP="004B06C9">
      <w:pPr>
        <w:pStyle w:val="BodyText"/>
      </w:pPr>
    </w:p>
    <w:p w:rsidR="004B06C9" w:rsidRPr="004027C5" w:rsidRDefault="004B06C9" w:rsidP="004027C5">
      <w:pPr>
        <w:pStyle w:val="BodyText"/>
      </w:pPr>
    </w:p>
    <w:p w:rsidR="008F75B7" w:rsidRPr="003F6291" w:rsidRDefault="008F75B7" w:rsidP="003F6291">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46"/>
        <w:gridCol w:w="3407"/>
      </w:tblGrid>
      <w:tr w:rsidR="008F75B7" w:rsidRPr="00AB3BA5" w:rsidTr="00FC5C4A">
        <w:trPr>
          <w:trHeight w:val="1186"/>
          <w:jc w:val="center"/>
        </w:trPr>
        <w:tc>
          <w:tcPr>
            <w:tcW w:w="2410" w:type="dxa"/>
            <w:vMerge w:val="restart"/>
          </w:tcPr>
          <w:p w:rsidR="008F75B7" w:rsidRPr="003F6291" w:rsidRDefault="008F75B7" w:rsidP="003F6291">
            <w:pPr>
              <w:pStyle w:val="BackPage"/>
            </w:pPr>
            <w:r w:rsidRPr="003F6291">
              <w:rPr>
                <w:noProof/>
                <w:lang w:eastAsia="en-AU"/>
              </w:rPr>
              <w:lastRenderedPageBreak/>
              <w:drawing>
                <wp:anchor distT="0" distB="0" distL="114300" distR="114300" simplePos="0" relativeHeight="251665408" behindDoc="1" locked="0" layoutInCell="1" allowOverlap="1" wp14:anchorId="0F2C375F" wp14:editId="2E54EA77">
                  <wp:simplePos x="0" y="0"/>
                  <wp:positionH relativeFrom="column">
                    <wp:posOffset>-3844</wp:posOffset>
                  </wp:positionH>
                  <wp:positionV relativeFrom="paragraph">
                    <wp:posOffset>258</wp:posOffset>
                  </wp:positionV>
                  <wp:extent cx="967105" cy="901065"/>
                  <wp:effectExtent l="0" t="0" r="4445" b="0"/>
                  <wp:wrapTight wrapText="bothSides">
                    <wp:wrapPolygon edited="0">
                      <wp:start x="8935" y="0"/>
                      <wp:lineTo x="5957" y="2283"/>
                      <wp:lineTo x="3829" y="5480"/>
                      <wp:lineTo x="4255" y="7763"/>
                      <wp:lineTo x="1702" y="13700"/>
                      <wp:lineTo x="851" y="15070"/>
                      <wp:lineTo x="0" y="18266"/>
                      <wp:lineTo x="0" y="19636"/>
                      <wp:lineTo x="851" y="21006"/>
                      <wp:lineTo x="21274" y="21006"/>
                      <wp:lineTo x="21274" y="18266"/>
                      <wp:lineTo x="18295" y="3197"/>
                      <wp:lineTo x="17019" y="913"/>
                      <wp:lineTo x="11913" y="0"/>
                      <wp:lineTo x="8935" y="0"/>
                    </wp:wrapPolygon>
                  </wp:wrapTight>
                  <wp:docPr id="1" name="Picture 1" descr="MKBK:Users:roland:My Desk:Business:RG Design:Jobs:DEDTA Jobs:DSG 14034 DSG A4 Document Template:B - Development:Exports:Back Gov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KBK:Users:roland:My Desk:Business:RG Design:Jobs:DEDTA Jobs:DSG 14034 DSG A4 Document Template:B - Development:Exports:Back Gov 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7105" cy="9010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4253" w:type="dxa"/>
            <w:gridSpan w:val="2"/>
          </w:tcPr>
          <w:p w:rsidR="008F75B7" w:rsidRPr="003F6291" w:rsidRDefault="008F75B7" w:rsidP="003F6291">
            <w:pPr>
              <w:pStyle w:val="BackPage"/>
            </w:pPr>
            <w:r w:rsidRPr="003F6291">
              <w:t>Department of State Growth</w:t>
            </w:r>
          </w:p>
          <w:p w:rsidR="00AB3BA5" w:rsidRDefault="00AB3BA5" w:rsidP="00AB3BA5">
            <w:pPr>
              <w:pStyle w:val="BackPage"/>
              <w:spacing w:before="0" w:after="0"/>
            </w:pPr>
            <w:r w:rsidRPr="00AB3BA5">
              <w:t xml:space="preserve">Salamanca Building </w:t>
            </w:r>
            <w:r>
              <w:t xml:space="preserve">Parliament Square </w:t>
            </w:r>
          </w:p>
          <w:p w:rsidR="008F75B7" w:rsidRPr="00AB3BA5" w:rsidRDefault="00AB3BA5" w:rsidP="00AB3BA5">
            <w:pPr>
              <w:pStyle w:val="BackPage"/>
              <w:spacing w:before="0" w:after="0"/>
            </w:pPr>
            <w:r w:rsidRPr="00AB3BA5">
              <w:t>4 Salamanca Place</w:t>
            </w:r>
            <w:r w:rsidR="008F75B7" w:rsidRPr="00AB3BA5">
              <w:br/>
            </w:r>
            <w:r w:rsidRPr="00AB3BA5">
              <w:t>HOBART</w:t>
            </w:r>
            <w:r w:rsidR="008F75B7" w:rsidRPr="00AB3BA5">
              <w:t xml:space="preserve"> TAS 7001 Australia</w:t>
            </w:r>
          </w:p>
        </w:tc>
      </w:tr>
      <w:tr w:rsidR="008F75B7" w:rsidTr="00FC5C4A">
        <w:trPr>
          <w:jc w:val="center"/>
        </w:trPr>
        <w:tc>
          <w:tcPr>
            <w:tcW w:w="2410" w:type="dxa"/>
            <w:vMerge/>
          </w:tcPr>
          <w:p w:rsidR="008F75B7" w:rsidRDefault="008F75B7" w:rsidP="003F6291"/>
        </w:tc>
        <w:tc>
          <w:tcPr>
            <w:tcW w:w="846" w:type="dxa"/>
          </w:tcPr>
          <w:p w:rsidR="008F75B7" w:rsidRPr="003F6291" w:rsidRDefault="008F75B7" w:rsidP="003F6291">
            <w:r>
              <w:t>Email:</w:t>
            </w:r>
          </w:p>
        </w:tc>
        <w:tc>
          <w:tcPr>
            <w:tcW w:w="3407" w:type="dxa"/>
          </w:tcPr>
          <w:p w:rsidR="008F75B7" w:rsidRPr="003F6291" w:rsidRDefault="00E13DC4" w:rsidP="00AB3BA5">
            <w:hyperlink r:id="rId16" w:history="1">
              <w:r w:rsidR="00AB3BA5" w:rsidRPr="00A511DD">
                <w:rPr>
                  <w:rStyle w:val="Hyperlink"/>
                </w:rPr>
                <w:t>info@stategrowth.tas.gov.au</w:t>
              </w:r>
            </w:hyperlink>
          </w:p>
        </w:tc>
      </w:tr>
      <w:tr w:rsidR="008F75B7" w:rsidTr="00FC5C4A">
        <w:trPr>
          <w:jc w:val="center"/>
        </w:trPr>
        <w:tc>
          <w:tcPr>
            <w:tcW w:w="2410" w:type="dxa"/>
            <w:vMerge/>
          </w:tcPr>
          <w:p w:rsidR="008F75B7" w:rsidRDefault="008F75B7" w:rsidP="003F6291"/>
        </w:tc>
        <w:tc>
          <w:tcPr>
            <w:tcW w:w="846" w:type="dxa"/>
          </w:tcPr>
          <w:p w:rsidR="008F75B7" w:rsidRPr="003F6291" w:rsidRDefault="008F75B7" w:rsidP="003F6291">
            <w:r>
              <w:t>Web:</w:t>
            </w:r>
          </w:p>
        </w:tc>
        <w:tc>
          <w:tcPr>
            <w:tcW w:w="3407" w:type="dxa"/>
          </w:tcPr>
          <w:p w:rsidR="008F75B7" w:rsidRPr="003F6291" w:rsidRDefault="00E13DC4" w:rsidP="00AB3BA5">
            <w:hyperlink r:id="rId17" w:history="1">
              <w:r w:rsidR="00AB3BA5" w:rsidRPr="00A511DD">
                <w:rPr>
                  <w:rStyle w:val="Hyperlink"/>
                </w:rPr>
                <w:t>www.transport.tas.gov.au</w:t>
              </w:r>
            </w:hyperlink>
            <w:r w:rsidR="00AB3BA5">
              <w:t xml:space="preserve"> </w:t>
            </w:r>
          </w:p>
        </w:tc>
      </w:tr>
    </w:tbl>
    <w:p w:rsidR="008F75B7" w:rsidRPr="00553876" w:rsidRDefault="008F75B7" w:rsidP="003F6291">
      <w:pPr>
        <w:pStyle w:val="BodyText"/>
      </w:pPr>
      <w:r w:rsidRPr="003F6291">
        <w:rPr>
          <w:noProof/>
          <w:lang w:eastAsia="en-AU"/>
        </w:rPr>
        <mc:AlternateContent>
          <mc:Choice Requires="wps">
            <w:drawing>
              <wp:anchor distT="0" distB="0" distL="114300" distR="114300" simplePos="0" relativeHeight="251664384" behindDoc="1" locked="0" layoutInCell="1" allowOverlap="1" wp14:anchorId="0AB39E7E" wp14:editId="27D3F149">
                <wp:simplePos x="0" y="0"/>
                <wp:positionH relativeFrom="page">
                  <wp:posOffset>0</wp:posOffset>
                </wp:positionH>
                <wp:positionV relativeFrom="page">
                  <wp:posOffset>0</wp:posOffset>
                </wp:positionV>
                <wp:extent cx="7560000" cy="10692000"/>
                <wp:effectExtent l="0" t="0" r="9525" b="1905"/>
                <wp:wrapNone/>
                <wp:docPr id="11"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62CAE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71D0A" id="Rectangle 11" o:spid="_x0000_s1026" style="position:absolute;margin-left:0;margin-top:0;width:595.3pt;height:841.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" fillcolor="#62cae3" stroked="f" strokeweight=".5pt">
                <w10:wrap anchorx="page" anchory="page"/>
              </v:rect>
            </w:pict>
          </mc:Fallback>
        </mc:AlternateContent>
      </w:r>
    </w:p>
    <w:p w:rsidR="008F75B7" w:rsidRDefault="008F75B7" w:rsidP="003F6291">
      <w:pPr>
        <w:pStyle w:val="BodyText"/>
        <w:sectPr w:rsidR="008F75B7" w:rsidSect="00023E01">
          <w:footerReference w:type="default" r:id="rId18"/>
          <w:pgSz w:w="11906" w:h="16838" w:code="9"/>
          <w:pgMar w:top="851" w:right="851" w:bottom="550" w:left="851" w:header="851" w:footer="550" w:gutter="0"/>
          <w:pgNumType w:start="1"/>
          <w:cols w:space="708"/>
          <w:docGrid w:linePitch="360"/>
        </w:sectPr>
      </w:pPr>
    </w:p>
    <w:p w:rsidR="008F75B7" w:rsidRPr="00EC2562" w:rsidRDefault="008F75B7" w:rsidP="00EC2562"/>
    <w:sectPr w:rsidR="008F75B7" w:rsidRPr="00EC2562" w:rsidSect="00F74936">
      <w:footerReference w:type="default" r:id="rId19"/>
      <w:type w:val="continuous"/>
      <w:pgSz w:w="11906" w:h="16838" w:code="9"/>
      <w:pgMar w:top="3629"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DC4" w:rsidRDefault="00E13DC4">
      <w:pPr>
        <w:spacing w:before="0" w:after="0" w:line="240" w:lineRule="auto"/>
      </w:pPr>
      <w:r>
        <w:separator/>
      </w:r>
    </w:p>
  </w:endnote>
  <w:endnote w:type="continuationSeparator" w:id="0">
    <w:p w:rsidR="00E13DC4" w:rsidRDefault="00E13D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F72" w:rsidRDefault="00102F72">
    <w:pPr>
      <w:pStyle w:val="Footer"/>
    </w:pPr>
    <w:r w:rsidRPr="00C60B42">
      <w:t xml:space="preserve">Document title </w:t>
    </w:r>
    <w:r w:rsidRPr="00C60B42">
      <w:tab/>
    </w:r>
    <w:r w:rsidRPr="00C60B42">
      <w:fldChar w:fldCharType="begin"/>
    </w:r>
    <w:r w:rsidRPr="00C60B42">
      <w:instrText xml:space="preserve">PAGE  </w:instrText>
    </w:r>
    <w:r w:rsidRPr="00C60B42">
      <w:fldChar w:fldCharType="separate"/>
    </w:r>
    <w:r w:rsidR="00AB559F">
      <w:rPr>
        <w:noProof/>
      </w:rPr>
      <w:t>1</w:t>
    </w:r>
    <w:r w:rsidRPr="00C60B42">
      <w:fldChar w:fldCharType="end"/>
    </w:r>
  </w:p>
  <w:p w:rsidR="00021DB4" w:rsidRDefault="00021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FA" w:rsidRDefault="00D9547C">
    <w:pPr>
      <w:pStyle w:val="Footer"/>
    </w:pPr>
    <w:r>
      <w:t>T15 – Pavements</w:t>
    </w:r>
    <w:r w:rsidR="008F75B7" w:rsidRPr="00C60B42">
      <w:t xml:space="preserve"> </w:t>
    </w:r>
    <w:r w:rsidR="008F75B7" w:rsidRPr="00C60B42">
      <w:tab/>
    </w:r>
    <w:r w:rsidR="008F75B7" w:rsidRPr="00C60B42">
      <w:fldChar w:fldCharType="begin"/>
    </w:r>
    <w:r w:rsidR="008F75B7" w:rsidRPr="00C60B42">
      <w:instrText xml:space="preserve">PAGE  </w:instrText>
    </w:r>
    <w:r w:rsidR="008F75B7" w:rsidRPr="00C60B42">
      <w:fldChar w:fldCharType="separate"/>
    </w:r>
    <w:r w:rsidR="00AB559F">
      <w:rPr>
        <w:noProof/>
      </w:rPr>
      <w:t>ii</w:t>
    </w:r>
    <w:r w:rsidR="008F75B7" w:rsidRPr="00C60B4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8FA" w:rsidRDefault="00D9547C">
    <w:pPr>
      <w:pStyle w:val="Footer"/>
    </w:pPr>
    <w:r>
      <w:t>T15 – Pavements</w:t>
    </w:r>
    <w:r w:rsidR="008F75B7" w:rsidRPr="00C60B42">
      <w:t xml:space="preserve"> </w:t>
    </w:r>
    <w:r w:rsidR="008F75B7" w:rsidRPr="00C60B42">
      <w:tab/>
    </w:r>
    <w:r w:rsidR="008F75B7" w:rsidRPr="00C60B42">
      <w:fldChar w:fldCharType="begin"/>
    </w:r>
    <w:r w:rsidR="008F75B7" w:rsidRPr="00C60B42">
      <w:instrText xml:space="preserve">PAGE  </w:instrText>
    </w:r>
    <w:r w:rsidR="008F75B7" w:rsidRPr="00C60B42">
      <w:fldChar w:fldCharType="separate"/>
    </w:r>
    <w:r w:rsidR="00AB559F">
      <w:rPr>
        <w:noProof/>
      </w:rPr>
      <w:t>13</w:t>
    </w:r>
    <w:r w:rsidR="008F75B7" w:rsidRPr="00C60B4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36" w:rsidRDefault="00F74936">
    <w:pPr>
      <w:pStyle w:val="Footer"/>
    </w:pPr>
    <w:r w:rsidRPr="00C60B42">
      <w:t xml:space="preserve">Document title </w:t>
    </w:r>
    <w:r w:rsidRPr="00C60B42">
      <w:tab/>
    </w:r>
    <w:r w:rsidRPr="00C60B42">
      <w:fldChar w:fldCharType="begin"/>
    </w:r>
    <w:r w:rsidRPr="00C60B42">
      <w:instrText xml:space="preserve">PAGE  </w:instrText>
    </w:r>
    <w:r w:rsidRPr="00C60B42">
      <w:fldChar w:fldCharType="separate"/>
    </w:r>
    <w:r>
      <w:rPr>
        <w:noProof/>
      </w:rPr>
      <w:t>5</w:t>
    </w:r>
    <w:r w:rsidRPr="00C60B4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DC4" w:rsidRDefault="00E13DC4">
      <w:pPr>
        <w:spacing w:before="0" w:after="0" w:line="240" w:lineRule="auto"/>
      </w:pPr>
      <w:r>
        <w:separator/>
      </w:r>
    </w:p>
  </w:footnote>
  <w:footnote w:type="continuationSeparator" w:id="0">
    <w:p w:rsidR="00E13DC4" w:rsidRDefault="00E13DC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267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0EC53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4D4F9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C7BF3"/>
    <w:multiLevelType w:val="hybridMultilevel"/>
    <w:tmpl w:val="1D1AC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D0EDB"/>
    <w:multiLevelType w:val="hybridMultilevel"/>
    <w:tmpl w:val="2722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076D7"/>
    <w:multiLevelType w:val="multilevel"/>
    <w:tmpl w:val="9A948C84"/>
    <w:lvl w:ilvl="0">
      <w:start w:val="1"/>
      <w:numFmt w:val="decimal"/>
      <w:pStyle w:val="BulletNumbered"/>
      <w:lvlText w:val="%1."/>
      <w:lvlJc w:val="left"/>
      <w:pPr>
        <w:ind w:left="590" w:hanging="363"/>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8664CD"/>
    <w:multiLevelType w:val="multilevel"/>
    <w:tmpl w:val="C9BCEAE2"/>
    <w:lvl w:ilvl="0">
      <w:start w:val="1"/>
      <w:numFmt w:val="decimal"/>
      <w:lvlText w:val="XX.%1"/>
      <w:lvlJc w:val="left"/>
      <w:pPr>
        <w:ind w:left="1080" w:hanging="360"/>
      </w:pPr>
      <w:rPr>
        <w:rFonts w:hint="default"/>
      </w:rPr>
    </w:lvl>
    <w:lvl w:ilvl="1">
      <w:start w:val="1"/>
      <w:numFmt w:val="decimal"/>
      <w:lvlText w:val="XX.%1.%2"/>
      <w:lvlJc w:val="left"/>
      <w:pPr>
        <w:ind w:left="2061" w:hanging="1134"/>
      </w:pPr>
      <w:rPr>
        <w:rFonts w:hint="default"/>
      </w:rPr>
    </w:lvl>
    <w:lvl w:ilvl="2">
      <w:start w:val="1"/>
      <w:numFmt w:val="decimal"/>
      <w:lvlText w:val="XX.%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5950F8"/>
    <w:multiLevelType w:val="multilevel"/>
    <w:tmpl w:val="210297C0"/>
    <w:lvl w:ilvl="0">
      <w:start w:val="1"/>
      <w:numFmt w:val="decimal"/>
      <w:lvlText w:val="XX.%1"/>
      <w:lvlJc w:val="left"/>
      <w:pPr>
        <w:ind w:left="1080" w:hanging="360"/>
      </w:pPr>
      <w:rPr>
        <w:rFonts w:hint="default"/>
      </w:rPr>
    </w:lvl>
    <w:lvl w:ilvl="1">
      <w:start w:val="1"/>
      <w:numFmt w:val="decimal"/>
      <w:lvlText w:val="XX.%1.%2"/>
      <w:lvlJc w:val="left"/>
      <w:pPr>
        <w:ind w:left="1134" w:hanging="567"/>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1A4494D"/>
    <w:multiLevelType w:val="hybridMultilevel"/>
    <w:tmpl w:val="A75C2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23F86"/>
    <w:multiLevelType w:val="multilevel"/>
    <w:tmpl w:val="1520BF8A"/>
    <w:lvl w:ilvl="0">
      <w:start w:val="1"/>
      <w:numFmt w:val="decimal"/>
      <w:lvlText w:val="T15.%1"/>
      <w:lvlJc w:val="left"/>
      <w:pPr>
        <w:ind w:left="1080" w:hanging="360"/>
      </w:pPr>
      <w:rPr>
        <w:rFonts w:hint="default"/>
      </w:rPr>
    </w:lvl>
    <w:lvl w:ilvl="1">
      <w:start w:val="1"/>
      <w:numFmt w:val="decimal"/>
      <w:lvlText w:val="T15.%1.%2"/>
      <w:lvlJc w:val="left"/>
      <w:pPr>
        <w:ind w:left="2061" w:hanging="1134"/>
      </w:pPr>
      <w:rPr>
        <w:rFonts w:hint="default"/>
      </w:rPr>
    </w:lvl>
    <w:lvl w:ilvl="2">
      <w:start w:val="1"/>
      <w:numFmt w:val="decimal"/>
      <w:lvlText w:val="T15.%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86A2958"/>
    <w:multiLevelType w:val="hybridMultilevel"/>
    <w:tmpl w:val="C28042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21C2BC6"/>
    <w:multiLevelType w:val="multilevel"/>
    <w:tmpl w:val="1520BF8A"/>
    <w:lvl w:ilvl="0">
      <w:start w:val="1"/>
      <w:numFmt w:val="decimal"/>
      <w:lvlText w:val="T15.%1"/>
      <w:lvlJc w:val="left"/>
      <w:pPr>
        <w:ind w:left="720" w:hanging="360"/>
      </w:pPr>
      <w:rPr>
        <w:rFonts w:hint="default"/>
      </w:rPr>
    </w:lvl>
    <w:lvl w:ilvl="1">
      <w:start w:val="1"/>
      <w:numFmt w:val="decimal"/>
      <w:lvlText w:val="T15.%1.%2"/>
      <w:lvlJc w:val="left"/>
      <w:pPr>
        <w:ind w:left="1701" w:hanging="1134"/>
      </w:pPr>
      <w:rPr>
        <w:rFonts w:hint="default"/>
      </w:rPr>
    </w:lvl>
    <w:lvl w:ilvl="2">
      <w:start w:val="1"/>
      <w:numFmt w:val="decimal"/>
      <w:lvlText w:val="T15.%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CD0E4E"/>
    <w:multiLevelType w:val="hybridMultilevel"/>
    <w:tmpl w:val="DF50C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93C2C"/>
    <w:multiLevelType w:val="hybridMultilevel"/>
    <w:tmpl w:val="331A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01374A"/>
    <w:multiLevelType w:val="hybridMultilevel"/>
    <w:tmpl w:val="8C5418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576138C"/>
    <w:multiLevelType w:val="multilevel"/>
    <w:tmpl w:val="C2F23A90"/>
    <w:lvl w:ilvl="0">
      <w:start w:val="1"/>
      <w:numFmt w:val="bullet"/>
      <w:pStyle w:val="List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0E1B9D"/>
    <w:multiLevelType w:val="hybridMultilevel"/>
    <w:tmpl w:val="20802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B46694"/>
    <w:multiLevelType w:val="hybridMultilevel"/>
    <w:tmpl w:val="02C6A2A6"/>
    <w:lvl w:ilvl="0" w:tplc="D21C12F4">
      <w:start w:val="1"/>
      <w:numFmt w:val="decimal"/>
      <w:lvlText w:val="D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404CA5"/>
    <w:multiLevelType w:val="hybridMultilevel"/>
    <w:tmpl w:val="407AD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862590"/>
    <w:multiLevelType w:val="hybridMultilevel"/>
    <w:tmpl w:val="8C28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B46D1B"/>
    <w:multiLevelType w:val="hybridMultilevel"/>
    <w:tmpl w:val="6938060A"/>
    <w:lvl w:ilvl="0" w:tplc="03F41118">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C37D5"/>
    <w:multiLevelType w:val="hybridMultilevel"/>
    <w:tmpl w:val="35E29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7C4FCC"/>
    <w:multiLevelType w:val="multilevel"/>
    <w:tmpl w:val="1520BF8A"/>
    <w:lvl w:ilvl="0">
      <w:start w:val="1"/>
      <w:numFmt w:val="decimal"/>
      <w:lvlText w:val="T15.%1"/>
      <w:lvlJc w:val="left"/>
      <w:pPr>
        <w:ind w:left="1080" w:hanging="360"/>
      </w:pPr>
      <w:rPr>
        <w:rFonts w:hint="default"/>
      </w:rPr>
    </w:lvl>
    <w:lvl w:ilvl="1">
      <w:start w:val="1"/>
      <w:numFmt w:val="decimal"/>
      <w:lvlText w:val="T15.%1.%2"/>
      <w:lvlJc w:val="left"/>
      <w:pPr>
        <w:ind w:left="2061" w:hanging="1134"/>
      </w:pPr>
      <w:rPr>
        <w:rFonts w:hint="default"/>
      </w:rPr>
    </w:lvl>
    <w:lvl w:ilvl="2">
      <w:start w:val="1"/>
      <w:numFmt w:val="decimal"/>
      <w:lvlText w:val="T15.%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65914461"/>
    <w:multiLevelType w:val="hybridMultilevel"/>
    <w:tmpl w:val="03A09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427BEA"/>
    <w:multiLevelType w:val="multilevel"/>
    <w:tmpl w:val="1520BF8A"/>
    <w:lvl w:ilvl="0">
      <w:start w:val="1"/>
      <w:numFmt w:val="decimal"/>
      <w:lvlText w:val="T15.%1"/>
      <w:lvlJc w:val="left"/>
      <w:pPr>
        <w:ind w:left="1080" w:hanging="360"/>
      </w:pPr>
      <w:rPr>
        <w:rFonts w:hint="default"/>
      </w:rPr>
    </w:lvl>
    <w:lvl w:ilvl="1">
      <w:start w:val="1"/>
      <w:numFmt w:val="decimal"/>
      <w:lvlText w:val="T15.%1.%2"/>
      <w:lvlJc w:val="left"/>
      <w:pPr>
        <w:ind w:left="2061" w:hanging="1134"/>
      </w:pPr>
      <w:rPr>
        <w:rFonts w:hint="default"/>
      </w:rPr>
    </w:lvl>
    <w:lvl w:ilvl="2">
      <w:start w:val="1"/>
      <w:numFmt w:val="decimal"/>
      <w:lvlText w:val="T15.%1.%2.%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68F7115E"/>
    <w:multiLevelType w:val="hybridMultilevel"/>
    <w:tmpl w:val="F2CCFC18"/>
    <w:lvl w:ilvl="0" w:tplc="BB288320">
      <w:start w:val="1"/>
      <w:numFmt w:val="decimal"/>
      <w:lvlText w:val="%1."/>
      <w:lvlJc w:val="left"/>
      <w:pPr>
        <w:ind w:left="5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04DE1"/>
    <w:multiLevelType w:val="hybridMultilevel"/>
    <w:tmpl w:val="0DF02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23CA8"/>
    <w:multiLevelType w:val="multilevel"/>
    <w:tmpl w:val="1520BF8A"/>
    <w:lvl w:ilvl="0">
      <w:start w:val="1"/>
      <w:numFmt w:val="decimal"/>
      <w:lvlText w:val="T15.%1"/>
      <w:lvlJc w:val="left"/>
      <w:pPr>
        <w:ind w:left="720" w:hanging="360"/>
      </w:pPr>
      <w:rPr>
        <w:rFonts w:hint="default"/>
      </w:rPr>
    </w:lvl>
    <w:lvl w:ilvl="1">
      <w:start w:val="1"/>
      <w:numFmt w:val="decimal"/>
      <w:lvlText w:val="T15.%1.%2"/>
      <w:lvlJc w:val="left"/>
      <w:pPr>
        <w:ind w:left="1701" w:hanging="1134"/>
      </w:pPr>
      <w:rPr>
        <w:rFonts w:hint="default"/>
      </w:rPr>
    </w:lvl>
    <w:lvl w:ilvl="2">
      <w:start w:val="1"/>
      <w:numFmt w:val="decimal"/>
      <w:lvlText w:val="T15.%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3CB12AF"/>
    <w:multiLevelType w:val="multilevel"/>
    <w:tmpl w:val="BBBC983E"/>
    <w:lvl w:ilvl="0">
      <w:start w:val="1"/>
      <w:numFmt w:val="bullet"/>
      <w:lvlText w:val=""/>
      <w:lvlJc w:val="left"/>
      <w:pPr>
        <w:ind w:left="720" w:hanging="49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1648E1"/>
    <w:multiLevelType w:val="hybridMultilevel"/>
    <w:tmpl w:val="536CD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C360E1"/>
    <w:multiLevelType w:val="hybridMultilevel"/>
    <w:tmpl w:val="2F726DDC"/>
    <w:lvl w:ilvl="0" w:tplc="93EC5D92">
      <w:start w:val="1"/>
      <w:numFmt w:val="decimal"/>
      <w:lvlText w:val="D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926AAB"/>
    <w:multiLevelType w:val="hybridMultilevel"/>
    <w:tmpl w:val="F3BAD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A4F7116"/>
    <w:multiLevelType w:val="hybridMultilevel"/>
    <w:tmpl w:val="6028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191065"/>
    <w:multiLevelType w:val="hybridMultilevel"/>
    <w:tmpl w:val="41105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20"/>
  </w:num>
  <w:num w:numId="5">
    <w:abstractNumId w:val="25"/>
  </w:num>
  <w:num w:numId="6">
    <w:abstractNumId w:val="0"/>
  </w:num>
  <w:num w:numId="7">
    <w:abstractNumId w:val="1"/>
  </w:num>
  <w:num w:numId="8">
    <w:abstractNumId w:val="28"/>
  </w:num>
  <w:num w:numId="9">
    <w:abstractNumId w:val="30"/>
  </w:num>
  <w:num w:numId="10">
    <w:abstractNumId w:val="11"/>
  </w:num>
  <w:num w:numId="11">
    <w:abstractNumId w:val="32"/>
  </w:num>
  <w:num w:numId="12">
    <w:abstractNumId w:val="3"/>
  </w:num>
  <w:num w:numId="13">
    <w:abstractNumId w:val="14"/>
  </w:num>
  <w:num w:numId="14">
    <w:abstractNumId w:val="31"/>
  </w:num>
  <w:num w:numId="15">
    <w:abstractNumId w:val="10"/>
  </w:num>
  <w:num w:numId="16">
    <w:abstractNumId w:val="17"/>
  </w:num>
  <w:num w:numId="17">
    <w:abstractNumId w:val="7"/>
  </w:num>
  <w:num w:numId="18">
    <w:abstractNumId w:val="12"/>
  </w:num>
  <w:num w:numId="19">
    <w:abstractNumId w:val="8"/>
  </w:num>
  <w:num w:numId="20">
    <w:abstractNumId w:val="23"/>
  </w:num>
  <w:num w:numId="21">
    <w:abstractNumId w:val="4"/>
  </w:num>
  <w:num w:numId="22">
    <w:abstractNumId w:val="6"/>
  </w:num>
  <w:num w:numId="23">
    <w:abstractNumId w:val="22"/>
  </w:num>
  <w:num w:numId="24">
    <w:abstractNumId w:val="21"/>
  </w:num>
  <w:num w:numId="25">
    <w:abstractNumId w:val="13"/>
  </w:num>
  <w:num w:numId="26">
    <w:abstractNumId w:val="24"/>
  </w:num>
  <w:num w:numId="27">
    <w:abstractNumId w:val="18"/>
  </w:num>
  <w:num w:numId="28">
    <w:abstractNumId w:val="27"/>
  </w:num>
  <w:num w:numId="29">
    <w:abstractNumId w:val="9"/>
  </w:num>
  <w:num w:numId="30">
    <w:abstractNumId w:val="29"/>
  </w:num>
  <w:num w:numId="31">
    <w:abstractNumId w:val="16"/>
  </w:num>
  <w:num w:numId="32">
    <w:abstractNumId w:val="33"/>
  </w:num>
  <w:num w:numId="33">
    <w:abstractNumId w:val="2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89"/>
    <w:rsid w:val="00001D90"/>
    <w:rsid w:val="00021DB4"/>
    <w:rsid w:val="00023E01"/>
    <w:rsid w:val="00026B01"/>
    <w:rsid w:val="00032AE9"/>
    <w:rsid w:val="0004025D"/>
    <w:rsid w:val="00074EC2"/>
    <w:rsid w:val="00080C6A"/>
    <w:rsid w:val="00096398"/>
    <w:rsid w:val="000A2FE0"/>
    <w:rsid w:val="000B7282"/>
    <w:rsid w:val="000C27FC"/>
    <w:rsid w:val="000C3E5C"/>
    <w:rsid w:val="000D0C5D"/>
    <w:rsid w:val="000D1B42"/>
    <w:rsid w:val="000E6B84"/>
    <w:rsid w:val="00102F72"/>
    <w:rsid w:val="00107B57"/>
    <w:rsid w:val="00113D66"/>
    <w:rsid w:val="0013168F"/>
    <w:rsid w:val="0014698E"/>
    <w:rsid w:val="001558AD"/>
    <w:rsid w:val="00165C2A"/>
    <w:rsid w:val="00166B91"/>
    <w:rsid w:val="001705F1"/>
    <w:rsid w:val="00182466"/>
    <w:rsid w:val="001D31C3"/>
    <w:rsid w:val="001E5037"/>
    <w:rsid w:val="001F0167"/>
    <w:rsid w:val="002466FA"/>
    <w:rsid w:val="002737C8"/>
    <w:rsid w:val="002A0A2E"/>
    <w:rsid w:val="002A7928"/>
    <w:rsid w:val="002C39C9"/>
    <w:rsid w:val="002D2523"/>
    <w:rsid w:val="002D46E0"/>
    <w:rsid w:val="002D6A1B"/>
    <w:rsid w:val="002F0DB2"/>
    <w:rsid w:val="003040EF"/>
    <w:rsid w:val="0031285D"/>
    <w:rsid w:val="00314AD9"/>
    <w:rsid w:val="0031732B"/>
    <w:rsid w:val="0033632F"/>
    <w:rsid w:val="0037765E"/>
    <w:rsid w:val="00383C77"/>
    <w:rsid w:val="00390DDA"/>
    <w:rsid w:val="00392FC9"/>
    <w:rsid w:val="003C5DF5"/>
    <w:rsid w:val="003F6291"/>
    <w:rsid w:val="004027C5"/>
    <w:rsid w:val="00440166"/>
    <w:rsid w:val="004675E9"/>
    <w:rsid w:val="004766DC"/>
    <w:rsid w:val="00477FDE"/>
    <w:rsid w:val="00482B3B"/>
    <w:rsid w:val="004854BE"/>
    <w:rsid w:val="00490DDB"/>
    <w:rsid w:val="00496886"/>
    <w:rsid w:val="004B06C9"/>
    <w:rsid w:val="004B1B71"/>
    <w:rsid w:val="004B2C78"/>
    <w:rsid w:val="004B398F"/>
    <w:rsid w:val="004B41B0"/>
    <w:rsid w:val="004D301E"/>
    <w:rsid w:val="004E78DD"/>
    <w:rsid w:val="004F22A4"/>
    <w:rsid w:val="00502562"/>
    <w:rsid w:val="005103CC"/>
    <w:rsid w:val="00510946"/>
    <w:rsid w:val="00545CBF"/>
    <w:rsid w:val="0057717F"/>
    <w:rsid w:val="005A1DB7"/>
    <w:rsid w:val="005B0839"/>
    <w:rsid w:val="005C782C"/>
    <w:rsid w:val="005E6B99"/>
    <w:rsid w:val="00604A74"/>
    <w:rsid w:val="006340F8"/>
    <w:rsid w:val="00647891"/>
    <w:rsid w:val="00680485"/>
    <w:rsid w:val="00683C6F"/>
    <w:rsid w:val="00692EA3"/>
    <w:rsid w:val="006D21B8"/>
    <w:rsid w:val="006D466E"/>
    <w:rsid w:val="006E59F5"/>
    <w:rsid w:val="006F62C7"/>
    <w:rsid w:val="00712F10"/>
    <w:rsid w:val="007160BF"/>
    <w:rsid w:val="0072534C"/>
    <w:rsid w:val="007260B8"/>
    <w:rsid w:val="0074102B"/>
    <w:rsid w:val="00742F28"/>
    <w:rsid w:val="0074581C"/>
    <w:rsid w:val="00750AC5"/>
    <w:rsid w:val="00756D43"/>
    <w:rsid w:val="00757492"/>
    <w:rsid w:val="007616D9"/>
    <w:rsid w:val="00765A2F"/>
    <w:rsid w:val="00767B98"/>
    <w:rsid w:val="00777816"/>
    <w:rsid w:val="00797289"/>
    <w:rsid w:val="007C24B1"/>
    <w:rsid w:val="0082465B"/>
    <w:rsid w:val="00825BC9"/>
    <w:rsid w:val="00826268"/>
    <w:rsid w:val="008551C0"/>
    <w:rsid w:val="00856356"/>
    <w:rsid w:val="0088061B"/>
    <w:rsid w:val="00882D9D"/>
    <w:rsid w:val="00890C60"/>
    <w:rsid w:val="008F3FA8"/>
    <w:rsid w:val="008F75B7"/>
    <w:rsid w:val="00955151"/>
    <w:rsid w:val="009553B4"/>
    <w:rsid w:val="00955933"/>
    <w:rsid w:val="00967D14"/>
    <w:rsid w:val="00971E40"/>
    <w:rsid w:val="00973FFB"/>
    <w:rsid w:val="00976698"/>
    <w:rsid w:val="00987BC9"/>
    <w:rsid w:val="009A0D84"/>
    <w:rsid w:val="009A22FD"/>
    <w:rsid w:val="009B24AD"/>
    <w:rsid w:val="009D0E80"/>
    <w:rsid w:val="009D2EEA"/>
    <w:rsid w:val="009D4750"/>
    <w:rsid w:val="009E1E34"/>
    <w:rsid w:val="009E6378"/>
    <w:rsid w:val="00A26AAF"/>
    <w:rsid w:val="00A313CD"/>
    <w:rsid w:val="00A52564"/>
    <w:rsid w:val="00A7193D"/>
    <w:rsid w:val="00A8158A"/>
    <w:rsid w:val="00A92088"/>
    <w:rsid w:val="00A92464"/>
    <w:rsid w:val="00AB3BA5"/>
    <w:rsid w:val="00AB559F"/>
    <w:rsid w:val="00AB6BB0"/>
    <w:rsid w:val="00AB7B96"/>
    <w:rsid w:val="00AE5B43"/>
    <w:rsid w:val="00AF3A06"/>
    <w:rsid w:val="00B050DE"/>
    <w:rsid w:val="00B121F3"/>
    <w:rsid w:val="00B1231A"/>
    <w:rsid w:val="00B63007"/>
    <w:rsid w:val="00B81712"/>
    <w:rsid w:val="00BA0DED"/>
    <w:rsid w:val="00BB60A7"/>
    <w:rsid w:val="00BD40A0"/>
    <w:rsid w:val="00C04888"/>
    <w:rsid w:val="00C11DD7"/>
    <w:rsid w:val="00C12A0B"/>
    <w:rsid w:val="00C25F88"/>
    <w:rsid w:val="00C4367C"/>
    <w:rsid w:val="00C62B2D"/>
    <w:rsid w:val="00C65A3D"/>
    <w:rsid w:val="00C73978"/>
    <w:rsid w:val="00CA3E84"/>
    <w:rsid w:val="00CB27A9"/>
    <w:rsid w:val="00CC4954"/>
    <w:rsid w:val="00CC6335"/>
    <w:rsid w:val="00CE58E1"/>
    <w:rsid w:val="00D10081"/>
    <w:rsid w:val="00D1200B"/>
    <w:rsid w:val="00D24ADC"/>
    <w:rsid w:val="00D72C51"/>
    <w:rsid w:val="00D75720"/>
    <w:rsid w:val="00D76A3C"/>
    <w:rsid w:val="00D867E0"/>
    <w:rsid w:val="00D9547C"/>
    <w:rsid w:val="00D95BB0"/>
    <w:rsid w:val="00DB6A6B"/>
    <w:rsid w:val="00DD4C91"/>
    <w:rsid w:val="00DF0EE4"/>
    <w:rsid w:val="00E13DC4"/>
    <w:rsid w:val="00E64359"/>
    <w:rsid w:val="00E73316"/>
    <w:rsid w:val="00E75A28"/>
    <w:rsid w:val="00E81919"/>
    <w:rsid w:val="00E84546"/>
    <w:rsid w:val="00EA190C"/>
    <w:rsid w:val="00EA5C5F"/>
    <w:rsid w:val="00EC2562"/>
    <w:rsid w:val="00ED4C17"/>
    <w:rsid w:val="00EF0AC7"/>
    <w:rsid w:val="00F23E28"/>
    <w:rsid w:val="00F343A7"/>
    <w:rsid w:val="00F57F18"/>
    <w:rsid w:val="00F61323"/>
    <w:rsid w:val="00F73CB5"/>
    <w:rsid w:val="00F74936"/>
    <w:rsid w:val="00F80549"/>
    <w:rsid w:val="00F95B70"/>
    <w:rsid w:val="00F96077"/>
    <w:rsid w:val="00FC3B9A"/>
    <w:rsid w:val="00FC5C38"/>
    <w:rsid w:val="00FD1764"/>
    <w:rsid w:val="00FD34CE"/>
    <w:rsid w:val="00FD6AEB"/>
    <w:rsid w:val="00FE1236"/>
    <w:rsid w:val="00FE1CD7"/>
    <w:rsid w:val="00FF6F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E5FBD-317C-434D-8617-EBC6878A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200" w:line="280" w:lineRule="exact"/>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qFormat="1"/>
    <w:lsdException w:name="toc 2" w:locked="0" w:semiHidden="1" w:uiPriority="39"/>
    <w:lsdException w:name="toc 3" w:locked="0"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semiHidden="1"/>
    <w:lsdException w:name="footer" w:locked="0" w:semiHidden="1" w:uiPriority="0"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locked="0" w:semiHidden="1"/>
    <w:lsdException w:name="List" w:semiHidden="1"/>
    <w:lsdException w:name="List Bullet" w:locked="0" w:semiHidden="1" w:uiPriority="0"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locked="0"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867E0"/>
  </w:style>
  <w:style w:type="paragraph" w:styleId="Heading1">
    <w:name w:val="heading 1"/>
    <w:basedOn w:val="Normal"/>
    <w:next w:val="BodyText"/>
    <w:link w:val="Heading1Char"/>
    <w:qFormat/>
    <w:rsid w:val="002D46E0"/>
    <w:pPr>
      <w:keepNext/>
      <w:keepLines/>
      <w:spacing w:after="560" w:line="620" w:lineRule="exact"/>
      <w:outlineLvl w:val="0"/>
    </w:pPr>
    <w:rPr>
      <w:rFonts w:asciiTheme="majorHAnsi" w:eastAsiaTheme="majorEastAsia" w:hAnsiTheme="majorHAnsi" w:cstheme="majorBidi"/>
      <w:color w:val="005295"/>
      <w:sz w:val="56"/>
      <w:szCs w:val="32"/>
    </w:rPr>
  </w:style>
  <w:style w:type="paragraph" w:styleId="Heading2">
    <w:name w:val="heading 2"/>
    <w:basedOn w:val="Normal"/>
    <w:next w:val="BodyText"/>
    <w:link w:val="Heading2Char"/>
    <w:qFormat/>
    <w:rsid w:val="002D46E0"/>
    <w:pPr>
      <w:keepNext/>
      <w:keepLines/>
      <w:suppressAutoHyphens/>
      <w:spacing w:before="400" w:line="440" w:lineRule="exact"/>
      <w:outlineLvl w:val="1"/>
    </w:pPr>
    <w:rPr>
      <w:rFonts w:asciiTheme="majorHAnsi" w:eastAsiaTheme="majorEastAsia" w:hAnsiTheme="majorHAnsi" w:cstheme="majorBidi"/>
      <w:color w:val="005295"/>
      <w:sz w:val="36"/>
      <w:szCs w:val="26"/>
    </w:rPr>
  </w:style>
  <w:style w:type="paragraph" w:styleId="Heading3">
    <w:name w:val="heading 3"/>
    <w:basedOn w:val="Normal"/>
    <w:next w:val="BodyText"/>
    <w:link w:val="Heading3Char"/>
    <w:qFormat/>
    <w:rsid w:val="004766DC"/>
    <w:pPr>
      <w:keepNext/>
      <w:keepLines/>
      <w:spacing w:before="400"/>
      <w:outlineLvl w:val="2"/>
    </w:pPr>
    <w:rPr>
      <w:rFonts w:asciiTheme="majorHAnsi" w:eastAsiaTheme="majorEastAsia" w:hAnsiTheme="majorHAnsi" w:cstheme="majorBidi"/>
      <w:color w:val="005295"/>
      <w:sz w:val="28"/>
      <w:szCs w:val="24"/>
    </w:rPr>
  </w:style>
  <w:style w:type="paragraph" w:styleId="Heading4">
    <w:name w:val="heading 4"/>
    <w:basedOn w:val="Normal"/>
    <w:next w:val="Normal"/>
    <w:link w:val="Heading4Char"/>
    <w:uiPriority w:val="9"/>
    <w:semiHidden/>
    <w:qFormat/>
    <w:locked/>
    <w:rsid w:val="004B06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57F18"/>
    <w:pPr>
      <w:suppressAutoHyphens/>
      <w:contextualSpacing/>
    </w:pPr>
  </w:style>
  <w:style w:type="character" w:customStyle="1" w:styleId="BodyTextChar">
    <w:name w:val="Body Text Char"/>
    <w:basedOn w:val="DefaultParagraphFont"/>
    <w:link w:val="BodyText"/>
    <w:rsid w:val="00F57F18"/>
  </w:style>
  <w:style w:type="paragraph" w:customStyle="1" w:styleId="BackPage">
    <w:name w:val="Back Page"/>
    <w:basedOn w:val="Normal"/>
    <w:qFormat/>
    <w:rsid w:val="002D46E0"/>
    <w:pPr>
      <w:suppressAutoHyphens/>
      <w:spacing w:after="113" w:line="310" w:lineRule="exact"/>
    </w:pPr>
  </w:style>
  <w:style w:type="paragraph" w:styleId="ListBullet">
    <w:name w:val="List Bullet"/>
    <w:aliases w:val="Bullet"/>
    <w:basedOn w:val="Normal"/>
    <w:qFormat/>
    <w:rsid w:val="002C39C9"/>
    <w:pPr>
      <w:numPr>
        <w:numId w:val="2"/>
      </w:numPr>
      <w:suppressAutoHyphens/>
      <w:spacing w:after="120"/>
    </w:pPr>
  </w:style>
  <w:style w:type="paragraph" w:customStyle="1" w:styleId="BulletNumbered">
    <w:name w:val="Bullet Numbered"/>
    <w:basedOn w:val="ListBullet"/>
    <w:qFormat/>
    <w:rsid w:val="00987BC9"/>
    <w:pPr>
      <w:numPr>
        <w:numId w:val="3"/>
      </w:numPr>
    </w:pPr>
  </w:style>
  <w:style w:type="paragraph" w:styleId="Footer">
    <w:name w:val="footer"/>
    <w:basedOn w:val="Normal"/>
    <w:link w:val="FooterChar"/>
    <w:qFormat/>
    <w:rsid w:val="002D46E0"/>
    <w:pPr>
      <w:tabs>
        <w:tab w:val="right" w:pos="10206"/>
      </w:tabs>
      <w:spacing w:line="280" w:lineRule="atLeast"/>
    </w:pPr>
    <w:rPr>
      <w:color w:val="646464"/>
    </w:rPr>
  </w:style>
  <w:style w:type="character" w:customStyle="1" w:styleId="FooterChar">
    <w:name w:val="Footer Char"/>
    <w:basedOn w:val="DefaultParagraphFont"/>
    <w:link w:val="Footer"/>
    <w:rsid w:val="00AF3A06"/>
    <w:rPr>
      <w:color w:val="646464"/>
    </w:rPr>
  </w:style>
  <w:style w:type="character" w:customStyle="1" w:styleId="Heading1Char">
    <w:name w:val="Heading 1 Char"/>
    <w:basedOn w:val="DefaultParagraphFont"/>
    <w:link w:val="Heading1"/>
    <w:rsid w:val="00AF3A06"/>
    <w:rPr>
      <w:rFonts w:asciiTheme="majorHAnsi" w:eastAsiaTheme="majorEastAsia" w:hAnsiTheme="majorHAnsi" w:cstheme="majorBidi"/>
      <w:color w:val="005295"/>
      <w:sz w:val="56"/>
      <w:szCs w:val="32"/>
    </w:rPr>
  </w:style>
  <w:style w:type="character" w:customStyle="1" w:styleId="Heading2Char">
    <w:name w:val="Heading 2 Char"/>
    <w:basedOn w:val="DefaultParagraphFont"/>
    <w:link w:val="Heading2"/>
    <w:rsid w:val="00AF3A06"/>
    <w:rPr>
      <w:rFonts w:asciiTheme="majorHAnsi" w:eastAsiaTheme="majorEastAsia" w:hAnsiTheme="majorHAnsi" w:cstheme="majorBidi"/>
      <w:color w:val="005295"/>
      <w:sz w:val="36"/>
      <w:szCs w:val="26"/>
    </w:rPr>
  </w:style>
  <w:style w:type="character" w:customStyle="1" w:styleId="Heading3Char">
    <w:name w:val="Heading 3 Char"/>
    <w:basedOn w:val="DefaultParagraphFont"/>
    <w:link w:val="Heading3"/>
    <w:rsid w:val="004766DC"/>
    <w:rPr>
      <w:rFonts w:asciiTheme="majorHAnsi" w:eastAsiaTheme="majorEastAsia" w:hAnsiTheme="majorHAnsi" w:cstheme="majorBidi"/>
      <w:color w:val="005295"/>
      <w:sz w:val="28"/>
      <w:szCs w:val="24"/>
    </w:rPr>
  </w:style>
  <w:style w:type="paragraph" w:styleId="Subtitle">
    <w:name w:val="Subtitle"/>
    <w:aliases w:val="Full title"/>
    <w:basedOn w:val="Normal"/>
    <w:next w:val="BodyText"/>
    <w:link w:val="SubtitleChar"/>
    <w:uiPriority w:val="11"/>
    <w:qFormat/>
    <w:rsid w:val="000D0C5D"/>
    <w:pPr>
      <w:numPr>
        <w:ilvl w:val="1"/>
      </w:numPr>
      <w:suppressAutoHyphens/>
    </w:pPr>
    <w:rPr>
      <w:rFonts w:eastAsiaTheme="minorEastAsia"/>
      <w:sz w:val="24"/>
    </w:rPr>
  </w:style>
  <w:style w:type="character" w:customStyle="1" w:styleId="SubtitleChar">
    <w:name w:val="Subtitle Char"/>
    <w:aliases w:val="Full title Char"/>
    <w:basedOn w:val="DefaultParagraphFont"/>
    <w:link w:val="Subtitle"/>
    <w:uiPriority w:val="11"/>
    <w:rsid w:val="000D0C5D"/>
    <w:rPr>
      <w:rFonts w:eastAsiaTheme="minorEastAsia"/>
      <w:sz w:val="24"/>
    </w:rPr>
  </w:style>
  <w:style w:type="paragraph" w:styleId="Title">
    <w:name w:val="Title"/>
    <w:aliases w:val="Short Title"/>
    <w:basedOn w:val="Normal"/>
    <w:next w:val="BodyText"/>
    <w:link w:val="TitleChar"/>
    <w:uiPriority w:val="10"/>
    <w:qFormat/>
    <w:rsid w:val="00756D43"/>
    <w:pPr>
      <w:suppressAutoHyphens/>
      <w:spacing w:line="880" w:lineRule="exact"/>
    </w:pPr>
    <w:rPr>
      <w:rFonts w:asciiTheme="majorHAnsi" w:eastAsiaTheme="majorEastAsia" w:hAnsiTheme="majorHAnsi" w:cstheme="majorBidi"/>
      <w:sz w:val="80"/>
      <w:szCs w:val="56"/>
    </w:rPr>
  </w:style>
  <w:style w:type="character" w:customStyle="1" w:styleId="TitleChar">
    <w:name w:val="Title Char"/>
    <w:aliases w:val="Short Title Char"/>
    <w:basedOn w:val="DefaultParagraphFont"/>
    <w:link w:val="Title"/>
    <w:uiPriority w:val="10"/>
    <w:rsid w:val="00756D43"/>
    <w:rPr>
      <w:rFonts w:asciiTheme="majorHAnsi" w:eastAsiaTheme="majorEastAsia" w:hAnsiTheme="majorHAnsi" w:cstheme="majorBidi"/>
      <w:sz w:val="80"/>
      <w:szCs w:val="56"/>
    </w:rPr>
  </w:style>
  <w:style w:type="paragraph" w:styleId="Header">
    <w:name w:val="header"/>
    <w:basedOn w:val="Normal"/>
    <w:link w:val="HeaderChar"/>
    <w:uiPriority w:val="99"/>
    <w:semiHidden/>
    <w:locked/>
    <w:rsid w:val="004E78DD"/>
    <w:pPr>
      <w:tabs>
        <w:tab w:val="center" w:pos="4513"/>
        <w:tab w:val="right" w:pos="9026"/>
      </w:tabs>
    </w:pPr>
  </w:style>
  <w:style w:type="character" w:customStyle="1" w:styleId="HeaderChar">
    <w:name w:val="Header Char"/>
    <w:basedOn w:val="DefaultParagraphFont"/>
    <w:link w:val="Header"/>
    <w:uiPriority w:val="99"/>
    <w:semiHidden/>
    <w:rsid w:val="004E78DD"/>
  </w:style>
  <w:style w:type="character" w:styleId="PageNumber">
    <w:name w:val="page number"/>
    <w:basedOn w:val="DefaultParagraphFont"/>
    <w:uiPriority w:val="99"/>
    <w:semiHidden/>
    <w:locked/>
    <w:rsid w:val="004E78DD"/>
  </w:style>
  <w:style w:type="table" w:styleId="TableGrid">
    <w:name w:val="Table Grid"/>
    <w:basedOn w:val="TableNormal"/>
    <w:uiPriority w:val="39"/>
    <w:rsid w:val="008F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Italic"/>
    <w:basedOn w:val="Emphasis"/>
    <w:uiPriority w:val="1"/>
    <w:qFormat/>
    <w:rsid w:val="00EA190C"/>
    <w:rPr>
      <w:rFonts w:asciiTheme="minorHAnsi" w:hAnsiTheme="minorHAnsi"/>
      <w:i/>
      <w:iCs/>
      <w:sz w:val="22"/>
    </w:rPr>
  </w:style>
  <w:style w:type="character" w:customStyle="1" w:styleId="BodytextBold">
    <w:name w:val="Body text Bold"/>
    <w:basedOn w:val="Strong"/>
    <w:uiPriority w:val="1"/>
    <w:qFormat/>
    <w:rsid w:val="001705F1"/>
    <w:rPr>
      <w:rFonts w:asciiTheme="minorHAnsi" w:hAnsiTheme="minorHAnsi"/>
      <w:b/>
      <w:bCs/>
      <w:color w:val="000000" w:themeColor="text1"/>
      <w:sz w:val="22"/>
    </w:rPr>
  </w:style>
  <w:style w:type="character" w:styleId="Emphasis">
    <w:name w:val="Emphasis"/>
    <w:basedOn w:val="DefaultParagraphFont"/>
    <w:uiPriority w:val="20"/>
    <w:semiHidden/>
    <w:qFormat/>
    <w:locked/>
    <w:rsid w:val="00EA190C"/>
    <w:rPr>
      <w:i/>
      <w:iCs/>
    </w:rPr>
  </w:style>
  <w:style w:type="character" w:styleId="Strong">
    <w:name w:val="Strong"/>
    <w:basedOn w:val="DefaultParagraphFont"/>
    <w:uiPriority w:val="22"/>
    <w:semiHidden/>
    <w:qFormat/>
    <w:locked/>
    <w:rsid w:val="001705F1"/>
    <w:rPr>
      <w:b/>
      <w:bCs/>
    </w:rPr>
  </w:style>
  <w:style w:type="paragraph" w:styleId="TOCHeading">
    <w:name w:val="TOC Heading"/>
    <w:basedOn w:val="Heading1"/>
    <w:next w:val="Normal"/>
    <w:uiPriority w:val="39"/>
    <w:semiHidden/>
    <w:qFormat/>
    <w:rsid w:val="003C5DF5"/>
    <w:pPr>
      <w:spacing w:before="240" w:after="0" w:line="259" w:lineRule="auto"/>
      <w:outlineLvl w:val="9"/>
    </w:pPr>
    <w:rPr>
      <w:color w:val="2E74B5" w:themeColor="accent1" w:themeShade="BF"/>
      <w:sz w:val="32"/>
    </w:rPr>
  </w:style>
  <w:style w:type="paragraph" w:styleId="TOC1">
    <w:name w:val="toc 1"/>
    <w:basedOn w:val="Normal"/>
    <w:next w:val="Normal"/>
    <w:autoRedefine/>
    <w:uiPriority w:val="39"/>
    <w:semiHidden/>
    <w:qFormat/>
    <w:rsid w:val="00CC6335"/>
    <w:pPr>
      <w:spacing w:after="100"/>
    </w:pPr>
    <w:rPr>
      <w:b/>
      <w:sz w:val="24"/>
    </w:rPr>
  </w:style>
  <w:style w:type="paragraph" w:styleId="TOC2">
    <w:name w:val="toc 2"/>
    <w:basedOn w:val="Normal"/>
    <w:next w:val="Normal"/>
    <w:autoRedefine/>
    <w:uiPriority w:val="39"/>
    <w:rsid w:val="00CC6335"/>
    <w:pPr>
      <w:spacing w:after="100"/>
      <w:ind w:left="220"/>
    </w:pPr>
    <w:rPr>
      <w:b/>
    </w:rPr>
  </w:style>
  <w:style w:type="paragraph" w:styleId="TOC3">
    <w:name w:val="toc 3"/>
    <w:basedOn w:val="Normal"/>
    <w:next w:val="Normal"/>
    <w:autoRedefine/>
    <w:uiPriority w:val="39"/>
    <w:rsid w:val="003C5DF5"/>
    <w:pPr>
      <w:spacing w:after="100"/>
      <w:ind w:left="440"/>
    </w:pPr>
  </w:style>
  <w:style w:type="character" w:customStyle="1" w:styleId="Instructions">
    <w:name w:val="Instructions"/>
    <w:basedOn w:val="CommentReference"/>
    <w:uiPriority w:val="1"/>
    <w:qFormat/>
    <w:rsid w:val="00FD1764"/>
    <w:rPr>
      <w:rFonts w:asciiTheme="minorHAnsi" w:hAnsiTheme="minorHAnsi"/>
      <w:vanish w:val="0"/>
      <w:color w:val="0070C0"/>
      <w:sz w:val="22"/>
      <w:szCs w:val="16"/>
      <w:u w:val="dotted"/>
    </w:rPr>
  </w:style>
  <w:style w:type="character" w:styleId="CommentReference">
    <w:name w:val="annotation reference"/>
    <w:basedOn w:val="DefaultParagraphFont"/>
    <w:uiPriority w:val="99"/>
    <w:semiHidden/>
    <w:locked/>
    <w:rsid w:val="00D1200B"/>
    <w:rPr>
      <w:sz w:val="16"/>
      <w:szCs w:val="16"/>
    </w:rPr>
  </w:style>
  <w:style w:type="character" w:styleId="Hyperlink">
    <w:name w:val="Hyperlink"/>
    <w:basedOn w:val="DefaultParagraphFont"/>
    <w:uiPriority w:val="99"/>
    <w:locked/>
    <w:rsid w:val="00742F28"/>
    <w:rPr>
      <w:color w:val="0563C1" w:themeColor="hyperlink"/>
      <w:u w:val="single"/>
    </w:rPr>
  </w:style>
  <w:style w:type="paragraph" w:customStyle="1" w:styleId="Tabletext">
    <w:name w:val="Table text"/>
    <w:basedOn w:val="BodyText"/>
    <w:qFormat/>
    <w:rsid w:val="000E6B84"/>
    <w:pPr>
      <w:spacing w:before="0" w:after="0" w:line="240" w:lineRule="auto"/>
    </w:pPr>
  </w:style>
  <w:style w:type="character" w:customStyle="1" w:styleId="BoldItalic">
    <w:name w:val="Bold &amp; Italic"/>
    <w:basedOn w:val="BodytextBold"/>
    <w:uiPriority w:val="1"/>
    <w:qFormat/>
    <w:rsid w:val="00D10081"/>
    <w:rPr>
      <w:rFonts w:asciiTheme="minorHAnsi" w:eastAsiaTheme="minorHAnsi" w:hAnsiTheme="minorHAnsi" w:cstheme="minorBidi"/>
      <w:b/>
      <w:bCs/>
      <w:i/>
      <w:color w:val="000000" w:themeColor="text1"/>
      <w:sz w:val="22"/>
      <w:szCs w:val="22"/>
    </w:rPr>
  </w:style>
  <w:style w:type="character" w:styleId="FootnoteReference">
    <w:name w:val="footnote reference"/>
    <w:basedOn w:val="DefaultParagraphFont"/>
    <w:uiPriority w:val="99"/>
    <w:qFormat/>
    <w:rsid w:val="00D867E0"/>
    <w:rPr>
      <w:rFonts w:asciiTheme="minorHAnsi" w:hAnsiTheme="minorHAnsi"/>
      <w:sz w:val="20"/>
      <w:vertAlign w:val="superscript"/>
    </w:rPr>
  </w:style>
  <w:style w:type="paragraph" w:styleId="FootnoteText">
    <w:name w:val="footnote text"/>
    <w:basedOn w:val="Normal"/>
    <w:link w:val="FootnoteTextChar"/>
    <w:uiPriority w:val="99"/>
    <w:rsid w:val="00D867E0"/>
    <w:pPr>
      <w:spacing w:before="0" w:after="0" w:line="240" w:lineRule="auto"/>
    </w:pPr>
    <w:rPr>
      <w:sz w:val="20"/>
      <w:szCs w:val="20"/>
    </w:rPr>
  </w:style>
  <w:style w:type="character" w:customStyle="1" w:styleId="FootnoteTextChar">
    <w:name w:val="Footnote Text Char"/>
    <w:basedOn w:val="DefaultParagraphFont"/>
    <w:link w:val="FootnoteText"/>
    <w:uiPriority w:val="99"/>
    <w:rsid w:val="00D867E0"/>
    <w:rPr>
      <w:sz w:val="20"/>
      <w:szCs w:val="20"/>
    </w:rPr>
  </w:style>
  <w:style w:type="paragraph" w:styleId="TOC9">
    <w:name w:val="toc 9"/>
    <w:basedOn w:val="Normal"/>
    <w:next w:val="Normal"/>
    <w:autoRedefine/>
    <w:uiPriority w:val="39"/>
    <w:semiHidden/>
    <w:locked/>
    <w:rsid w:val="004675E9"/>
    <w:pPr>
      <w:spacing w:after="100"/>
      <w:ind w:left="1760"/>
    </w:pPr>
  </w:style>
  <w:style w:type="paragraph" w:styleId="BalloonText">
    <w:name w:val="Balloon Text"/>
    <w:basedOn w:val="Normal"/>
    <w:link w:val="BalloonTextChar"/>
    <w:uiPriority w:val="99"/>
    <w:semiHidden/>
    <w:locked/>
    <w:rsid w:val="00AB3BA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BA5"/>
    <w:rPr>
      <w:rFonts w:ascii="Segoe UI" w:hAnsi="Segoe UI" w:cs="Segoe UI"/>
      <w:sz w:val="18"/>
      <w:szCs w:val="18"/>
    </w:rPr>
  </w:style>
  <w:style w:type="paragraph" w:styleId="EndnoteText">
    <w:name w:val="endnote text"/>
    <w:basedOn w:val="Normal"/>
    <w:link w:val="EndnoteTextChar"/>
    <w:uiPriority w:val="99"/>
    <w:semiHidden/>
    <w:locked/>
    <w:rsid w:val="007260B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260B8"/>
    <w:rPr>
      <w:sz w:val="20"/>
      <w:szCs w:val="20"/>
    </w:rPr>
  </w:style>
  <w:style w:type="character" w:customStyle="1" w:styleId="Heading4Char">
    <w:name w:val="Heading 4 Char"/>
    <w:basedOn w:val="DefaultParagraphFont"/>
    <w:link w:val="Heading4"/>
    <w:uiPriority w:val="9"/>
    <w:semiHidden/>
    <w:rsid w:val="004B06C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ransport.tas.gov.au" TargetMode="External"/><Relationship Id="rId2" Type="http://schemas.openxmlformats.org/officeDocument/2006/relationships/customXml" Target="../customXml/item2.xml"/><Relationship Id="rId16" Type="http://schemas.openxmlformats.org/officeDocument/2006/relationships/hyperlink" Target="mailto:info@stategrowth.tas.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m.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iFalco\Downloads\A4-Report-template-blu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SG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7d3c280b-2786-4afe-9848-762954f5e21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F65DCF5F40044A0B37CF7D4B16106" ma:contentTypeVersion="2" ma:contentTypeDescription="Create a new document." ma:contentTypeScope="" ma:versionID="f635f6ea0cd446c87db1b50067cba6a5">
  <xsd:schema xmlns:xsd="http://www.w3.org/2001/XMLSchema" xmlns:xs="http://www.w3.org/2001/XMLSchema" xmlns:p="http://schemas.microsoft.com/office/2006/metadata/properties" xmlns:ns1="http://schemas.microsoft.com/sharepoint/v3" xmlns:ns2="7d3c280b-2786-4afe-9848-762954f5e218" targetNamespace="http://schemas.microsoft.com/office/2006/metadata/properties" ma:root="true" ma:fieldsID="ae9db4beb7ea824683aef136ef0535fc" ns1:_="" ns2:_="">
    <xsd:import namespace="http://schemas.microsoft.com/sharepoint/v3"/>
    <xsd:import namespace="7d3c280b-2786-4afe-9848-762954f5e21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3c280b-2786-4afe-9848-762954f5e21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0615-A10A-4B8F-997E-14120D9F27E0}">
  <ds:schemaRefs>
    <ds:schemaRef ds:uri="http://schemas.microsoft.com/sharepoint/v3/contenttype/forms"/>
  </ds:schemaRefs>
</ds:datastoreItem>
</file>

<file path=customXml/itemProps2.xml><?xml version="1.0" encoding="utf-8"?>
<ds:datastoreItem xmlns:ds="http://schemas.openxmlformats.org/officeDocument/2006/customXml" ds:itemID="{71F7932C-EFF5-4606-A039-8D09762E5E91}">
  <ds:schemaRefs>
    <ds:schemaRef ds:uri="http://schemas.microsoft.com/office/2006/metadata/properties"/>
    <ds:schemaRef ds:uri="http://schemas.microsoft.com/office/infopath/2007/PartnerControls"/>
    <ds:schemaRef ds:uri="http://schemas.microsoft.com/sharepoint/v3"/>
    <ds:schemaRef ds:uri="7d3c280b-2786-4afe-9848-762954f5e218"/>
  </ds:schemaRefs>
</ds:datastoreItem>
</file>

<file path=customXml/itemProps3.xml><?xml version="1.0" encoding="utf-8"?>
<ds:datastoreItem xmlns:ds="http://schemas.openxmlformats.org/officeDocument/2006/customXml" ds:itemID="{D4F585AB-CE22-4AED-ACCF-02ED57C2C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c280b-2786-4afe-9848-762954f5e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71A5A-B24E-45AA-9037-47252E95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A4-Report-template-blue-cover</Template>
  <TotalTime>1</TotalTime>
  <Pages>17</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DEDTA</Company>
  <LinksUpToDate>false</LinksUpToDate>
  <CharactersWithSpaces>31794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Falco, Nicholas</dc:creator>
  <cp:keywords/>
  <dc:description/>
  <cp:lastModifiedBy>Di Falco, Nicholas</cp:lastModifiedBy>
  <cp:revision>2</cp:revision>
  <cp:lastPrinted>2015-02-23T22:21:00Z</cp:lastPrinted>
  <dcterms:created xsi:type="dcterms:W3CDTF">2020-08-18T04:43:00Z</dcterms:created>
  <dcterms:modified xsi:type="dcterms:W3CDTF">2020-08-18T04:43:00Z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0x010100D78F65DCF5F40044A0B37CF7D4B16106</vt:lpwstr>
  </property>
  <property fmtid="{D5CDD505-2E9C-101B-9397-08002B2CF9AE}" pid="3" name="Order">
    <vt:r8>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