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5D3A0" w14:textId="77777777" w:rsidR="006E7989" w:rsidRPr="00E84C08" w:rsidRDefault="006E7989" w:rsidP="00534224">
      <w:pPr>
        <w:spacing w:after="120"/>
        <w:ind w:right="142"/>
        <w:jc w:val="right"/>
        <w:rPr>
          <w:sz w:val="80"/>
          <w:szCs w:val="80"/>
        </w:rPr>
      </w:pPr>
      <w:bookmarkStart w:id="0" w:name="_GoBack"/>
      <w:bookmarkEnd w:id="0"/>
      <w:r w:rsidRPr="006D3E7E">
        <w:rPr>
          <w:noProof/>
          <w:sz w:val="80"/>
          <w:szCs w:val="80"/>
          <w:lang w:eastAsia="en-AU"/>
        </w:rPr>
        <w:drawing>
          <wp:anchor distT="0" distB="0" distL="114300" distR="114300" simplePos="0" relativeHeight="251659264" behindDoc="1" locked="0" layoutInCell="1" allowOverlap="1" wp14:anchorId="1B08AF11" wp14:editId="621D7EBC">
            <wp:simplePos x="0" y="0"/>
            <wp:positionH relativeFrom="page">
              <wp:posOffset>-55659</wp:posOffset>
            </wp:positionH>
            <wp:positionV relativeFrom="paragraph">
              <wp:posOffset>-541020</wp:posOffset>
            </wp:positionV>
            <wp:extent cx="7591646" cy="10736341"/>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91646" cy="10736341"/>
                    </a:xfrm>
                    <a:prstGeom prst="rect">
                      <a:avLst/>
                    </a:prstGeom>
                  </pic:spPr>
                </pic:pic>
              </a:graphicData>
            </a:graphic>
            <wp14:sizeRelH relativeFrom="page">
              <wp14:pctWidth>0</wp14:pctWidth>
            </wp14:sizeRelH>
            <wp14:sizeRelV relativeFrom="page">
              <wp14:pctHeight>0</wp14:pctHeight>
            </wp14:sizeRelV>
          </wp:anchor>
        </w:drawing>
      </w:r>
      <w:r w:rsidR="006D3E7E" w:rsidRPr="006D3E7E">
        <w:rPr>
          <w:sz w:val="80"/>
          <w:szCs w:val="80"/>
        </w:rPr>
        <w:t>Transporter</w:t>
      </w:r>
    </w:p>
    <w:p w14:paraId="7424660E" w14:textId="77777777" w:rsidR="00E84C08" w:rsidRPr="006E7989" w:rsidRDefault="00E84C08" w:rsidP="006E7989"/>
    <w:p w14:paraId="336C2B7C" w14:textId="77777777" w:rsidR="006E7989" w:rsidRPr="006E7989" w:rsidRDefault="006E7989" w:rsidP="006E7989"/>
    <w:p w14:paraId="57CD0C63" w14:textId="77777777" w:rsidR="006E7989" w:rsidRPr="006E7989" w:rsidRDefault="006E7989" w:rsidP="006E7989"/>
    <w:p w14:paraId="706111B8" w14:textId="77777777" w:rsidR="006E7989" w:rsidRPr="006E7989" w:rsidRDefault="006E7989" w:rsidP="006E7989"/>
    <w:p w14:paraId="56F1C54A" w14:textId="77777777" w:rsidR="006E7989" w:rsidRPr="006E7989" w:rsidRDefault="006E7989" w:rsidP="00E84C08">
      <w:pPr>
        <w:spacing w:after="0"/>
      </w:pPr>
    </w:p>
    <w:p w14:paraId="142A950E" w14:textId="77777777" w:rsidR="00E84C08" w:rsidRPr="00534224" w:rsidRDefault="00E84C08" w:rsidP="00E84C08">
      <w:pPr>
        <w:pStyle w:val="Heading1"/>
        <w:tabs>
          <w:tab w:val="right" w:pos="10773"/>
        </w:tabs>
        <w:ind w:right="142"/>
        <w:jc w:val="both"/>
        <w:rPr>
          <w:color w:val="auto"/>
          <w:sz w:val="32"/>
        </w:rPr>
      </w:pPr>
      <w:r>
        <w:rPr>
          <w:color w:val="auto"/>
          <w:sz w:val="28"/>
        </w:rPr>
        <w:tab/>
      </w:r>
      <w:r w:rsidR="00AF46E5">
        <w:rPr>
          <w:color w:val="auto"/>
          <w:sz w:val="32"/>
        </w:rPr>
        <w:t>October</w:t>
      </w:r>
      <w:r w:rsidRPr="00534224">
        <w:rPr>
          <w:color w:val="auto"/>
          <w:sz w:val="32"/>
        </w:rPr>
        <w:t xml:space="preserve"> 2016</w:t>
      </w:r>
    </w:p>
    <w:p w14:paraId="40A50683" w14:textId="579FA31D" w:rsidR="00EF0882" w:rsidRPr="00954FE5" w:rsidRDefault="00EF2028" w:rsidP="00E84C08">
      <w:pPr>
        <w:pStyle w:val="Heading1"/>
        <w:spacing w:before="0" w:after="120"/>
        <w:ind w:right="142"/>
        <w:jc w:val="both"/>
        <w:rPr>
          <w:color w:val="009999"/>
        </w:rPr>
      </w:pPr>
      <w:r>
        <w:rPr>
          <w:color w:val="009999"/>
        </w:rPr>
        <w:t>Where has the year gone?</w:t>
      </w:r>
    </w:p>
    <w:p w14:paraId="6DC7BEFB" w14:textId="0C756426" w:rsidR="00EF2028" w:rsidRDefault="00EF2028" w:rsidP="0008189B">
      <w:pPr>
        <w:ind w:right="142"/>
        <w:jc w:val="both"/>
        <w:rPr>
          <w:lang w:val="en-GB"/>
        </w:rPr>
      </w:pPr>
      <w:r>
        <w:rPr>
          <w:lang w:val="en-GB"/>
        </w:rPr>
        <w:t>It’s that time of year again when we start asking, ‘where has the year gone?’ Winter has come and gone, Term 4 is now underway, and we’re starting to turn our minds to Christmas (</w:t>
      </w:r>
      <w:r w:rsidR="00C3151B">
        <w:rPr>
          <w:lang w:val="en-GB"/>
        </w:rPr>
        <w:t>or is that just retailers?</w:t>
      </w:r>
      <w:r>
        <w:rPr>
          <w:lang w:val="en-GB"/>
        </w:rPr>
        <w:t xml:space="preserve">). </w:t>
      </w:r>
    </w:p>
    <w:p w14:paraId="5ABE2087" w14:textId="0C083F65" w:rsidR="00777B54" w:rsidRDefault="00EF2028" w:rsidP="004F55E1">
      <w:pPr>
        <w:pStyle w:val="Heading1"/>
        <w:spacing w:before="360" w:after="120"/>
        <w:ind w:right="142"/>
        <w:jc w:val="both"/>
        <w:rPr>
          <w:color w:val="009999"/>
        </w:rPr>
      </w:pPr>
      <w:r>
        <w:rPr>
          <w:color w:val="009999"/>
        </w:rPr>
        <w:t>Public b</w:t>
      </w:r>
      <w:r w:rsidR="00777B54">
        <w:rPr>
          <w:color w:val="009999"/>
        </w:rPr>
        <w:t xml:space="preserve">us </w:t>
      </w:r>
      <w:r>
        <w:rPr>
          <w:color w:val="009999"/>
        </w:rPr>
        <w:t>rec</w:t>
      </w:r>
      <w:r w:rsidR="00777B54">
        <w:rPr>
          <w:color w:val="009999"/>
        </w:rPr>
        <w:t xml:space="preserve">ontracting </w:t>
      </w:r>
      <w:r>
        <w:rPr>
          <w:color w:val="009999"/>
        </w:rPr>
        <w:t>project (</w:t>
      </w:r>
      <w:r w:rsidR="000E75E3">
        <w:rPr>
          <w:color w:val="009999"/>
        </w:rPr>
        <w:t>p</w:t>
      </w:r>
      <w:r>
        <w:rPr>
          <w:color w:val="009999"/>
        </w:rPr>
        <w:t>roject 2018)</w:t>
      </w:r>
    </w:p>
    <w:p w14:paraId="2E7A630D" w14:textId="77777777" w:rsidR="00C3151B" w:rsidRDefault="00C3151B" w:rsidP="00C3151B">
      <w:r>
        <w:t>The Treasurer has now signed off on a process under Treasurers Instruction 105 for implementing the Governments election commitment to</w:t>
      </w:r>
      <w:r w:rsidRPr="008026A9">
        <w:t xml:space="preserve"> provide a further 5 + 5 contract for incumbent operators, providing key performance conditions are met and there is an ongoing need for a particular service in a particular area</w:t>
      </w:r>
      <w:r>
        <w:t>.</w:t>
      </w:r>
    </w:p>
    <w:p w14:paraId="2836ADD6" w14:textId="77777777" w:rsidR="00C3151B" w:rsidRDefault="00C3151B" w:rsidP="00C3151B">
      <w:r>
        <w:t>The process still require operators to demonstrate value for money and is to encourage competition where it can.  An independent probity advisor, Harvey Gibson, has also been engaged to oversee the entire procurement process to ensure fairness, transparency and equity.</w:t>
      </w:r>
    </w:p>
    <w:p w14:paraId="54B7A27D" w14:textId="77777777" w:rsidR="00C3151B" w:rsidRDefault="00C3151B" w:rsidP="00C3151B">
      <w:r>
        <w:t xml:space="preserve">In simple terms, once the need for a service/route has been determined, incumbent operators will be ‘matched’ to these new services.  The key principle driving this matching process will </w:t>
      </w:r>
      <w:r w:rsidRPr="00E5640F">
        <w:t>be that the majority of passengers that wil</w:t>
      </w:r>
      <w:r>
        <w:t xml:space="preserve">l use the new service would be expected to be </w:t>
      </w:r>
      <w:r w:rsidRPr="00E5640F">
        <w:t xml:space="preserve">drawn from the </w:t>
      </w:r>
      <w:r>
        <w:t>current</w:t>
      </w:r>
      <w:r w:rsidRPr="00E5640F">
        <w:t xml:space="preserve"> operator’s service</w:t>
      </w:r>
      <w:r>
        <w:t>.  This draws both a geographical catchment (route matching) and service type (school vs general access) distinction between services for matching purposes.</w:t>
      </w:r>
    </w:p>
    <w:p w14:paraId="23E174A5" w14:textId="351AA87A" w:rsidR="00C3151B" w:rsidRDefault="00C3151B" w:rsidP="00C3151B">
      <w:r>
        <w:t xml:space="preserve">The outcome from an </w:t>
      </w:r>
      <w:r w:rsidR="00D227E5">
        <w:t>operator’s</w:t>
      </w:r>
      <w:r>
        <w:t xml:space="preserve"> point of view will be either that:</w:t>
      </w:r>
    </w:p>
    <w:p w14:paraId="1B44B29D" w14:textId="77777777" w:rsidR="00C3151B" w:rsidRDefault="00C3151B" w:rsidP="00C3151B">
      <w:pPr>
        <w:pStyle w:val="ListParagraph"/>
        <w:numPr>
          <w:ilvl w:val="0"/>
          <w:numId w:val="9"/>
        </w:numPr>
      </w:pPr>
      <w:r>
        <w:t>you</w:t>
      </w:r>
      <w:r w:rsidRPr="00E5640F">
        <w:t xml:space="preserve"> will be</w:t>
      </w:r>
      <w:r>
        <w:t xml:space="preserve"> directly matched to a new service and a contract offer will subsequently be made; or</w:t>
      </w:r>
    </w:p>
    <w:p w14:paraId="3584EE41" w14:textId="77777777" w:rsidR="00C3151B" w:rsidRDefault="00C3151B" w:rsidP="00C3151B">
      <w:pPr>
        <w:pStyle w:val="ListParagraph"/>
        <w:numPr>
          <w:ilvl w:val="0"/>
          <w:numId w:val="9"/>
        </w:numPr>
      </w:pPr>
      <w:r>
        <w:t>You will be informed that more than one operator has been matched against the new service, and that a closed tender for that route will occur; or</w:t>
      </w:r>
    </w:p>
    <w:p w14:paraId="47B4F673" w14:textId="77777777" w:rsidR="00C3151B" w:rsidRDefault="00C3151B" w:rsidP="00C3151B">
      <w:pPr>
        <w:pStyle w:val="ListParagraph"/>
        <w:numPr>
          <w:ilvl w:val="0"/>
          <w:numId w:val="9"/>
        </w:numPr>
      </w:pPr>
      <w:r>
        <w:t>You will be notified that an existing contract (or trip) you have been providing has not been matched against any needed service and that your service won’t be recontracted.</w:t>
      </w:r>
    </w:p>
    <w:p w14:paraId="045F7485" w14:textId="77777777" w:rsidR="00C3151B" w:rsidRDefault="00C3151B" w:rsidP="00C3151B">
      <w:r>
        <w:t>Directly matched offers and closed tender processes will be subject to a 30 day appeal period where other operators may appeal the matching process to demonstrate that they should also have been matched to that new service.  These claims will be assessed by a separate panel to those that made the original decisions.</w:t>
      </w:r>
    </w:p>
    <w:p w14:paraId="5D05C484" w14:textId="77777777" w:rsidR="00C3151B" w:rsidRDefault="00C3151B" w:rsidP="00C3151B">
      <w:r>
        <w:t>There may also be situations where new services are identified where no operator currently operates that service.  Any new services will go to an open tender process.</w:t>
      </w:r>
    </w:p>
    <w:p w14:paraId="4150F09E" w14:textId="77777777" w:rsidR="00C3151B" w:rsidRDefault="00C3151B" w:rsidP="00C3151B">
      <w:r>
        <w:t>More information on the Project 2018 re-contracting process is available on the Project 2018 page of the Department’s website.</w:t>
      </w:r>
    </w:p>
    <w:p w14:paraId="78274792" w14:textId="543617C7" w:rsidR="00233345" w:rsidRDefault="00233345" w:rsidP="004F55E1">
      <w:pPr>
        <w:pStyle w:val="Heading1"/>
        <w:spacing w:before="360" w:after="120"/>
        <w:ind w:right="142"/>
        <w:jc w:val="both"/>
        <w:rPr>
          <w:color w:val="009999"/>
        </w:rPr>
      </w:pPr>
      <w:r>
        <w:rPr>
          <w:color w:val="009999"/>
        </w:rPr>
        <w:lastRenderedPageBreak/>
        <w:t xml:space="preserve">Project 2018 </w:t>
      </w:r>
      <w:r w:rsidR="000E75E3">
        <w:rPr>
          <w:color w:val="009999"/>
        </w:rPr>
        <w:t>r</w:t>
      </w:r>
      <w:r>
        <w:rPr>
          <w:color w:val="009999"/>
        </w:rPr>
        <w:t xml:space="preserve">egional </w:t>
      </w:r>
      <w:r w:rsidR="000E75E3">
        <w:rPr>
          <w:color w:val="009999"/>
        </w:rPr>
        <w:t>m</w:t>
      </w:r>
      <w:r>
        <w:rPr>
          <w:color w:val="009999"/>
        </w:rPr>
        <w:t>eetings</w:t>
      </w:r>
    </w:p>
    <w:p w14:paraId="3D6162B5" w14:textId="77777777" w:rsidR="00C3151B" w:rsidRDefault="00C3151B" w:rsidP="00C3151B">
      <w:r>
        <w:t>All rural school bus operators (including rural fare paying service operators) who have returned their bus survey and Negotiation Deed should now have received their initial assessment advice.  If this is not the case, please contact Andrew Mullen on 6166 4470.</w:t>
      </w:r>
    </w:p>
    <w:p w14:paraId="5C14958A" w14:textId="77777777" w:rsidR="00C3151B" w:rsidRDefault="00C3151B" w:rsidP="00C3151B">
      <w:r>
        <w:t>We are arranging a series of regional visits in November for school bus operators to come and meet with us to get a general update on Project 2018 and, for those that wish, to discuss the initial advice that has been provided.</w:t>
      </w:r>
    </w:p>
    <w:p w14:paraId="1CB9BC88" w14:textId="77777777" w:rsidR="00C3151B" w:rsidRDefault="00C3151B" w:rsidP="00C3151B">
      <w:r>
        <w:t>The scheduled dates for the forums in November will be:</w:t>
      </w:r>
    </w:p>
    <w:p w14:paraId="1C826861" w14:textId="77777777" w:rsidR="00C3151B" w:rsidRDefault="00C3151B" w:rsidP="00C3151B">
      <w:pPr>
        <w:pStyle w:val="ListParagraph"/>
        <w:numPr>
          <w:ilvl w:val="0"/>
          <w:numId w:val="10"/>
        </w:numPr>
      </w:pPr>
      <w:r>
        <w:t>Monday 14 – Huonville (PCYC)</w:t>
      </w:r>
    </w:p>
    <w:p w14:paraId="51EB02D7" w14:textId="77777777" w:rsidR="00C3151B" w:rsidRDefault="00C3151B" w:rsidP="00C3151B">
      <w:pPr>
        <w:pStyle w:val="ListParagraph"/>
        <w:numPr>
          <w:ilvl w:val="0"/>
          <w:numId w:val="10"/>
        </w:numPr>
      </w:pPr>
      <w:r>
        <w:t>Tuesday 15 – Scottsdale (Library)</w:t>
      </w:r>
    </w:p>
    <w:p w14:paraId="3FD8D563" w14:textId="77777777" w:rsidR="00C3151B" w:rsidRDefault="00C3151B" w:rsidP="00C3151B">
      <w:pPr>
        <w:pStyle w:val="ListParagraph"/>
        <w:numPr>
          <w:ilvl w:val="0"/>
          <w:numId w:val="10"/>
        </w:numPr>
      </w:pPr>
      <w:r>
        <w:t>Wednesday 16 – Launceston (Able Tasman Motel)</w:t>
      </w:r>
    </w:p>
    <w:p w14:paraId="7C7F044A" w14:textId="77777777" w:rsidR="00C3151B" w:rsidRDefault="00C3151B" w:rsidP="00C3151B">
      <w:pPr>
        <w:pStyle w:val="ListParagraph"/>
        <w:numPr>
          <w:ilvl w:val="0"/>
          <w:numId w:val="10"/>
        </w:numPr>
      </w:pPr>
      <w:r>
        <w:t>Thursday 17 – Ulverstone (</w:t>
      </w:r>
      <w:proofErr w:type="spellStart"/>
      <w:r>
        <w:t>Beachway</w:t>
      </w:r>
      <w:proofErr w:type="spellEnd"/>
      <w:r>
        <w:t xml:space="preserve"> Motel)</w:t>
      </w:r>
    </w:p>
    <w:p w14:paraId="2FD4761B" w14:textId="77777777" w:rsidR="00C3151B" w:rsidRDefault="00C3151B" w:rsidP="00C3151B">
      <w:pPr>
        <w:pStyle w:val="ListParagraph"/>
        <w:numPr>
          <w:ilvl w:val="0"/>
          <w:numId w:val="10"/>
        </w:numPr>
      </w:pPr>
      <w:r>
        <w:t>Wednesday 23 – Sorell (Library)</w:t>
      </w:r>
    </w:p>
    <w:p w14:paraId="04C3C0F4" w14:textId="77777777" w:rsidR="00C3151B" w:rsidRDefault="00C3151B" w:rsidP="00C3151B">
      <w:pPr>
        <w:pStyle w:val="ListParagraph"/>
        <w:numPr>
          <w:ilvl w:val="0"/>
          <w:numId w:val="10"/>
        </w:numPr>
      </w:pPr>
      <w:r>
        <w:t>Thursday 24 - New Norfolk (Library)</w:t>
      </w:r>
    </w:p>
    <w:p w14:paraId="64CE0DA1" w14:textId="77777777" w:rsidR="00C3151B" w:rsidRDefault="00C3151B" w:rsidP="00C3151B">
      <w:r>
        <w:t>A general briefing and opportunity for questions will be held in the morning (10am for a 10.30am start) and then individual appointments (25 minutes) may be booked from 11.30am onwards.</w:t>
      </w:r>
    </w:p>
    <w:p w14:paraId="4FEDD425" w14:textId="77777777" w:rsidR="00C3151B" w:rsidRDefault="00C3151B" w:rsidP="00C3151B">
      <w:r>
        <w:t xml:space="preserve">So that we can arrange bookings and venues, if you wish to attend either the general briefing or one of the individual sessions, please contact </w:t>
      </w:r>
      <w:proofErr w:type="spellStart"/>
      <w:r>
        <w:t>Kamilla</w:t>
      </w:r>
      <w:proofErr w:type="spellEnd"/>
      <w:r>
        <w:t xml:space="preserve"> Martin on 6166 3459 to make an appointment.  Members of </w:t>
      </w:r>
      <w:proofErr w:type="spellStart"/>
      <w:r>
        <w:t>TasBus</w:t>
      </w:r>
      <w:proofErr w:type="spellEnd"/>
      <w:r>
        <w:t xml:space="preserve"> are welcome to have the General Manager attend their discussions, but please just let </w:t>
      </w:r>
      <w:proofErr w:type="spellStart"/>
      <w:r>
        <w:t>Kamilla</w:t>
      </w:r>
      <w:proofErr w:type="spellEnd"/>
      <w:r>
        <w:t xml:space="preserve"> know when booking.</w:t>
      </w:r>
    </w:p>
    <w:p w14:paraId="71F0768A" w14:textId="77777777" w:rsidR="00C3151B" w:rsidRPr="00B95311" w:rsidRDefault="00C3151B" w:rsidP="00C3151B">
      <w:r>
        <w:t>If you cannot make any of these meetings, you can still talk to Andrew Mullen at any time, or make an appointment to come to Hobart to discuss your advice directly.</w:t>
      </w:r>
    </w:p>
    <w:p w14:paraId="2F16D01A" w14:textId="264729E1" w:rsidR="007873CA" w:rsidRDefault="002B51B5" w:rsidP="007873CA">
      <w:pPr>
        <w:pStyle w:val="Heading1"/>
        <w:spacing w:before="360" w:after="120"/>
        <w:ind w:right="142"/>
        <w:jc w:val="both"/>
        <w:rPr>
          <w:color w:val="009999"/>
          <w:lang w:val="en-GB"/>
        </w:rPr>
      </w:pPr>
      <w:r>
        <w:rPr>
          <w:color w:val="009999"/>
          <w:lang w:val="en-GB"/>
        </w:rPr>
        <w:t>St</w:t>
      </w:r>
      <w:r w:rsidR="007873CA">
        <w:rPr>
          <w:color w:val="009999"/>
          <w:lang w:val="en-GB"/>
        </w:rPr>
        <w:t xml:space="preserve">udent </w:t>
      </w:r>
      <w:r w:rsidR="000E75E3">
        <w:rPr>
          <w:color w:val="009999"/>
          <w:lang w:val="en-GB"/>
        </w:rPr>
        <w:t>f</w:t>
      </w:r>
      <w:r w:rsidR="007873CA">
        <w:rPr>
          <w:color w:val="009999"/>
          <w:lang w:val="en-GB"/>
        </w:rPr>
        <w:t>are</w:t>
      </w:r>
      <w:r w:rsidR="000E75E3">
        <w:rPr>
          <w:color w:val="009999"/>
          <w:lang w:val="en-GB"/>
        </w:rPr>
        <w:t xml:space="preserve">s </w:t>
      </w:r>
      <w:r w:rsidR="00D227E5">
        <w:rPr>
          <w:color w:val="009999"/>
          <w:lang w:val="en-GB"/>
        </w:rPr>
        <w:t>2017</w:t>
      </w:r>
    </w:p>
    <w:p w14:paraId="193A549B" w14:textId="57B7D36A" w:rsidR="007873CA" w:rsidRDefault="00671145" w:rsidP="007873CA">
      <w:pPr>
        <w:rPr>
          <w:lang w:val="en-GB"/>
        </w:rPr>
      </w:pPr>
      <w:r>
        <w:rPr>
          <w:lang w:val="en-GB"/>
        </w:rPr>
        <w:t>N</w:t>
      </w:r>
      <w:r w:rsidR="007873CA">
        <w:rPr>
          <w:lang w:val="en-GB"/>
        </w:rPr>
        <w:t>ew s</w:t>
      </w:r>
      <w:r w:rsidR="007873CA" w:rsidRPr="00B21EA0">
        <w:rPr>
          <w:lang w:val="en-GB"/>
        </w:rPr>
        <w:t>tudent fare</w:t>
      </w:r>
      <w:r>
        <w:rPr>
          <w:lang w:val="en-GB"/>
        </w:rPr>
        <w:t>s will apply</w:t>
      </w:r>
      <w:r w:rsidR="007873CA" w:rsidRPr="00B21EA0">
        <w:rPr>
          <w:lang w:val="en-GB"/>
        </w:rPr>
        <w:t xml:space="preserve"> </w:t>
      </w:r>
      <w:r w:rsidR="007873CA">
        <w:rPr>
          <w:lang w:val="en-GB"/>
        </w:rPr>
        <w:t>for</w:t>
      </w:r>
      <w:r w:rsidR="007873CA" w:rsidRPr="00B21EA0">
        <w:rPr>
          <w:lang w:val="en-GB"/>
        </w:rPr>
        <w:t xml:space="preserve"> 2017</w:t>
      </w:r>
      <w:r w:rsidR="007873CA">
        <w:rPr>
          <w:lang w:val="en-GB"/>
        </w:rPr>
        <w:t xml:space="preserve">.  Effective </w:t>
      </w:r>
      <w:r w:rsidR="000E75E3">
        <w:rPr>
          <w:lang w:val="en-GB"/>
        </w:rPr>
        <w:t>1</w:t>
      </w:r>
      <w:r w:rsidR="007873CA">
        <w:rPr>
          <w:lang w:val="en-GB"/>
        </w:rPr>
        <w:t xml:space="preserve"> January 2017, </w:t>
      </w:r>
      <w:r w:rsidR="00D227E5">
        <w:rPr>
          <w:lang w:val="en-GB"/>
        </w:rPr>
        <w:t xml:space="preserve">the maximum </w:t>
      </w:r>
      <w:r w:rsidR="007873CA">
        <w:rPr>
          <w:lang w:val="en-GB"/>
        </w:rPr>
        <w:t xml:space="preserve">student fare will </w:t>
      </w:r>
      <w:r w:rsidR="00D227E5">
        <w:rPr>
          <w:lang w:val="en-GB"/>
        </w:rPr>
        <w:t>increase to</w:t>
      </w:r>
      <w:r w:rsidR="007873CA">
        <w:rPr>
          <w:lang w:val="en-GB"/>
        </w:rPr>
        <w:t xml:space="preserve"> $1.70</w:t>
      </w:r>
      <w:r w:rsidR="00D227E5">
        <w:rPr>
          <w:lang w:val="en-GB"/>
        </w:rPr>
        <w:t xml:space="preserve"> and the </w:t>
      </w:r>
      <w:r w:rsidR="00BC4A75">
        <w:rPr>
          <w:lang w:val="en-GB"/>
        </w:rPr>
        <w:t xml:space="preserve">maximum </w:t>
      </w:r>
      <w:r w:rsidR="00D227E5">
        <w:rPr>
          <w:lang w:val="en-GB"/>
        </w:rPr>
        <w:t>multi-trip/smartcard/</w:t>
      </w:r>
      <w:proofErr w:type="spellStart"/>
      <w:r w:rsidR="00D227E5">
        <w:rPr>
          <w:lang w:val="en-GB"/>
        </w:rPr>
        <w:t>greencard</w:t>
      </w:r>
      <w:proofErr w:type="spellEnd"/>
      <w:r w:rsidR="00D227E5">
        <w:rPr>
          <w:lang w:val="en-GB"/>
        </w:rPr>
        <w:t xml:space="preserve"> discounted ticket will be $1.36. </w:t>
      </w:r>
    </w:p>
    <w:p w14:paraId="5B24106D" w14:textId="3CFD8770" w:rsidR="007873CA" w:rsidRDefault="007873CA" w:rsidP="007873CA">
      <w:pPr>
        <w:pStyle w:val="Heading1"/>
        <w:spacing w:before="360" w:after="120"/>
        <w:ind w:right="142"/>
        <w:jc w:val="both"/>
        <w:rPr>
          <w:color w:val="009999"/>
          <w:lang w:val="en-GB"/>
        </w:rPr>
      </w:pPr>
      <w:r>
        <w:rPr>
          <w:color w:val="009999"/>
          <w:lang w:val="en-GB"/>
        </w:rPr>
        <w:t xml:space="preserve">Student </w:t>
      </w:r>
      <w:r w:rsidR="000E75E3">
        <w:rPr>
          <w:color w:val="009999"/>
          <w:lang w:val="en-GB"/>
        </w:rPr>
        <w:t>bu</w:t>
      </w:r>
      <w:r>
        <w:rPr>
          <w:color w:val="009999"/>
          <w:lang w:val="en-GB"/>
        </w:rPr>
        <w:t xml:space="preserve">s </w:t>
      </w:r>
      <w:r w:rsidR="000E75E3">
        <w:rPr>
          <w:color w:val="009999"/>
          <w:lang w:val="en-GB"/>
        </w:rPr>
        <w:t>p</w:t>
      </w:r>
      <w:r>
        <w:rPr>
          <w:color w:val="009999"/>
          <w:lang w:val="en-GB"/>
        </w:rPr>
        <w:t>ass</w:t>
      </w:r>
      <w:r w:rsidR="000E75E3">
        <w:rPr>
          <w:color w:val="009999"/>
          <w:lang w:val="en-GB"/>
        </w:rPr>
        <w:t>es expiring in 2016</w:t>
      </w:r>
    </w:p>
    <w:p w14:paraId="6FD5D450" w14:textId="77777777" w:rsidR="000E75E3" w:rsidRDefault="000E75E3" w:rsidP="007873CA">
      <w:pPr>
        <w:rPr>
          <w:lang w:val="en-GB"/>
        </w:rPr>
      </w:pPr>
      <w:r>
        <w:rPr>
          <w:lang w:val="en-GB"/>
        </w:rPr>
        <w:t xml:space="preserve">We are about to commence our yearly campaign to remind students that if their Bus Pass for Free Travel expires in 2016 they will need to reapply to remain eligible for free travel to/from school. </w:t>
      </w:r>
    </w:p>
    <w:p w14:paraId="11970E6D" w14:textId="2107641C" w:rsidR="007873CA" w:rsidRDefault="00C512D8" w:rsidP="007873CA">
      <w:pPr>
        <w:rPr>
          <w:lang w:val="en-GB"/>
        </w:rPr>
      </w:pPr>
      <w:r>
        <w:rPr>
          <w:lang w:val="en-GB"/>
        </w:rPr>
        <w:t>Like last year, p</w:t>
      </w:r>
      <w:r w:rsidR="007873CA">
        <w:rPr>
          <w:lang w:val="en-GB"/>
        </w:rPr>
        <w:t>osters will soon be issued to all fare-paying operators, to be displayed in buses</w:t>
      </w:r>
      <w:r>
        <w:rPr>
          <w:lang w:val="en-GB"/>
        </w:rPr>
        <w:t xml:space="preserve"> as a reminder to students.</w:t>
      </w:r>
    </w:p>
    <w:p w14:paraId="6B11237E" w14:textId="33984291" w:rsidR="007873CA" w:rsidRDefault="007873CA" w:rsidP="007873CA">
      <w:pPr>
        <w:rPr>
          <w:lang w:val="en-GB"/>
        </w:rPr>
      </w:pPr>
      <w:r>
        <w:rPr>
          <w:lang w:val="en-GB"/>
        </w:rPr>
        <w:t>Th</w:t>
      </w:r>
      <w:r w:rsidR="00C512D8">
        <w:rPr>
          <w:lang w:val="en-GB"/>
        </w:rPr>
        <w:t>e</w:t>
      </w:r>
      <w:r>
        <w:rPr>
          <w:lang w:val="en-GB"/>
        </w:rPr>
        <w:t xml:space="preserve"> poster will encourage students to use the online system to submit their application, as this will be the fastest way to receive approval for free travel.</w:t>
      </w:r>
    </w:p>
    <w:p w14:paraId="0B8B85F3" w14:textId="77777777" w:rsidR="007873CA" w:rsidRDefault="007873CA" w:rsidP="007873CA">
      <w:pPr>
        <w:rPr>
          <w:lang w:val="en-GB"/>
        </w:rPr>
      </w:pPr>
      <w:r>
        <w:rPr>
          <w:lang w:val="en-GB"/>
        </w:rPr>
        <w:t>Students who apply for a free travel bus pass between 16 November 2016 and 6 January 2017 will receive their bus pass before the start of the 2017 school year.  Applications received after 6 January 2017 may take up to 4 weeks to process.</w:t>
      </w:r>
    </w:p>
    <w:p w14:paraId="029E616C" w14:textId="67FC558C" w:rsidR="007873CA" w:rsidRPr="007873CA" w:rsidRDefault="007873CA" w:rsidP="007873CA">
      <w:r w:rsidRPr="007873CA">
        <w:rPr>
          <w:lang w:val="en-GB"/>
        </w:rPr>
        <w:t xml:space="preserve">Students who currently have an expiring free student bus pass and will be travelling on Metro or </w:t>
      </w:r>
      <w:proofErr w:type="spellStart"/>
      <w:r w:rsidRPr="007873CA">
        <w:rPr>
          <w:lang w:val="en-GB"/>
        </w:rPr>
        <w:t>Tassielink</w:t>
      </w:r>
      <w:proofErr w:type="spellEnd"/>
      <w:r w:rsidRPr="007873CA">
        <w:rPr>
          <w:lang w:val="en-GB"/>
        </w:rPr>
        <w:t xml:space="preserve"> in 2017, should not throw </w:t>
      </w:r>
      <w:r w:rsidR="00D227E5">
        <w:rPr>
          <w:lang w:val="en-GB"/>
        </w:rPr>
        <w:t>away</w:t>
      </w:r>
      <w:r w:rsidR="00D227E5" w:rsidRPr="007873CA">
        <w:rPr>
          <w:lang w:val="en-GB"/>
        </w:rPr>
        <w:t xml:space="preserve"> </w:t>
      </w:r>
      <w:r w:rsidRPr="007873CA">
        <w:rPr>
          <w:lang w:val="en-GB"/>
        </w:rPr>
        <w:t>their current card.  If eligible for free travel in 2017, this entitlement will be applied to their existing card – they will not receive a new card.</w:t>
      </w:r>
    </w:p>
    <w:p w14:paraId="05202BAD" w14:textId="77777777" w:rsidR="00877C92" w:rsidRDefault="00877C92" w:rsidP="00877C92">
      <w:pPr>
        <w:pStyle w:val="Heading1"/>
        <w:spacing w:before="360" w:after="120"/>
        <w:ind w:right="142"/>
        <w:jc w:val="both"/>
        <w:rPr>
          <w:color w:val="009999"/>
        </w:rPr>
      </w:pPr>
      <w:r>
        <w:rPr>
          <w:color w:val="009999"/>
        </w:rPr>
        <w:t>Duty of Care</w:t>
      </w:r>
    </w:p>
    <w:p w14:paraId="3E383FEC" w14:textId="77777777" w:rsidR="00877C92" w:rsidRDefault="00877C92" w:rsidP="00877C92">
      <w:r>
        <w:t xml:space="preserve">There has been a few incidents lately which has given us cause to remind you of the duty of care you owe to students while travelling on your buses. We ask that you please remind your drivers that this duty of care extends to them as well. </w:t>
      </w:r>
    </w:p>
    <w:p w14:paraId="110C0ACF" w14:textId="77777777" w:rsidR="00D02253" w:rsidRDefault="00D02253" w:rsidP="004F55E1">
      <w:pPr>
        <w:pStyle w:val="Heading1"/>
        <w:spacing w:before="360" w:after="120"/>
        <w:ind w:right="142"/>
        <w:jc w:val="both"/>
        <w:rPr>
          <w:color w:val="009999"/>
        </w:rPr>
      </w:pPr>
      <w:r>
        <w:rPr>
          <w:color w:val="009999"/>
        </w:rPr>
        <w:lastRenderedPageBreak/>
        <w:t>Roadworks</w:t>
      </w:r>
    </w:p>
    <w:p w14:paraId="16075EE0" w14:textId="566ADBD6" w:rsidR="00D02253" w:rsidRPr="00D02253" w:rsidRDefault="00D02253" w:rsidP="00D02253">
      <w:r>
        <w:t xml:space="preserve">As most operators would be aware, there are currently quite a number of roadworks projects underway across the </w:t>
      </w:r>
      <w:r w:rsidR="00C3151B">
        <w:t>S</w:t>
      </w:r>
      <w:r>
        <w:t>tate.  In some cases this is c</w:t>
      </w:r>
      <w:r w:rsidR="004D2270">
        <w:t>ausing significant service delays</w:t>
      </w:r>
      <w:r>
        <w:t xml:space="preserve">.  </w:t>
      </w:r>
      <w:r w:rsidR="004D2270">
        <w:t xml:space="preserve">With college exams starting soon, if you believe any roadworks on your route may impact your ability to deliver students to school on time, please let us know via email at </w:t>
      </w:r>
      <w:r w:rsidR="004D2270">
        <w:rPr>
          <w:color w:val="009999"/>
          <w:lang w:val="en-GB"/>
        </w:rPr>
        <w:t>ptscontracts@stategrowth.tas.gov.au</w:t>
      </w:r>
    </w:p>
    <w:p w14:paraId="7E5643B5" w14:textId="559093B4" w:rsidR="001B36A5" w:rsidRDefault="00B21EA0" w:rsidP="001B36A5">
      <w:pPr>
        <w:pStyle w:val="Heading1"/>
        <w:spacing w:before="360" w:after="120"/>
        <w:ind w:right="142"/>
        <w:jc w:val="both"/>
        <w:rPr>
          <w:color w:val="009999"/>
          <w:lang w:val="en-GB"/>
        </w:rPr>
      </w:pPr>
      <w:r>
        <w:rPr>
          <w:color w:val="009999"/>
          <w:lang w:val="en-GB"/>
        </w:rPr>
        <w:t>A message from Treasury</w:t>
      </w:r>
      <w:r w:rsidR="00721B8A">
        <w:rPr>
          <w:color w:val="009999"/>
          <w:lang w:val="en-GB"/>
        </w:rPr>
        <w:t xml:space="preserve"> – Caltex fuel discounts</w:t>
      </w:r>
    </w:p>
    <w:p w14:paraId="4E7072CB" w14:textId="77777777" w:rsidR="004D4847" w:rsidRDefault="00B21EA0" w:rsidP="00B21EA0">
      <w:pPr>
        <w:rPr>
          <w:lang w:val="en-GB"/>
        </w:rPr>
      </w:pPr>
      <w:r>
        <w:rPr>
          <w:lang w:val="en-GB"/>
        </w:rPr>
        <w:t>The Tasmanian Government has established a contract for the supply of petroleum products with Caltex Australia Petroleum Pty Ltd, which commenced on 1 January 2014.  As the primary supplier of fuel to the Tasmanian Government, Caltex</w:t>
      </w:r>
      <w:r w:rsidR="00671145">
        <w:rPr>
          <w:lang w:val="en-GB"/>
        </w:rPr>
        <w:t>,</w:t>
      </w:r>
      <w:r>
        <w:rPr>
          <w:lang w:val="en-GB"/>
        </w:rPr>
        <w:t xml:space="preserve"> together with its business partners Bennett’s Petroleum and </w:t>
      </w:r>
      <w:proofErr w:type="spellStart"/>
      <w:r>
        <w:rPr>
          <w:lang w:val="en-GB"/>
        </w:rPr>
        <w:t>Caltas</w:t>
      </w:r>
      <w:proofErr w:type="spellEnd"/>
      <w:r>
        <w:rPr>
          <w:lang w:val="en-GB"/>
        </w:rPr>
        <w:t>, provide</w:t>
      </w:r>
      <w:r w:rsidR="00671145">
        <w:rPr>
          <w:lang w:val="en-GB"/>
        </w:rPr>
        <w:t>s</w:t>
      </w:r>
      <w:r>
        <w:rPr>
          <w:lang w:val="en-GB"/>
        </w:rPr>
        <w:t xml:space="preserve"> an extensive fuel supply network across the State.</w:t>
      </w:r>
    </w:p>
    <w:p w14:paraId="4AF0C6F6" w14:textId="77777777" w:rsidR="00B21EA0" w:rsidRDefault="00B21EA0" w:rsidP="00B21EA0">
      <w:pPr>
        <w:rPr>
          <w:lang w:val="en-GB"/>
        </w:rPr>
      </w:pPr>
      <w:r>
        <w:rPr>
          <w:lang w:val="en-GB"/>
        </w:rPr>
        <w:t>Caltex is a major fuel provider within Tasmania, providing fuel cards (</w:t>
      </w:r>
      <w:proofErr w:type="spellStart"/>
      <w:r>
        <w:rPr>
          <w:lang w:val="en-GB"/>
        </w:rPr>
        <w:t>Starcards</w:t>
      </w:r>
      <w:proofErr w:type="spellEnd"/>
      <w:r>
        <w:rPr>
          <w:lang w:val="en-GB"/>
        </w:rPr>
        <w:t>) to a range of both government and corporate customers.  Fuel card products available under the Tasmanian Government contract include unleaded, premium unleaded, Vortex unleaded, low sulphur diesel, Vortex diesel and LPG.  Caltex offer</w:t>
      </w:r>
      <w:r w:rsidR="00671145">
        <w:rPr>
          <w:lang w:val="en-GB"/>
        </w:rPr>
        <w:t>s</w:t>
      </w:r>
      <w:r>
        <w:rPr>
          <w:lang w:val="en-GB"/>
        </w:rPr>
        <w:t xml:space="preserve"> competitive pricing across Tier One sites which are located in all major regions within the State.  Therefore, it is strongly encouraged that your organisation consider transitioning to Caltex, if practical to do so.</w:t>
      </w:r>
    </w:p>
    <w:p w14:paraId="120DB6D1" w14:textId="77777777" w:rsidR="00B21EA0" w:rsidRPr="001B36A5" w:rsidRDefault="00B21EA0" w:rsidP="00B21EA0">
      <w:pPr>
        <w:rPr>
          <w:lang w:val="en-GB"/>
        </w:rPr>
      </w:pPr>
      <w:r>
        <w:rPr>
          <w:lang w:val="en-GB"/>
        </w:rPr>
        <w:t xml:space="preserve">Customer wishing to obtain further information in relation to the Government’s petroleum products contract, including site details, pricing and products can contact Wendi </w:t>
      </w:r>
      <w:proofErr w:type="spellStart"/>
      <w:r>
        <w:rPr>
          <w:lang w:val="en-GB"/>
        </w:rPr>
        <w:t>Bulfin</w:t>
      </w:r>
      <w:proofErr w:type="spellEnd"/>
      <w:r>
        <w:rPr>
          <w:lang w:val="en-GB"/>
        </w:rPr>
        <w:t xml:space="preserve"> at the Department of Treasury and Finance on 6166 4219 or via email at</w:t>
      </w:r>
      <w:r w:rsidR="00C777F9">
        <w:rPr>
          <w:lang w:val="en-GB"/>
        </w:rPr>
        <w:t xml:space="preserve"> </w:t>
      </w:r>
      <w:r w:rsidR="00C777F9">
        <w:rPr>
          <w:color w:val="009999"/>
          <w:lang w:val="en-GB"/>
        </w:rPr>
        <w:t>wendi.bulfin@treasury.tas.gov.au</w:t>
      </w:r>
    </w:p>
    <w:p w14:paraId="332B3589" w14:textId="5679D9D9" w:rsidR="00D679D9" w:rsidRDefault="00721B8A" w:rsidP="001445FB">
      <w:pPr>
        <w:pStyle w:val="Heading1"/>
        <w:spacing w:before="360" w:after="120"/>
        <w:ind w:right="142"/>
        <w:jc w:val="both"/>
        <w:rPr>
          <w:color w:val="009999"/>
          <w:lang w:val="en-GB"/>
        </w:rPr>
      </w:pPr>
      <w:r>
        <w:rPr>
          <w:color w:val="009999"/>
          <w:lang w:val="en-GB"/>
        </w:rPr>
        <w:t>Changes to the b</w:t>
      </w:r>
      <w:r w:rsidR="006E35AF">
        <w:rPr>
          <w:color w:val="009999"/>
          <w:lang w:val="en-GB"/>
        </w:rPr>
        <w:t xml:space="preserve">ulk </w:t>
      </w:r>
      <w:r>
        <w:rPr>
          <w:color w:val="009999"/>
          <w:lang w:val="en-GB"/>
        </w:rPr>
        <w:t>f</w:t>
      </w:r>
      <w:r w:rsidR="006E35AF">
        <w:rPr>
          <w:color w:val="009999"/>
          <w:lang w:val="en-GB"/>
        </w:rPr>
        <w:t xml:space="preserve">uel </w:t>
      </w:r>
      <w:r>
        <w:rPr>
          <w:color w:val="009999"/>
          <w:lang w:val="en-GB"/>
        </w:rPr>
        <w:t>p</w:t>
      </w:r>
      <w:r w:rsidR="006E35AF">
        <w:rPr>
          <w:color w:val="009999"/>
          <w:lang w:val="en-GB"/>
        </w:rPr>
        <w:t xml:space="preserve">urchase </w:t>
      </w:r>
      <w:r>
        <w:rPr>
          <w:color w:val="009999"/>
          <w:lang w:val="en-GB"/>
        </w:rPr>
        <w:t>s</w:t>
      </w:r>
      <w:r w:rsidR="006E35AF">
        <w:rPr>
          <w:color w:val="009999"/>
          <w:lang w:val="en-GB"/>
        </w:rPr>
        <w:t>cheme</w:t>
      </w:r>
    </w:p>
    <w:p w14:paraId="1BB198CC" w14:textId="1BA74FD9" w:rsidR="006A486E" w:rsidRDefault="005A5680" w:rsidP="00D679D9">
      <w:pPr>
        <w:rPr>
          <w:lang w:val="en-GB"/>
        </w:rPr>
      </w:pPr>
      <w:r>
        <w:rPr>
          <w:lang w:val="en-GB"/>
        </w:rPr>
        <w:t xml:space="preserve">A reminder that access </w:t>
      </w:r>
      <w:r w:rsidR="006A486E">
        <w:rPr>
          <w:lang w:val="en-GB"/>
        </w:rPr>
        <w:t xml:space="preserve">to the Bulk Fuel Purchase Scheme through the Tasmanian Government is available to </w:t>
      </w:r>
      <w:r w:rsidR="00721B8A">
        <w:rPr>
          <w:lang w:val="en-GB"/>
        </w:rPr>
        <w:t xml:space="preserve">operators on </w:t>
      </w:r>
      <w:r w:rsidR="006A486E">
        <w:rPr>
          <w:lang w:val="en-GB"/>
        </w:rPr>
        <w:t xml:space="preserve">contracts that provide a </w:t>
      </w:r>
      <w:r w:rsidR="00D7410A">
        <w:rPr>
          <w:lang w:val="en-GB"/>
        </w:rPr>
        <w:t>student regular passenger transport</w:t>
      </w:r>
      <w:r w:rsidR="006A486E">
        <w:rPr>
          <w:lang w:val="en-GB"/>
        </w:rPr>
        <w:t xml:space="preserve"> service.  For each student-only contract, one fuel card for each bus used to service that contract</w:t>
      </w:r>
      <w:r w:rsidR="005368F8">
        <w:rPr>
          <w:lang w:val="en-GB"/>
        </w:rPr>
        <w:t xml:space="preserve"> </w:t>
      </w:r>
      <w:r w:rsidR="001813C3">
        <w:rPr>
          <w:lang w:val="en-GB"/>
        </w:rPr>
        <w:t xml:space="preserve">can </w:t>
      </w:r>
      <w:r w:rsidR="005368F8">
        <w:rPr>
          <w:lang w:val="en-GB"/>
        </w:rPr>
        <w:t>be approved</w:t>
      </w:r>
      <w:r w:rsidR="006A486E">
        <w:rPr>
          <w:lang w:val="en-GB"/>
        </w:rPr>
        <w:t xml:space="preserve">, </w:t>
      </w:r>
      <w:r w:rsidR="00D7410A">
        <w:rPr>
          <w:lang w:val="en-GB"/>
        </w:rPr>
        <w:t>along with</w:t>
      </w:r>
      <w:r w:rsidR="006A486E">
        <w:rPr>
          <w:lang w:val="en-GB"/>
        </w:rPr>
        <w:t xml:space="preserve"> </w:t>
      </w:r>
      <w:r w:rsidR="00D7410A">
        <w:rPr>
          <w:lang w:val="en-GB"/>
        </w:rPr>
        <w:t>one additional</w:t>
      </w:r>
      <w:r w:rsidR="006A486E">
        <w:rPr>
          <w:lang w:val="en-GB"/>
        </w:rPr>
        <w:t xml:space="preserve"> fuel card </w:t>
      </w:r>
      <w:r w:rsidR="00D7410A">
        <w:rPr>
          <w:lang w:val="en-GB"/>
        </w:rPr>
        <w:t xml:space="preserve">per contract </w:t>
      </w:r>
      <w:r w:rsidR="006A486E">
        <w:rPr>
          <w:lang w:val="en-GB"/>
        </w:rPr>
        <w:t xml:space="preserve">for a </w:t>
      </w:r>
      <w:r w:rsidR="00D7410A">
        <w:rPr>
          <w:lang w:val="en-GB"/>
        </w:rPr>
        <w:t>support vehicle.</w:t>
      </w:r>
    </w:p>
    <w:p w14:paraId="073F7D4A" w14:textId="7CAEEE87" w:rsidR="00D7410A" w:rsidRDefault="005A5680" w:rsidP="00D679D9">
      <w:pPr>
        <w:rPr>
          <w:lang w:val="en-GB"/>
        </w:rPr>
      </w:pPr>
      <w:r>
        <w:rPr>
          <w:lang w:val="en-GB"/>
        </w:rPr>
        <w:t xml:space="preserve">All fuel cards issued by </w:t>
      </w:r>
      <w:r w:rsidR="00721B8A">
        <w:rPr>
          <w:lang w:val="en-GB"/>
        </w:rPr>
        <w:t>State Growth</w:t>
      </w:r>
      <w:r>
        <w:rPr>
          <w:lang w:val="en-GB"/>
        </w:rPr>
        <w:t xml:space="preserve"> </w:t>
      </w:r>
      <w:r w:rsidR="00D7410A">
        <w:rPr>
          <w:lang w:val="en-GB"/>
        </w:rPr>
        <w:t>must be used strictly in connection with the provision of a student-only service.</w:t>
      </w:r>
    </w:p>
    <w:p w14:paraId="5FC5E8DF" w14:textId="5E01A1CF" w:rsidR="007A5FB2" w:rsidRDefault="00107F25" w:rsidP="00D679D9">
      <w:pPr>
        <w:rPr>
          <w:lang w:val="en-GB"/>
        </w:rPr>
      </w:pPr>
      <w:r>
        <w:rPr>
          <w:lang w:val="en-GB"/>
        </w:rPr>
        <w:t xml:space="preserve">Please be advised from November 2016 there will be an increase to fees related to the Scheme, in line with the administrative costs incurred </w:t>
      </w:r>
      <w:r w:rsidR="0066531B">
        <w:rPr>
          <w:lang w:val="en-GB"/>
        </w:rPr>
        <w:t xml:space="preserve">by </w:t>
      </w:r>
      <w:r w:rsidR="007A5FB2">
        <w:rPr>
          <w:lang w:val="en-GB"/>
        </w:rPr>
        <w:t>State Growth in administering access for bus operators</w:t>
      </w:r>
      <w:r>
        <w:rPr>
          <w:lang w:val="en-GB"/>
        </w:rPr>
        <w:t>.</w:t>
      </w:r>
      <w:r w:rsidR="00D7410A">
        <w:rPr>
          <w:lang w:val="en-GB"/>
        </w:rPr>
        <w:t xml:space="preserve">  </w:t>
      </w:r>
    </w:p>
    <w:p w14:paraId="40C7CCF8" w14:textId="77777777" w:rsidR="007A5FB2" w:rsidRDefault="00107F25" w:rsidP="00D679D9">
      <w:pPr>
        <w:rPr>
          <w:lang w:val="en-GB"/>
        </w:rPr>
      </w:pPr>
      <w:r>
        <w:rPr>
          <w:lang w:val="en-GB"/>
        </w:rPr>
        <w:t>The annual fee will increase to $40 per active card</w:t>
      </w:r>
      <w:r w:rsidR="001813C3">
        <w:rPr>
          <w:lang w:val="en-GB"/>
        </w:rPr>
        <w:t>.</w:t>
      </w:r>
      <w:r>
        <w:rPr>
          <w:lang w:val="en-GB"/>
        </w:rPr>
        <w:t xml:space="preserve">   </w:t>
      </w:r>
    </w:p>
    <w:p w14:paraId="7BE41E82" w14:textId="77777777" w:rsidR="007A5FB2" w:rsidRDefault="00D7410A" w:rsidP="00D679D9">
      <w:pPr>
        <w:rPr>
          <w:lang w:val="en-GB"/>
        </w:rPr>
      </w:pPr>
      <w:r>
        <w:rPr>
          <w:lang w:val="en-GB"/>
        </w:rPr>
        <w:t>Replacement fuel cards w</w:t>
      </w:r>
      <w:r w:rsidR="005A5680">
        <w:rPr>
          <w:lang w:val="en-GB"/>
        </w:rPr>
        <w:t xml:space="preserve">ill be charged at $40 per </w:t>
      </w:r>
      <w:r w:rsidR="005368F8">
        <w:rPr>
          <w:lang w:val="en-GB"/>
        </w:rPr>
        <w:t xml:space="preserve">replacement </w:t>
      </w:r>
      <w:r w:rsidR="005A5680">
        <w:rPr>
          <w:lang w:val="en-GB"/>
        </w:rPr>
        <w:t>card</w:t>
      </w:r>
      <w:r w:rsidR="00107F25">
        <w:rPr>
          <w:lang w:val="en-GB"/>
        </w:rPr>
        <w:t xml:space="preserve">.  </w:t>
      </w:r>
    </w:p>
    <w:p w14:paraId="29B635AF" w14:textId="7973689E" w:rsidR="00D679D9" w:rsidRDefault="005A5680" w:rsidP="00D679D9">
      <w:pPr>
        <w:rPr>
          <w:lang w:val="en-GB"/>
        </w:rPr>
      </w:pPr>
      <w:r>
        <w:rPr>
          <w:lang w:val="en-GB"/>
        </w:rPr>
        <w:t>New cards will remain at a cost of $40</w:t>
      </w:r>
      <w:r w:rsidR="005368F8">
        <w:rPr>
          <w:lang w:val="en-GB"/>
        </w:rPr>
        <w:t xml:space="preserve"> per card</w:t>
      </w:r>
      <w:r>
        <w:rPr>
          <w:lang w:val="en-GB"/>
        </w:rPr>
        <w:t>.</w:t>
      </w:r>
    </w:p>
    <w:p w14:paraId="4E363E16" w14:textId="77777777" w:rsidR="00107F25" w:rsidRDefault="00107F25" w:rsidP="00D679D9">
      <w:pPr>
        <w:rPr>
          <w:lang w:val="en-GB"/>
        </w:rPr>
      </w:pPr>
      <w:r>
        <w:rPr>
          <w:lang w:val="en-GB"/>
        </w:rPr>
        <w:t>All current participants of the Scheme will soon receive a letter containing a list of the active fuel cards in your possession, in preparation for the annual fee to be processed in November 2016.</w:t>
      </w:r>
    </w:p>
    <w:p w14:paraId="11F89EB9" w14:textId="77777777" w:rsidR="0066531B" w:rsidRPr="00D679D9" w:rsidRDefault="0066531B" w:rsidP="00D679D9">
      <w:pPr>
        <w:rPr>
          <w:lang w:val="en-GB"/>
        </w:rPr>
      </w:pPr>
      <w:r>
        <w:rPr>
          <w:lang w:val="en-GB"/>
        </w:rPr>
        <w:t xml:space="preserve">Should you have any questions in relation to the Bulk Fuel Purchase Scheme, please contact Passenger Transport at </w:t>
      </w:r>
      <w:r>
        <w:rPr>
          <w:color w:val="009999"/>
          <w:lang w:val="en-GB"/>
        </w:rPr>
        <w:t>ptscontracts@stategrowth.tas.gov.au</w:t>
      </w:r>
    </w:p>
    <w:p w14:paraId="09EDD2B0" w14:textId="77777777" w:rsidR="001445FB" w:rsidRPr="00954FE5" w:rsidRDefault="001445FB" w:rsidP="001445FB">
      <w:pPr>
        <w:pStyle w:val="Heading1"/>
        <w:spacing w:before="360" w:after="120"/>
        <w:ind w:right="142"/>
        <w:jc w:val="both"/>
        <w:rPr>
          <w:color w:val="009999"/>
          <w:lang w:val="en-GB"/>
        </w:rPr>
      </w:pPr>
      <w:r w:rsidRPr="00954FE5">
        <w:rPr>
          <w:color w:val="009999"/>
          <w:lang w:val="en-GB"/>
        </w:rPr>
        <w:t>Bus cost model index (BCMI)</w:t>
      </w:r>
    </w:p>
    <w:p w14:paraId="03B85540" w14:textId="77777777" w:rsidR="001445FB" w:rsidRDefault="001445FB" w:rsidP="00CB40F2">
      <w:pPr>
        <w:ind w:right="142"/>
        <w:jc w:val="both"/>
        <w:rPr>
          <w:lang w:val="en-GB"/>
        </w:rPr>
      </w:pPr>
      <w:r w:rsidRPr="00555E87">
        <w:rPr>
          <w:lang w:val="en-GB"/>
        </w:rPr>
        <w:t xml:space="preserve">The BCMI has been calculated for </w:t>
      </w:r>
      <w:r w:rsidR="00AF46E5">
        <w:rPr>
          <w:color w:val="009999"/>
          <w:lang w:val="en-GB"/>
        </w:rPr>
        <w:t>October</w:t>
      </w:r>
      <w:r w:rsidRPr="00954FE5">
        <w:rPr>
          <w:color w:val="009999"/>
          <w:lang w:val="en-GB"/>
        </w:rPr>
        <w:t xml:space="preserve"> 2016 </w:t>
      </w:r>
      <w:r w:rsidR="00AF46E5">
        <w:rPr>
          <w:lang w:val="en-GB"/>
        </w:rPr>
        <w:t xml:space="preserve">and is </w:t>
      </w:r>
      <w:r w:rsidR="00B21EA0">
        <w:rPr>
          <w:color w:val="009999"/>
          <w:lang w:val="en-GB"/>
        </w:rPr>
        <w:t>118.0</w:t>
      </w:r>
    </w:p>
    <w:p w14:paraId="51AB2B47" w14:textId="77777777" w:rsidR="00EF0882" w:rsidRPr="00954FE5" w:rsidRDefault="00555E87" w:rsidP="00CB40F2">
      <w:pPr>
        <w:keepNext/>
        <w:spacing w:before="360" w:after="120"/>
        <w:ind w:right="142"/>
        <w:rPr>
          <w:color w:val="009999"/>
          <w:sz w:val="36"/>
          <w:highlight w:val="yellow"/>
          <w:lang w:val="en-GB"/>
        </w:rPr>
      </w:pPr>
      <w:r w:rsidRPr="00954FE5">
        <w:rPr>
          <w:color w:val="009999"/>
          <w:sz w:val="36"/>
          <w:lang w:val="en-GB"/>
        </w:rPr>
        <w:lastRenderedPageBreak/>
        <w:t>Capital rates</w:t>
      </w:r>
    </w:p>
    <w:p w14:paraId="2EA81105" w14:textId="77777777" w:rsidR="00EF0882" w:rsidRPr="00555E87" w:rsidRDefault="00EF0882" w:rsidP="000B3A90">
      <w:pPr>
        <w:ind w:right="142"/>
        <w:jc w:val="both"/>
        <w:rPr>
          <w:lang w:val="en-GB"/>
        </w:rPr>
      </w:pPr>
      <w:r w:rsidRPr="00555E87">
        <w:rPr>
          <w:lang w:val="en-GB"/>
        </w:rPr>
        <w:t xml:space="preserve">The Capital Payment rates have been calculated for the quarter commencing </w:t>
      </w:r>
      <w:r w:rsidR="00F0224E">
        <w:rPr>
          <w:color w:val="009999"/>
          <w:lang w:val="en-GB"/>
        </w:rPr>
        <w:t>October</w:t>
      </w:r>
      <w:r w:rsidRPr="00954FE5">
        <w:rPr>
          <w:color w:val="009999"/>
          <w:lang w:val="en-GB"/>
        </w:rPr>
        <w:t xml:space="preserve"> 2016</w:t>
      </w:r>
      <w:r w:rsidRPr="00555E87">
        <w:rPr>
          <w:lang w:val="en-GB"/>
        </w:rPr>
        <w:t>.  Please consider these rates before making changes to your contract.</w:t>
      </w:r>
    </w:p>
    <w:p w14:paraId="00A1B893" w14:textId="77777777" w:rsidR="00EF0882" w:rsidRPr="00555E87" w:rsidRDefault="00EF0882" w:rsidP="000B3A90">
      <w:pPr>
        <w:spacing w:after="0"/>
        <w:ind w:right="142"/>
        <w:jc w:val="both"/>
        <w:rPr>
          <w:lang w:val="en-GB"/>
        </w:rPr>
      </w:pPr>
      <w:r w:rsidRPr="00555E87">
        <w:rPr>
          <w:lang w:val="en-GB"/>
        </w:rPr>
        <w:t>For all fare-paying operators, the rates applicable to your monthly contract payment can be found on your Statement of Payment.</w:t>
      </w:r>
    </w:p>
    <w:tbl>
      <w:tblPr>
        <w:tblStyle w:val="ListTable1Light"/>
        <w:tblpPr w:leftFromText="180" w:rightFromText="180" w:vertAnchor="text" w:horzAnchor="page" w:tblpX="1726" w:tblpY="25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843"/>
        <w:gridCol w:w="1843"/>
      </w:tblGrid>
      <w:tr w:rsidR="00954FE5" w:rsidRPr="00781905" w14:paraId="47EEB8B2" w14:textId="77777777" w:rsidTr="00AF46E5">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57328504" w14:textId="77777777" w:rsidR="00954FE5" w:rsidRPr="001A4B73" w:rsidRDefault="001A4B73" w:rsidP="000B3A90">
            <w:pPr>
              <w:ind w:right="142"/>
              <w:rPr>
                <w:b w:val="0"/>
                <w:color w:val="009999"/>
                <w:sz w:val="24"/>
                <w:lang w:val="en-GB"/>
              </w:rPr>
            </w:pPr>
            <w:r>
              <w:rPr>
                <w:b w:val="0"/>
                <w:color w:val="009999"/>
                <w:sz w:val="24"/>
                <w:lang w:val="en-GB"/>
              </w:rPr>
              <w:t>Contract Type</w:t>
            </w:r>
          </w:p>
        </w:tc>
        <w:tc>
          <w:tcPr>
            <w:tcW w:w="1843" w:type="dxa"/>
            <w:vAlign w:val="center"/>
          </w:tcPr>
          <w:p w14:paraId="4825CB56" w14:textId="77777777" w:rsidR="00954FE5" w:rsidRPr="001A4B73" w:rsidRDefault="00B21EA0" w:rsidP="000B3A90">
            <w:pPr>
              <w:ind w:right="142"/>
              <w:cnfStyle w:val="100000000000" w:firstRow="1" w:lastRow="0" w:firstColumn="0" w:lastColumn="0" w:oddVBand="0" w:evenVBand="0" w:oddHBand="0" w:evenHBand="0" w:firstRowFirstColumn="0" w:firstRowLastColumn="0" w:lastRowFirstColumn="0" w:lastRowLastColumn="0"/>
              <w:rPr>
                <w:b w:val="0"/>
                <w:color w:val="009999"/>
                <w:sz w:val="24"/>
                <w:lang w:val="en-GB"/>
              </w:rPr>
            </w:pPr>
            <w:r>
              <w:rPr>
                <w:b w:val="0"/>
                <w:color w:val="009999"/>
                <w:sz w:val="24"/>
                <w:lang w:val="en-GB"/>
              </w:rPr>
              <w:t>July</w:t>
            </w:r>
            <w:r w:rsidR="00954FE5" w:rsidRPr="001A4B73">
              <w:rPr>
                <w:b w:val="0"/>
                <w:color w:val="009999"/>
                <w:sz w:val="24"/>
                <w:lang w:val="en-GB"/>
              </w:rPr>
              <w:t xml:space="preserve"> 2016</w:t>
            </w:r>
          </w:p>
        </w:tc>
        <w:tc>
          <w:tcPr>
            <w:tcW w:w="1843" w:type="dxa"/>
            <w:vAlign w:val="center"/>
          </w:tcPr>
          <w:p w14:paraId="6CF68239" w14:textId="77777777" w:rsidR="00954FE5" w:rsidRPr="001A4B73" w:rsidRDefault="00AF46E5" w:rsidP="000B3A90">
            <w:pPr>
              <w:ind w:right="142"/>
              <w:cnfStyle w:val="100000000000" w:firstRow="1" w:lastRow="0" w:firstColumn="0" w:lastColumn="0" w:oddVBand="0" w:evenVBand="0" w:oddHBand="0" w:evenHBand="0" w:firstRowFirstColumn="0" w:firstRowLastColumn="0" w:lastRowFirstColumn="0" w:lastRowLastColumn="0"/>
              <w:rPr>
                <w:b w:val="0"/>
                <w:color w:val="009999"/>
                <w:sz w:val="24"/>
                <w:lang w:val="en-GB"/>
              </w:rPr>
            </w:pPr>
            <w:r>
              <w:rPr>
                <w:b w:val="0"/>
                <w:color w:val="009999"/>
                <w:sz w:val="24"/>
                <w:lang w:val="en-GB"/>
              </w:rPr>
              <w:t>October</w:t>
            </w:r>
            <w:r w:rsidR="00954FE5" w:rsidRPr="001A4B73">
              <w:rPr>
                <w:b w:val="0"/>
                <w:color w:val="009999"/>
                <w:sz w:val="24"/>
                <w:lang w:val="en-GB"/>
              </w:rPr>
              <w:t xml:space="preserve"> 2016</w:t>
            </w:r>
          </w:p>
        </w:tc>
      </w:tr>
      <w:tr w:rsidR="00DA25E5" w:rsidRPr="00555E87" w14:paraId="1CB3AEC7" w14:textId="77777777" w:rsidTr="00AF46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shd w:val="clear" w:color="auto" w:fill="BDD6EE" w:themeFill="accent1" w:themeFillTint="66"/>
            <w:vAlign w:val="center"/>
          </w:tcPr>
          <w:p w14:paraId="2C306566" w14:textId="77777777" w:rsidR="00DA25E5" w:rsidRPr="00555E87" w:rsidRDefault="00DA25E5" w:rsidP="00DA25E5">
            <w:pPr>
              <w:ind w:right="142"/>
              <w:rPr>
                <w:b w:val="0"/>
                <w:lang w:val="en-GB"/>
              </w:rPr>
            </w:pPr>
            <w:r w:rsidRPr="00555E87">
              <w:rPr>
                <w:b w:val="0"/>
                <w:lang w:val="en-GB"/>
              </w:rPr>
              <w:t>Urban Fringe Student Only</w:t>
            </w:r>
          </w:p>
        </w:tc>
        <w:tc>
          <w:tcPr>
            <w:tcW w:w="1843" w:type="dxa"/>
            <w:shd w:val="clear" w:color="auto" w:fill="BDD6EE" w:themeFill="accent1" w:themeFillTint="66"/>
            <w:vAlign w:val="center"/>
          </w:tcPr>
          <w:p w14:paraId="57AEC0A3" w14:textId="77777777" w:rsidR="00DA25E5" w:rsidRPr="00555E87" w:rsidRDefault="00AF46E5" w:rsidP="00DA25E5">
            <w:pPr>
              <w:ind w:right="142"/>
              <w:cnfStyle w:val="000000100000" w:firstRow="0" w:lastRow="0" w:firstColumn="0" w:lastColumn="0" w:oddVBand="0" w:evenVBand="0" w:oddHBand="1" w:evenHBand="0" w:firstRowFirstColumn="0" w:firstRowLastColumn="0" w:lastRowFirstColumn="0" w:lastRowLastColumn="0"/>
              <w:rPr>
                <w:lang w:val="en-GB"/>
              </w:rPr>
            </w:pPr>
            <w:r>
              <w:rPr>
                <w:lang w:val="en-GB"/>
              </w:rPr>
              <w:t>$1.72</w:t>
            </w:r>
          </w:p>
        </w:tc>
        <w:tc>
          <w:tcPr>
            <w:tcW w:w="1843" w:type="dxa"/>
            <w:tcBorders>
              <w:top w:val="single" w:sz="4" w:space="0" w:color="auto"/>
              <w:left w:val="single" w:sz="4" w:space="0" w:color="auto"/>
              <w:right w:val="single" w:sz="4" w:space="0" w:color="auto"/>
            </w:tcBorders>
            <w:shd w:val="clear" w:color="auto" w:fill="BDD6EE" w:themeFill="accent1" w:themeFillTint="66"/>
            <w:vAlign w:val="center"/>
          </w:tcPr>
          <w:p w14:paraId="66210B19" w14:textId="77777777" w:rsidR="00DA25E5" w:rsidRDefault="00AF46E5" w:rsidP="00DA25E5">
            <w:pPr>
              <w:ind w:right="142"/>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B21EA0">
              <w:rPr>
                <w:lang w:val="en-GB"/>
              </w:rPr>
              <w:t>1.72</w:t>
            </w:r>
          </w:p>
        </w:tc>
      </w:tr>
      <w:tr w:rsidR="00DA25E5" w:rsidRPr="00555E87" w14:paraId="4A33E1EA" w14:textId="77777777" w:rsidTr="00AF46E5">
        <w:trPr>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3444C2F6" w14:textId="77777777" w:rsidR="00DA25E5" w:rsidRPr="00555E87" w:rsidRDefault="00DA25E5" w:rsidP="00DA25E5">
            <w:pPr>
              <w:ind w:right="142"/>
              <w:rPr>
                <w:b w:val="0"/>
                <w:i/>
                <w:lang w:val="en-GB"/>
              </w:rPr>
            </w:pPr>
            <w:r w:rsidRPr="00555E87">
              <w:rPr>
                <w:b w:val="0"/>
                <w:lang w:val="en-GB"/>
              </w:rPr>
              <w:t>Rural Fare Paying</w:t>
            </w:r>
          </w:p>
        </w:tc>
        <w:tc>
          <w:tcPr>
            <w:tcW w:w="1843" w:type="dxa"/>
            <w:vAlign w:val="center"/>
          </w:tcPr>
          <w:p w14:paraId="4CF839D3" w14:textId="77777777" w:rsidR="00DA25E5" w:rsidRPr="00555E87" w:rsidRDefault="00AF46E5" w:rsidP="00DA25E5">
            <w:pPr>
              <w:ind w:right="142"/>
              <w:cnfStyle w:val="000000000000" w:firstRow="0" w:lastRow="0" w:firstColumn="0" w:lastColumn="0" w:oddVBand="0" w:evenVBand="0" w:oddHBand="0" w:evenHBand="0" w:firstRowFirstColumn="0" w:firstRowLastColumn="0" w:lastRowFirstColumn="0" w:lastRowLastColumn="0"/>
              <w:rPr>
                <w:lang w:val="en-GB"/>
              </w:rPr>
            </w:pPr>
            <w:r>
              <w:rPr>
                <w:lang w:val="en-GB"/>
              </w:rPr>
              <w:t>$1.72</w:t>
            </w:r>
          </w:p>
        </w:tc>
        <w:tc>
          <w:tcPr>
            <w:tcW w:w="1843" w:type="dxa"/>
            <w:tcBorders>
              <w:top w:val="single" w:sz="4" w:space="0" w:color="auto"/>
              <w:left w:val="single" w:sz="4" w:space="0" w:color="auto"/>
              <w:bottom w:val="single" w:sz="4" w:space="0" w:color="auto"/>
              <w:right w:val="single" w:sz="4" w:space="0" w:color="auto"/>
            </w:tcBorders>
            <w:vAlign w:val="center"/>
          </w:tcPr>
          <w:p w14:paraId="69CF210D" w14:textId="77777777" w:rsidR="00DA25E5" w:rsidRDefault="00AF46E5" w:rsidP="00DA25E5">
            <w:pPr>
              <w:ind w:right="142"/>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B21EA0">
              <w:rPr>
                <w:lang w:val="en-GB"/>
              </w:rPr>
              <w:t>1.72</w:t>
            </w:r>
          </w:p>
        </w:tc>
      </w:tr>
      <w:tr w:rsidR="00DA25E5" w:rsidRPr="00555E87" w14:paraId="6EE6382E" w14:textId="77777777" w:rsidTr="00AF46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shd w:val="clear" w:color="auto" w:fill="BDD6EE" w:themeFill="accent1" w:themeFillTint="66"/>
            <w:vAlign w:val="center"/>
          </w:tcPr>
          <w:p w14:paraId="436EA0F4" w14:textId="77777777" w:rsidR="00DA25E5" w:rsidRPr="00555E87" w:rsidRDefault="00DA25E5" w:rsidP="00DA25E5">
            <w:pPr>
              <w:ind w:right="142"/>
              <w:rPr>
                <w:b w:val="0"/>
                <w:lang w:val="en-GB"/>
              </w:rPr>
            </w:pPr>
            <w:r w:rsidRPr="00555E87">
              <w:rPr>
                <w:b w:val="0"/>
                <w:lang w:val="en-GB"/>
              </w:rPr>
              <w:t>Long Distance Student Only</w:t>
            </w:r>
          </w:p>
        </w:tc>
        <w:tc>
          <w:tcPr>
            <w:tcW w:w="1843" w:type="dxa"/>
            <w:shd w:val="clear" w:color="auto" w:fill="BDD6EE" w:themeFill="accent1" w:themeFillTint="66"/>
            <w:vAlign w:val="center"/>
          </w:tcPr>
          <w:p w14:paraId="06218D68" w14:textId="77777777" w:rsidR="00DA25E5" w:rsidRPr="00555E87" w:rsidRDefault="00AF46E5" w:rsidP="00DA25E5">
            <w:pPr>
              <w:ind w:right="142"/>
              <w:cnfStyle w:val="000000100000" w:firstRow="0" w:lastRow="0" w:firstColumn="0" w:lastColumn="0" w:oddVBand="0" w:evenVBand="0" w:oddHBand="1" w:evenHBand="0" w:firstRowFirstColumn="0" w:firstRowLastColumn="0" w:lastRowFirstColumn="0" w:lastRowLastColumn="0"/>
              <w:rPr>
                <w:lang w:val="en-GB"/>
              </w:rPr>
            </w:pPr>
            <w:r>
              <w:rPr>
                <w:lang w:val="en-GB"/>
              </w:rPr>
              <w:t>$1.72</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03A7D50" w14:textId="77777777" w:rsidR="00DA25E5" w:rsidRDefault="00AF46E5" w:rsidP="00DA25E5">
            <w:pPr>
              <w:ind w:right="142"/>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B21EA0">
              <w:rPr>
                <w:lang w:val="en-GB"/>
              </w:rPr>
              <w:t>1.72</w:t>
            </w:r>
          </w:p>
        </w:tc>
      </w:tr>
      <w:tr w:rsidR="00DA25E5" w:rsidRPr="00555E87" w14:paraId="29F42E2C" w14:textId="77777777" w:rsidTr="00AF46E5">
        <w:trPr>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11063FEA" w14:textId="77777777" w:rsidR="00DA25E5" w:rsidRPr="00555E87" w:rsidRDefault="00DA25E5" w:rsidP="00DA25E5">
            <w:pPr>
              <w:ind w:right="142"/>
              <w:rPr>
                <w:b w:val="0"/>
                <w:lang w:val="en-GB"/>
              </w:rPr>
            </w:pPr>
            <w:r w:rsidRPr="00555E87">
              <w:rPr>
                <w:b w:val="0"/>
                <w:lang w:val="en-GB"/>
              </w:rPr>
              <w:t>Long Distance General Access</w:t>
            </w:r>
          </w:p>
        </w:tc>
        <w:tc>
          <w:tcPr>
            <w:tcW w:w="1843" w:type="dxa"/>
            <w:vAlign w:val="center"/>
          </w:tcPr>
          <w:p w14:paraId="37CEA995" w14:textId="77777777" w:rsidR="00DA25E5" w:rsidRPr="00555E87" w:rsidRDefault="00DA25E5" w:rsidP="00AF46E5">
            <w:pPr>
              <w:ind w:right="142"/>
              <w:cnfStyle w:val="000000000000" w:firstRow="0" w:lastRow="0" w:firstColumn="0" w:lastColumn="0" w:oddVBand="0" w:evenVBand="0" w:oddHBand="0" w:evenHBand="0" w:firstRowFirstColumn="0" w:firstRowLastColumn="0" w:lastRowFirstColumn="0" w:lastRowLastColumn="0"/>
              <w:rPr>
                <w:lang w:val="en-GB"/>
              </w:rPr>
            </w:pPr>
            <w:r w:rsidRPr="00555E87">
              <w:rPr>
                <w:lang w:val="en-GB"/>
              </w:rPr>
              <w:t>$</w:t>
            </w:r>
            <w:r w:rsidR="00AF46E5">
              <w:rPr>
                <w:lang w:val="en-GB"/>
              </w:rPr>
              <w:t>2.86</w:t>
            </w:r>
          </w:p>
        </w:tc>
        <w:tc>
          <w:tcPr>
            <w:tcW w:w="1843" w:type="dxa"/>
            <w:tcBorders>
              <w:top w:val="single" w:sz="4" w:space="0" w:color="auto"/>
              <w:left w:val="single" w:sz="4" w:space="0" w:color="auto"/>
              <w:bottom w:val="single" w:sz="4" w:space="0" w:color="auto"/>
              <w:right w:val="single" w:sz="4" w:space="0" w:color="auto"/>
            </w:tcBorders>
            <w:vAlign w:val="center"/>
          </w:tcPr>
          <w:p w14:paraId="0E4C8E1A" w14:textId="77777777" w:rsidR="00DA25E5" w:rsidRDefault="00AF46E5" w:rsidP="00E47EF8">
            <w:pPr>
              <w:ind w:right="142"/>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B21EA0">
              <w:rPr>
                <w:lang w:val="en-GB"/>
              </w:rPr>
              <w:t>2.86</w:t>
            </w:r>
          </w:p>
        </w:tc>
      </w:tr>
      <w:tr w:rsidR="00DA25E5" w:rsidRPr="00555E87" w14:paraId="50C727AE" w14:textId="77777777" w:rsidTr="00AF46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shd w:val="clear" w:color="auto" w:fill="BDD6EE" w:themeFill="accent1" w:themeFillTint="66"/>
            <w:vAlign w:val="center"/>
          </w:tcPr>
          <w:p w14:paraId="179C26B4" w14:textId="77777777" w:rsidR="00DA25E5" w:rsidRPr="00555E87" w:rsidRDefault="00DA25E5" w:rsidP="00DA25E5">
            <w:pPr>
              <w:ind w:right="142"/>
              <w:rPr>
                <w:b w:val="0"/>
                <w:lang w:val="en-GB"/>
              </w:rPr>
            </w:pPr>
            <w:r w:rsidRPr="00555E87">
              <w:rPr>
                <w:b w:val="0"/>
                <w:lang w:val="en-GB"/>
              </w:rPr>
              <w:t>Urban Fringe General Access</w:t>
            </w:r>
          </w:p>
        </w:tc>
        <w:tc>
          <w:tcPr>
            <w:tcW w:w="1843" w:type="dxa"/>
            <w:shd w:val="clear" w:color="auto" w:fill="BDD6EE" w:themeFill="accent1" w:themeFillTint="66"/>
            <w:vAlign w:val="center"/>
          </w:tcPr>
          <w:p w14:paraId="5C857D43" w14:textId="77777777" w:rsidR="00DA25E5" w:rsidRPr="00555E87" w:rsidRDefault="00DA25E5" w:rsidP="00AF46E5">
            <w:pPr>
              <w:ind w:right="142"/>
              <w:cnfStyle w:val="000000100000" w:firstRow="0" w:lastRow="0" w:firstColumn="0" w:lastColumn="0" w:oddVBand="0" w:evenVBand="0" w:oddHBand="1" w:evenHBand="0" w:firstRowFirstColumn="0" w:firstRowLastColumn="0" w:lastRowFirstColumn="0" w:lastRowLastColumn="0"/>
              <w:rPr>
                <w:lang w:val="en-GB"/>
              </w:rPr>
            </w:pPr>
            <w:r w:rsidRPr="00555E87">
              <w:rPr>
                <w:lang w:val="en-GB"/>
              </w:rPr>
              <w:t>$</w:t>
            </w:r>
            <w:r w:rsidR="00AF46E5">
              <w:rPr>
                <w:lang w:val="en-GB"/>
              </w:rPr>
              <w:t>2.86</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08236430" w14:textId="77777777" w:rsidR="00DA25E5" w:rsidRDefault="00AF46E5" w:rsidP="00E47EF8">
            <w:pPr>
              <w:ind w:right="142"/>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B21EA0">
              <w:rPr>
                <w:lang w:val="en-GB"/>
              </w:rPr>
              <w:t>2.86</w:t>
            </w:r>
          </w:p>
        </w:tc>
      </w:tr>
      <w:tr w:rsidR="00DA25E5" w:rsidRPr="00555E87" w14:paraId="489E83DF" w14:textId="77777777" w:rsidTr="00AF46E5">
        <w:trPr>
          <w:trHeight w:val="397"/>
        </w:trPr>
        <w:tc>
          <w:tcPr>
            <w:cnfStyle w:val="001000000000" w:firstRow="0" w:lastRow="0" w:firstColumn="1" w:lastColumn="0" w:oddVBand="0" w:evenVBand="0" w:oddHBand="0" w:evenHBand="0" w:firstRowFirstColumn="0" w:firstRowLastColumn="0" w:lastRowFirstColumn="0" w:lastRowLastColumn="0"/>
            <w:tcW w:w="3964" w:type="dxa"/>
            <w:vAlign w:val="center"/>
          </w:tcPr>
          <w:p w14:paraId="034A186E" w14:textId="77777777" w:rsidR="00DA25E5" w:rsidRPr="00555E87" w:rsidRDefault="00DA25E5" w:rsidP="00DA25E5">
            <w:pPr>
              <w:ind w:right="142"/>
              <w:rPr>
                <w:b w:val="0"/>
                <w:lang w:val="en-GB"/>
              </w:rPr>
            </w:pPr>
            <w:r w:rsidRPr="00555E87">
              <w:rPr>
                <w:b w:val="0"/>
                <w:lang w:val="en-GB"/>
              </w:rPr>
              <w:t>Urban</w:t>
            </w:r>
          </w:p>
        </w:tc>
        <w:tc>
          <w:tcPr>
            <w:tcW w:w="1843" w:type="dxa"/>
            <w:vAlign w:val="center"/>
          </w:tcPr>
          <w:p w14:paraId="4C97DBBF" w14:textId="77777777" w:rsidR="00DA25E5" w:rsidRPr="00555E87" w:rsidRDefault="00DA25E5" w:rsidP="00AF46E5">
            <w:pPr>
              <w:ind w:right="142"/>
              <w:cnfStyle w:val="000000000000" w:firstRow="0" w:lastRow="0" w:firstColumn="0" w:lastColumn="0" w:oddVBand="0" w:evenVBand="0" w:oddHBand="0" w:evenHBand="0" w:firstRowFirstColumn="0" w:firstRowLastColumn="0" w:lastRowFirstColumn="0" w:lastRowLastColumn="0"/>
              <w:rPr>
                <w:lang w:val="en-GB"/>
              </w:rPr>
            </w:pPr>
            <w:r w:rsidRPr="00555E87">
              <w:rPr>
                <w:lang w:val="en-GB"/>
              </w:rPr>
              <w:t>$</w:t>
            </w:r>
            <w:r w:rsidR="00AF46E5">
              <w:rPr>
                <w:lang w:val="en-GB"/>
              </w:rPr>
              <w:t>1.01</w:t>
            </w:r>
          </w:p>
        </w:tc>
        <w:tc>
          <w:tcPr>
            <w:tcW w:w="1843" w:type="dxa"/>
            <w:tcBorders>
              <w:top w:val="single" w:sz="4" w:space="0" w:color="auto"/>
              <w:left w:val="single" w:sz="4" w:space="0" w:color="auto"/>
              <w:bottom w:val="single" w:sz="4" w:space="0" w:color="auto"/>
              <w:right w:val="single" w:sz="4" w:space="0" w:color="auto"/>
            </w:tcBorders>
            <w:vAlign w:val="center"/>
          </w:tcPr>
          <w:p w14:paraId="78D61989" w14:textId="77777777" w:rsidR="00DA25E5" w:rsidRDefault="00DA25E5" w:rsidP="00DA25E5">
            <w:pPr>
              <w:ind w:right="142"/>
              <w:cnfStyle w:val="000000000000" w:firstRow="0" w:lastRow="0" w:firstColumn="0" w:lastColumn="0" w:oddVBand="0" w:evenVBand="0" w:oddHBand="0" w:evenHBand="0" w:firstRowFirstColumn="0" w:firstRowLastColumn="0" w:lastRowFirstColumn="0" w:lastRowLastColumn="0"/>
              <w:rPr>
                <w:lang w:val="en-GB"/>
              </w:rPr>
            </w:pPr>
            <w:r>
              <w:rPr>
                <w:lang w:val="en-GB"/>
              </w:rPr>
              <w:t>$</w:t>
            </w:r>
            <w:r w:rsidR="00B21EA0">
              <w:rPr>
                <w:lang w:val="en-GB"/>
              </w:rPr>
              <w:t>1.01</w:t>
            </w:r>
          </w:p>
        </w:tc>
      </w:tr>
      <w:tr w:rsidR="00DA25E5" w:rsidRPr="00555E87" w14:paraId="0220D060" w14:textId="77777777" w:rsidTr="00AF46E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964" w:type="dxa"/>
            <w:shd w:val="clear" w:color="auto" w:fill="BDD6EE" w:themeFill="accent1" w:themeFillTint="66"/>
            <w:vAlign w:val="center"/>
          </w:tcPr>
          <w:p w14:paraId="0435D975" w14:textId="77777777" w:rsidR="00DA25E5" w:rsidRPr="00555E87" w:rsidRDefault="00DA25E5" w:rsidP="00DA25E5">
            <w:pPr>
              <w:ind w:right="142"/>
              <w:rPr>
                <w:b w:val="0"/>
                <w:lang w:val="en-GB"/>
              </w:rPr>
            </w:pPr>
            <w:r w:rsidRPr="00555E87">
              <w:rPr>
                <w:b w:val="0"/>
                <w:lang w:val="en-GB"/>
              </w:rPr>
              <w:t>Town</w:t>
            </w:r>
          </w:p>
        </w:tc>
        <w:tc>
          <w:tcPr>
            <w:tcW w:w="1843" w:type="dxa"/>
            <w:shd w:val="clear" w:color="auto" w:fill="BDD6EE" w:themeFill="accent1" w:themeFillTint="66"/>
            <w:vAlign w:val="center"/>
          </w:tcPr>
          <w:p w14:paraId="20E41002" w14:textId="77777777" w:rsidR="00DA25E5" w:rsidRPr="00555E87" w:rsidRDefault="00AF46E5" w:rsidP="00DA25E5">
            <w:pPr>
              <w:ind w:right="142"/>
              <w:cnfStyle w:val="000000100000" w:firstRow="0" w:lastRow="0" w:firstColumn="0" w:lastColumn="0" w:oddVBand="0" w:evenVBand="0" w:oddHBand="1" w:evenHBand="0" w:firstRowFirstColumn="0" w:firstRowLastColumn="0" w:lastRowFirstColumn="0" w:lastRowLastColumn="0"/>
              <w:rPr>
                <w:lang w:val="en-GB"/>
              </w:rPr>
            </w:pPr>
            <w:r>
              <w:rPr>
                <w:lang w:val="en-GB"/>
              </w:rPr>
              <w:t>$1.01</w:t>
            </w:r>
          </w:p>
        </w:tc>
        <w:tc>
          <w:tcPr>
            <w:tcW w:w="184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846E089" w14:textId="77777777" w:rsidR="00DA25E5" w:rsidRDefault="00AF46E5" w:rsidP="00DA25E5">
            <w:pPr>
              <w:ind w:right="142"/>
              <w:cnfStyle w:val="000000100000" w:firstRow="0" w:lastRow="0" w:firstColumn="0" w:lastColumn="0" w:oddVBand="0" w:evenVBand="0" w:oddHBand="1" w:evenHBand="0" w:firstRowFirstColumn="0" w:firstRowLastColumn="0" w:lastRowFirstColumn="0" w:lastRowLastColumn="0"/>
              <w:rPr>
                <w:lang w:val="en-GB"/>
              </w:rPr>
            </w:pPr>
            <w:r>
              <w:rPr>
                <w:lang w:val="en-GB"/>
              </w:rPr>
              <w:t>$</w:t>
            </w:r>
            <w:r w:rsidR="00B21EA0">
              <w:rPr>
                <w:lang w:val="en-GB"/>
              </w:rPr>
              <w:t>1.01</w:t>
            </w:r>
          </w:p>
        </w:tc>
      </w:tr>
    </w:tbl>
    <w:p w14:paraId="3FE695DE" w14:textId="77777777" w:rsidR="00EF0882" w:rsidRPr="00555E87" w:rsidRDefault="00EF0882" w:rsidP="000B3A90">
      <w:pPr>
        <w:ind w:right="142"/>
        <w:rPr>
          <w:lang w:val="en-GB"/>
        </w:rPr>
      </w:pPr>
    </w:p>
    <w:p w14:paraId="0C1038D3" w14:textId="77777777" w:rsidR="00EF0882" w:rsidRPr="00555E87" w:rsidRDefault="00EF0882" w:rsidP="000B3A90">
      <w:pPr>
        <w:ind w:right="142"/>
        <w:rPr>
          <w:lang w:val="en-GB"/>
        </w:rPr>
      </w:pPr>
    </w:p>
    <w:p w14:paraId="6560B298" w14:textId="77777777" w:rsidR="00EF0882" w:rsidRPr="00555E87" w:rsidRDefault="00EF0882" w:rsidP="000B3A90">
      <w:pPr>
        <w:ind w:right="142"/>
        <w:rPr>
          <w:lang w:val="en-GB"/>
        </w:rPr>
      </w:pPr>
    </w:p>
    <w:p w14:paraId="49B0570C" w14:textId="77777777" w:rsidR="00EF0882" w:rsidRPr="00555E87" w:rsidRDefault="00EF0882" w:rsidP="000B3A90">
      <w:pPr>
        <w:ind w:right="142"/>
        <w:rPr>
          <w:lang w:val="en-GB"/>
        </w:rPr>
      </w:pPr>
    </w:p>
    <w:p w14:paraId="0D083B6F" w14:textId="77777777" w:rsidR="00EF0882" w:rsidRPr="00555E87" w:rsidRDefault="00EF0882" w:rsidP="000B3A90">
      <w:pPr>
        <w:ind w:right="142"/>
        <w:rPr>
          <w:lang w:val="en-GB"/>
        </w:rPr>
      </w:pPr>
    </w:p>
    <w:p w14:paraId="0FDCBD29" w14:textId="77777777" w:rsidR="00EF0882" w:rsidRPr="00555E87" w:rsidRDefault="00EF0882" w:rsidP="000B3A90">
      <w:pPr>
        <w:ind w:right="142"/>
        <w:rPr>
          <w:lang w:val="en-GB"/>
        </w:rPr>
      </w:pPr>
    </w:p>
    <w:p w14:paraId="22518B56" w14:textId="77777777" w:rsidR="00EF0882" w:rsidRPr="00555E87" w:rsidRDefault="00EF0882" w:rsidP="000B3A90">
      <w:pPr>
        <w:ind w:right="142"/>
        <w:rPr>
          <w:lang w:val="en-GB"/>
        </w:rPr>
      </w:pPr>
    </w:p>
    <w:p w14:paraId="2D5B39FC" w14:textId="77777777" w:rsidR="00EF0882" w:rsidRDefault="00EF0882" w:rsidP="000B3A90">
      <w:pPr>
        <w:ind w:right="142"/>
        <w:rPr>
          <w:lang w:val="en-GB"/>
        </w:rPr>
      </w:pPr>
    </w:p>
    <w:p w14:paraId="1FCC46ED" w14:textId="77777777" w:rsidR="00954FE5" w:rsidRPr="00555E87" w:rsidRDefault="00954FE5" w:rsidP="000B3A90">
      <w:pPr>
        <w:ind w:right="142"/>
        <w:rPr>
          <w:lang w:val="en-GB"/>
        </w:rPr>
      </w:pPr>
    </w:p>
    <w:p w14:paraId="7AC9A56C" w14:textId="77777777" w:rsidR="00EF0882" w:rsidRPr="00954FE5" w:rsidRDefault="00EF0882" w:rsidP="000B3A90">
      <w:pPr>
        <w:pStyle w:val="Heading1"/>
        <w:spacing w:before="360" w:after="120"/>
        <w:ind w:right="142"/>
        <w:jc w:val="both"/>
        <w:rPr>
          <w:color w:val="009999"/>
          <w:lang w:val="en-GB"/>
        </w:rPr>
      </w:pPr>
      <w:r w:rsidRPr="00954FE5">
        <w:rPr>
          <w:color w:val="009999"/>
          <w:lang w:val="en-GB"/>
        </w:rPr>
        <w:t>Contact us</w:t>
      </w:r>
    </w:p>
    <w:p w14:paraId="24DC0A56" w14:textId="77777777" w:rsidR="00A226AF" w:rsidRPr="00470245" w:rsidRDefault="00656C58" w:rsidP="000B3A90">
      <w:pPr>
        <w:spacing w:after="240"/>
        <w:ind w:right="142"/>
        <w:jc w:val="both"/>
        <w:rPr>
          <w:lang w:val="en-GB"/>
        </w:rPr>
      </w:pPr>
      <w:r>
        <w:rPr>
          <w:color w:val="000000"/>
          <w:lang w:val="en-GB"/>
        </w:rPr>
        <w:t xml:space="preserve">Should you wish to contact us with any query or concern relating to your contract, please email Passenger Transport </w:t>
      </w:r>
      <w:r w:rsidR="00A226AF">
        <w:rPr>
          <w:color w:val="000000"/>
          <w:lang w:val="en-GB"/>
        </w:rPr>
        <w:t xml:space="preserve">at </w:t>
      </w:r>
      <w:r w:rsidR="00A226AF">
        <w:rPr>
          <w:color w:val="009999"/>
          <w:lang w:val="en-GB"/>
        </w:rPr>
        <w:t xml:space="preserve">ptscontracts@stategrowth.tas.gov.au </w:t>
      </w:r>
      <w:r w:rsidR="00A226AF" w:rsidRPr="00A226AF">
        <w:rPr>
          <w:lang w:val="en-GB"/>
        </w:rPr>
        <w:t xml:space="preserve">or </w:t>
      </w:r>
      <w:r w:rsidR="00470245">
        <w:rPr>
          <w:lang w:val="en-GB"/>
        </w:rPr>
        <w:t>phone</w:t>
      </w:r>
      <w:r w:rsidR="00A226AF" w:rsidRPr="00A226AF">
        <w:rPr>
          <w:lang w:val="en-GB"/>
        </w:rPr>
        <w:t xml:space="preserve"> </w:t>
      </w:r>
      <w:r w:rsidR="00A226AF">
        <w:rPr>
          <w:color w:val="009999"/>
          <w:lang w:val="en-GB"/>
        </w:rPr>
        <w:t>03 6166 3343</w:t>
      </w:r>
      <w:r w:rsidR="00470245">
        <w:rPr>
          <w:lang w:val="en-GB"/>
        </w:rPr>
        <w:t>.</w:t>
      </w:r>
    </w:p>
    <w:p w14:paraId="28854083" w14:textId="77777777" w:rsidR="007E17D7" w:rsidRPr="00D526FF" w:rsidRDefault="000E6A09" w:rsidP="00D526FF">
      <w:pPr>
        <w:ind w:right="142"/>
        <w:rPr>
          <w:lang w:val="en-GB"/>
        </w:rPr>
      </w:pPr>
    </w:p>
    <w:sectPr w:rsidR="007E17D7" w:rsidRPr="00D526FF" w:rsidSect="00EF0882">
      <w:footerReference w:type="default" r:id="rId8"/>
      <w:footerReference w:type="first" r:id="rId9"/>
      <w:pgSz w:w="11906" w:h="16838"/>
      <w:pgMar w:top="851" w:right="424" w:bottom="1440"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24C7C" w14:textId="77777777" w:rsidR="000E6A09" w:rsidRDefault="000E6A09" w:rsidP="006E7989">
      <w:pPr>
        <w:spacing w:after="0" w:line="240" w:lineRule="auto"/>
      </w:pPr>
      <w:r>
        <w:separator/>
      </w:r>
    </w:p>
  </w:endnote>
  <w:endnote w:type="continuationSeparator" w:id="0">
    <w:p w14:paraId="33BA9E7A" w14:textId="77777777" w:rsidR="000E6A09" w:rsidRDefault="000E6A09" w:rsidP="006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6824149"/>
      <w:docPartObj>
        <w:docPartGallery w:val="Page Numbers (Bottom of Page)"/>
        <w:docPartUnique/>
      </w:docPartObj>
    </w:sdtPr>
    <w:sdtEndPr/>
    <w:sdtContent>
      <w:sdt>
        <w:sdtPr>
          <w:id w:val="-989854805"/>
          <w:docPartObj>
            <w:docPartGallery w:val="Page Numbers (Top of Page)"/>
            <w:docPartUnique/>
          </w:docPartObj>
        </w:sdtPr>
        <w:sdtEndPr/>
        <w:sdtContent>
          <w:p w14:paraId="6E5CB952" w14:textId="77777777" w:rsidR="006D3E7E" w:rsidRDefault="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6DC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6DCF">
              <w:rPr>
                <w:b/>
                <w:bCs/>
                <w:noProof/>
              </w:rPr>
              <w:t>4</w:t>
            </w:r>
            <w:r>
              <w:rPr>
                <w:b/>
                <w:bCs/>
                <w:sz w:val="24"/>
                <w:szCs w:val="24"/>
              </w:rPr>
              <w:fldChar w:fldCharType="end"/>
            </w:r>
          </w:p>
        </w:sdtContent>
      </w:sdt>
    </w:sdtContent>
  </w:sdt>
  <w:p w14:paraId="763E70AD" w14:textId="77777777" w:rsidR="006D3E7E" w:rsidRDefault="006D3E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224282"/>
      <w:docPartObj>
        <w:docPartGallery w:val="Page Numbers (Bottom of Page)"/>
        <w:docPartUnique/>
      </w:docPartObj>
    </w:sdtPr>
    <w:sdtEndPr/>
    <w:sdtContent>
      <w:sdt>
        <w:sdtPr>
          <w:id w:val="-1769616900"/>
          <w:docPartObj>
            <w:docPartGallery w:val="Page Numbers (Top of Page)"/>
            <w:docPartUnique/>
          </w:docPartObj>
        </w:sdtPr>
        <w:sdtEndPr/>
        <w:sdtContent>
          <w:p w14:paraId="3FA0C743" w14:textId="77777777" w:rsidR="006D3E7E" w:rsidRDefault="006D3E7E" w:rsidP="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6DC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06DCF">
              <w:rPr>
                <w:b/>
                <w:bCs/>
                <w:noProof/>
              </w:rPr>
              <w:t>4</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989E8A" w14:textId="77777777" w:rsidR="000E6A09" w:rsidRDefault="000E6A09" w:rsidP="006E7989">
      <w:pPr>
        <w:spacing w:after="0" w:line="240" w:lineRule="auto"/>
      </w:pPr>
      <w:r>
        <w:separator/>
      </w:r>
    </w:p>
  </w:footnote>
  <w:footnote w:type="continuationSeparator" w:id="0">
    <w:p w14:paraId="3578051B" w14:textId="77777777" w:rsidR="000E6A09" w:rsidRDefault="000E6A09" w:rsidP="006E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F46D86"/>
    <w:multiLevelType w:val="hybridMultilevel"/>
    <w:tmpl w:val="D54EA48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1DC84BA0"/>
    <w:multiLevelType w:val="hybridMultilevel"/>
    <w:tmpl w:val="1406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E13834"/>
    <w:multiLevelType w:val="hybridMultilevel"/>
    <w:tmpl w:val="C6146D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E9E0FAA"/>
    <w:multiLevelType w:val="hybridMultilevel"/>
    <w:tmpl w:val="B740C9DC"/>
    <w:lvl w:ilvl="0" w:tplc="26D4E99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6ECC4506"/>
    <w:multiLevelType w:val="hybridMultilevel"/>
    <w:tmpl w:val="752C8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3"/>
  </w:num>
  <w:num w:numId="5">
    <w:abstractNumId w:val="9"/>
  </w:num>
  <w:num w:numId="6">
    <w:abstractNumId w:val="1"/>
  </w:num>
  <w:num w:numId="7">
    <w:abstractNumId w:val="6"/>
  </w:num>
  <w:num w:numId="8">
    <w:abstractNumId w:val="7"/>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05969"/>
    <w:rsid w:val="0002624D"/>
    <w:rsid w:val="000365B5"/>
    <w:rsid w:val="0004329D"/>
    <w:rsid w:val="0008189B"/>
    <w:rsid w:val="00090A53"/>
    <w:rsid w:val="000B3A90"/>
    <w:rsid w:val="000D2177"/>
    <w:rsid w:val="000E6A09"/>
    <w:rsid w:val="000E75E3"/>
    <w:rsid w:val="000F316C"/>
    <w:rsid w:val="00107F25"/>
    <w:rsid w:val="0011197C"/>
    <w:rsid w:val="001445FB"/>
    <w:rsid w:val="001813C3"/>
    <w:rsid w:val="001A4B73"/>
    <w:rsid w:val="001B36A5"/>
    <w:rsid w:val="001D14CD"/>
    <w:rsid w:val="001E68EF"/>
    <w:rsid w:val="001F24D6"/>
    <w:rsid w:val="00224543"/>
    <w:rsid w:val="00232BA3"/>
    <w:rsid w:val="00233019"/>
    <w:rsid w:val="00233345"/>
    <w:rsid w:val="002875A5"/>
    <w:rsid w:val="002B51B5"/>
    <w:rsid w:val="002E2476"/>
    <w:rsid w:val="002E7CF4"/>
    <w:rsid w:val="002F0DC8"/>
    <w:rsid w:val="002F5F66"/>
    <w:rsid w:val="00317955"/>
    <w:rsid w:val="00341DE6"/>
    <w:rsid w:val="00367819"/>
    <w:rsid w:val="003736A6"/>
    <w:rsid w:val="00390F6C"/>
    <w:rsid w:val="004018FC"/>
    <w:rsid w:val="00470245"/>
    <w:rsid w:val="004754F9"/>
    <w:rsid w:val="004936FC"/>
    <w:rsid w:val="00494545"/>
    <w:rsid w:val="004B6C67"/>
    <w:rsid w:val="004D2270"/>
    <w:rsid w:val="004D4847"/>
    <w:rsid w:val="004F55E1"/>
    <w:rsid w:val="005207CA"/>
    <w:rsid w:val="00534224"/>
    <w:rsid w:val="005368F8"/>
    <w:rsid w:val="00555E87"/>
    <w:rsid w:val="00585D44"/>
    <w:rsid w:val="005A4A7C"/>
    <w:rsid w:val="005A5680"/>
    <w:rsid w:val="005C18F3"/>
    <w:rsid w:val="005C6047"/>
    <w:rsid w:val="005F69BF"/>
    <w:rsid w:val="00612115"/>
    <w:rsid w:val="006306E3"/>
    <w:rsid w:val="00656C58"/>
    <w:rsid w:val="0066531B"/>
    <w:rsid w:val="00671145"/>
    <w:rsid w:val="006A486E"/>
    <w:rsid w:val="006A739F"/>
    <w:rsid w:val="006B0B21"/>
    <w:rsid w:val="006C5A86"/>
    <w:rsid w:val="006C651E"/>
    <w:rsid w:val="006D3E7E"/>
    <w:rsid w:val="006E35AF"/>
    <w:rsid w:val="006E7989"/>
    <w:rsid w:val="00711A29"/>
    <w:rsid w:val="00714FEA"/>
    <w:rsid w:val="00720AE0"/>
    <w:rsid w:val="00721B8A"/>
    <w:rsid w:val="0072481F"/>
    <w:rsid w:val="0073145B"/>
    <w:rsid w:val="00732865"/>
    <w:rsid w:val="00753B8A"/>
    <w:rsid w:val="007543F1"/>
    <w:rsid w:val="00777B54"/>
    <w:rsid w:val="00781905"/>
    <w:rsid w:val="007873CA"/>
    <w:rsid w:val="007A5FB2"/>
    <w:rsid w:val="007C0427"/>
    <w:rsid w:val="007D08DA"/>
    <w:rsid w:val="007F4A12"/>
    <w:rsid w:val="00807AF4"/>
    <w:rsid w:val="00807FD9"/>
    <w:rsid w:val="00832EB0"/>
    <w:rsid w:val="00840813"/>
    <w:rsid w:val="008514CF"/>
    <w:rsid w:val="00877C92"/>
    <w:rsid w:val="008B5588"/>
    <w:rsid w:val="008C142C"/>
    <w:rsid w:val="008F0B3A"/>
    <w:rsid w:val="00930172"/>
    <w:rsid w:val="00954FE5"/>
    <w:rsid w:val="0096184D"/>
    <w:rsid w:val="009D00B6"/>
    <w:rsid w:val="009D4194"/>
    <w:rsid w:val="00A055BA"/>
    <w:rsid w:val="00A12F33"/>
    <w:rsid w:val="00A226AF"/>
    <w:rsid w:val="00A26469"/>
    <w:rsid w:val="00A44665"/>
    <w:rsid w:val="00A57BC0"/>
    <w:rsid w:val="00A77D55"/>
    <w:rsid w:val="00A93BD6"/>
    <w:rsid w:val="00A9505D"/>
    <w:rsid w:val="00A97C84"/>
    <w:rsid w:val="00AE17E9"/>
    <w:rsid w:val="00AF46E5"/>
    <w:rsid w:val="00B13235"/>
    <w:rsid w:val="00B21EA0"/>
    <w:rsid w:val="00B45B4D"/>
    <w:rsid w:val="00B902CB"/>
    <w:rsid w:val="00BC3EEF"/>
    <w:rsid w:val="00BC4A75"/>
    <w:rsid w:val="00BD3707"/>
    <w:rsid w:val="00C170CE"/>
    <w:rsid w:val="00C3151B"/>
    <w:rsid w:val="00C32C29"/>
    <w:rsid w:val="00C512D8"/>
    <w:rsid w:val="00C76BC3"/>
    <w:rsid w:val="00C777F9"/>
    <w:rsid w:val="00C83A3A"/>
    <w:rsid w:val="00C97EC0"/>
    <w:rsid w:val="00CB40F2"/>
    <w:rsid w:val="00CD684A"/>
    <w:rsid w:val="00CD7485"/>
    <w:rsid w:val="00CF618B"/>
    <w:rsid w:val="00D009F1"/>
    <w:rsid w:val="00D02253"/>
    <w:rsid w:val="00D227E5"/>
    <w:rsid w:val="00D3039E"/>
    <w:rsid w:val="00D41EC9"/>
    <w:rsid w:val="00D44D35"/>
    <w:rsid w:val="00D526FF"/>
    <w:rsid w:val="00D53812"/>
    <w:rsid w:val="00D54C57"/>
    <w:rsid w:val="00D679D9"/>
    <w:rsid w:val="00D7410A"/>
    <w:rsid w:val="00D920F1"/>
    <w:rsid w:val="00D948FB"/>
    <w:rsid w:val="00DA18A6"/>
    <w:rsid w:val="00DA25E5"/>
    <w:rsid w:val="00DC1A3E"/>
    <w:rsid w:val="00DE2564"/>
    <w:rsid w:val="00E06DCF"/>
    <w:rsid w:val="00E31243"/>
    <w:rsid w:val="00E47EF8"/>
    <w:rsid w:val="00E62D75"/>
    <w:rsid w:val="00E65ADA"/>
    <w:rsid w:val="00E7078C"/>
    <w:rsid w:val="00E84C08"/>
    <w:rsid w:val="00EC085A"/>
    <w:rsid w:val="00EC6185"/>
    <w:rsid w:val="00ED7C9E"/>
    <w:rsid w:val="00EF0882"/>
    <w:rsid w:val="00EF2028"/>
    <w:rsid w:val="00F0224E"/>
    <w:rsid w:val="00F0747C"/>
    <w:rsid w:val="00F134A9"/>
    <w:rsid w:val="00F51810"/>
    <w:rsid w:val="00F562D7"/>
    <w:rsid w:val="00F91B7D"/>
    <w:rsid w:val="00FA39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3748EC"/>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E7989"/>
    <w:rPr>
      <w:rFonts w:ascii="Gill Sans MT" w:hAnsi="Gill Sans MT"/>
    </w:rPr>
  </w:style>
  <w:style w:type="paragraph" w:styleId="Heading1">
    <w:name w:val="heading 1"/>
    <w:basedOn w:val="Normal"/>
    <w:next w:val="Normal"/>
    <w:link w:val="Heading1Char"/>
    <w:uiPriority w:val="9"/>
    <w:qFormat/>
    <w:rsid w:val="006E7989"/>
    <w:pPr>
      <w:keepNext/>
      <w:keepLines/>
      <w:spacing w:before="240" w:after="0"/>
      <w:outlineLvl w:val="0"/>
    </w:pPr>
    <w:rPr>
      <w:rFonts w:eastAsiaTheme="majorEastAsia" w:cstheme="majorBidi"/>
      <w:color w:val="C00000"/>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989"/>
    <w:rPr>
      <w:rFonts w:ascii="Gill Sans MT" w:eastAsiaTheme="majorEastAsia" w:hAnsi="Gill Sans MT" w:cstheme="majorBidi"/>
      <w:color w:val="C00000"/>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 w:type="character" w:styleId="CommentReference">
    <w:name w:val="annotation reference"/>
    <w:basedOn w:val="DefaultParagraphFont"/>
    <w:uiPriority w:val="99"/>
    <w:semiHidden/>
    <w:unhideWhenUsed/>
    <w:rsid w:val="00671145"/>
    <w:rPr>
      <w:sz w:val="16"/>
      <w:szCs w:val="16"/>
    </w:rPr>
  </w:style>
  <w:style w:type="paragraph" w:styleId="CommentText">
    <w:name w:val="annotation text"/>
    <w:basedOn w:val="Normal"/>
    <w:link w:val="CommentTextChar"/>
    <w:uiPriority w:val="99"/>
    <w:semiHidden/>
    <w:unhideWhenUsed/>
    <w:rsid w:val="00671145"/>
    <w:pPr>
      <w:spacing w:line="240" w:lineRule="auto"/>
    </w:pPr>
    <w:rPr>
      <w:sz w:val="20"/>
      <w:szCs w:val="20"/>
    </w:rPr>
  </w:style>
  <w:style w:type="character" w:customStyle="1" w:styleId="CommentTextChar">
    <w:name w:val="Comment Text Char"/>
    <w:basedOn w:val="DefaultParagraphFont"/>
    <w:link w:val="CommentText"/>
    <w:uiPriority w:val="99"/>
    <w:semiHidden/>
    <w:rsid w:val="0067114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671145"/>
    <w:rPr>
      <w:b/>
      <w:bCs/>
    </w:rPr>
  </w:style>
  <w:style w:type="character" w:customStyle="1" w:styleId="CommentSubjectChar">
    <w:name w:val="Comment Subject Char"/>
    <w:basedOn w:val="CommentTextChar"/>
    <w:link w:val="CommentSubject"/>
    <w:uiPriority w:val="99"/>
    <w:semiHidden/>
    <w:rsid w:val="00671145"/>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1</Pages>
  <Words>1370</Words>
  <Characters>7813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9165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Stewart, Lauren</cp:lastModifiedBy>
  <cp:revision>40</cp:revision>
  <cp:lastPrinted>2016-10-25T23:49:00Z</cp:lastPrinted>
  <dcterms:created xsi:type="dcterms:W3CDTF">2016-09-18T22:20:00Z</dcterms:created>
  <dcterms:modified xsi:type="dcterms:W3CDTF">2016-10-25T23:49:00Z</dcterms:modified>
</cp:coreProperties>
</file>