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4ECD" w:rsidRDefault="00EB4E27" w:rsidP="00954531">
      <w:pPr>
        <w:rPr>
          <w:rFonts w:ascii="Gill Sans MT" w:eastAsia="Times New Roman" w:hAnsi="Gill Sans MT" w:cs="Arial"/>
          <w:noProof/>
          <w:color w:val="000000"/>
          <w:lang w:eastAsia="en-AU"/>
        </w:rPr>
      </w:pPr>
      <w:r w:rsidRPr="0070709F">
        <w:rPr>
          <w:noProof/>
          <w:lang w:eastAsia="en-AU"/>
        </w:rPr>
        <w:drawing>
          <wp:anchor distT="0" distB="0" distL="114300" distR="114300" simplePos="0" relativeHeight="251658240" behindDoc="1" locked="0" layoutInCell="1" allowOverlap="1" wp14:anchorId="77EFCA17" wp14:editId="7BF49654">
            <wp:simplePos x="0" y="0"/>
            <wp:positionH relativeFrom="margin">
              <wp:align>center</wp:align>
            </wp:positionH>
            <wp:positionV relativeFrom="paragraph">
              <wp:posOffset>-947420</wp:posOffset>
            </wp:positionV>
            <wp:extent cx="7539990" cy="10655830"/>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 image taxi newslett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39990" cy="10655830"/>
                    </a:xfrm>
                    <a:prstGeom prst="rect">
                      <a:avLst/>
                    </a:prstGeom>
                  </pic:spPr>
                </pic:pic>
              </a:graphicData>
            </a:graphic>
            <wp14:sizeRelH relativeFrom="page">
              <wp14:pctWidth>0</wp14:pctWidth>
            </wp14:sizeRelH>
            <wp14:sizeRelV relativeFrom="page">
              <wp14:pctHeight>0</wp14:pctHeight>
            </wp14:sizeRelV>
          </wp:anchor>
        </w:drawing>
      </w:r>
    </w:p>
    <w:p w:rsidR="00EB4E27" w:rsidRDefault="00EB4E27" w:rsidP="00954531"/>
    <w:p w:rsidR="00EB4E27" w:rsidRDefault="00EB4E27" w:rsidP="00954531"/>
    <w:p w:rsidR="00EB4E27" w:rsidRDefault="00EB4E27" w:rsidP="00954531"/>
    <w:p w:rsidR="00EB4E27" w:rsidRDefault="00EB4E27" w:rsidP="00954531"/>
    <w:p w:rsidR="00EB4E27" w:rsidRDefault="00EB4E27" w:rsidP="00954531"/>
    <w:p w:rsidR="00EB4E27" w:rsidRDefault="00EB4E27" w:rsidP="00954531"/>
    <w:p w:rsidR="00EB4E27" w:rsidRDefault="00EB4E27" w:rsidP="00954531"/>
    <w:p w:rsidR="00954531" w:rsidRPr="0070709F" w:rsidRDefault="00954531" w:rsidP="00954531">
      <w:r w:rsidRPr="0070709F">
        <w:t xml:space="preserve">Welcome to the </w:t>
      </w:r>
      <w:r w:rsidR="00E2660C" w:rsidRPr="0070709F">
        <w:t>September</w:t>
      </w:r>
      <w:r w:rsidR="00CE1274" w:rsidRPr="0070709F">
        <w:t xml:space="preserve"> 2018</w:t>
      </w:r>
      <w:r w:rsidR="002C08F6" w:rsidRPr="0070709F">
        <w:t xml:space="preserve"> </w:t>
      </w:r>
      <w:r w:rsidRPr="0070709F">
        <w:t>edition of the Taxi Newsletter.</w:t>
      </w:r>
      <w:r w:rsidR="00A64ECD" w:rsidRPr="0070709F">
        <w:t xml:space="preserve"> Due to a range of emerging issues, this edition has been issued </w:t>
      </w:r>
      <w:r w:rsidR="005F6926">
        <w:t>to supplement the</w:t>
      </w:r>
      <w:r w:rsidR="005F6926" w:rsidRPr="0070709F">
        <w:t xml:space="preserve"> </w:t>
      </w:r>
      <w:r w:rsidR="00B7688C">
        <w:t>August 2018</w:t>
      </w:r>
      <w:r w:rsidR="005F6926">
        <w:t xml:space="preserve"> issue</w:t>
      </w:r>
      <w:r w:rsidR="00A64ECD" w:rsidRPr="0070709F">
        <w:t>.</w:t>
      </w:r>
    </w:p>
    <w:p w:rsidR="0089161B" w:rsidRPr="006F2134" w:rsidRDefault="0089161B" w:rsidP="00D533ED">
      <w:pPr>
        <w:spacing w:before="200" w:after="120"/>
        <w:rPr>
          <w:rFonts w:ascii="Gill Sans MT" w:eastAsiaTheme="majorEastAsia" w:hAnsi="Gill Sans MT" w:cstheme="majorBidi"/>
          <w:color w:val="2E74B5" w:themeColor="accent1" w:themeShade="BF"/>
          <w:sz w:val="32"/>
          <w:szCs w:val="32"/>
        </w:rPr>
      </w:pPr>
      <w:r w:rsidRPr="002C08F6">
        <w:rPr>
          <w:rFonts w:ascii="Gill Sans MT" w:eastAsiaTheme="majorEastAsia" w:hAnsi="Gill Sans MT" w:cstheme="majorBidi"/>
          <w:color w:val="2E74B5" w:themeColor="accent1" w:themeShade="BF"/>
          <w:sz w:val="32"/>
          <w:szCs w:val="32"/>
        </w:rPr>
        <w:t>New Regulations</w:t>
      </w:r>
    </w:p>
    <w:p w:rsidR="00741D70" w:rsidRDefault="002C08F6" w:rsidP="00EF2959">
      <w:r>
        <w:t xml:space="preserve">The </w:t>
      </w:r>
      <w:r w:rsidRPr="002C08F6">
        <w:rPr>
          <w:i/>
        </w:rPr>
        <w:t>Taxi Industry Regulations 2018</w:t>
      </w:r>
      <w:r>
        <w:t xml:space="preserve"> and </w:t>
      </w:r>
      <w:r w:rsidRPr="002C08F6">
        <w:rPr>
          <w:i/>
        </w:rPr>
        <w:t>Luxury Hire Car Industry Regulations 2018</w:t>
      </w:r>
      <w:r>
        <w:t xml:space="preserve"> </w:t>
      </w:r>
      <w:r w:rsidR="005B5619">
        <w:t xml:space="preserve">commenced </w:t>
      </w:r>
      <w:r>
        <w:t>on 20 September 2018.  The</w:t>
      </w:r>
      <w:r w:rsidR="00902948">
        <w:t>se</w:t>
      </w:r>
      <w:r>
        <w:t xml:space="preserve"> replace the earlier regulations</w:t>
      </w:r>
      <w:r w:rsidR="00902948">
        <w:t xml:space="preserve"> which expired</w:t>
      </w:r>
      <w:r>
        <w:t xml:space="preserve">.  There </w:t>
      </w:r>
      <w:r w:rsidR="007F71AA">
        <w:t>are</w:t>
      </w:r>
      <w:r>
        <w:t xml:space="preserve"> no substantive </w:t>
      </w:r>
      <w:r w:rsidR="000257A5">
        <w:t>changes</w:t>
      </w:r>
      <w:r>
        <w:t xml:space="preserve">, </w:t>
      </w:r>
      <w:r w:rsidR="0089161B">
        <w:t>other than the renumbering of the clauses within the Regulations. </w:t>
      </w:r>
    </w:p>
    <w:p w:rsidR="00F12B23" w:rsidRDefault="002C08F6" w:rsidP="00583157">
      <w:pPr>
        <w:rPr>
          <w:rFonts w:ascii="Gill Sans MT" w:eastAsiaTheme="majorEastAsia" w:hAnsi="Gill Sans MT" w:cstheme="majorBidi"/>
          <w:color w:val="2E74B5" w:themeColor="accent1" w:themeShade="BF"/>
          <w:sz w:val="32"/>
          <w:szCs w:val="32"/>
        </w:rPr>
      </w:pPr>
      <w:r>
        <w:t xml:space="preserve">As a taxi operator it is your responsibility to know the laws that effect your taxi service.  With the commencement of these regulations, it is a good opportunity for you to read over the laws relating to your taxi service.  They can be found at </w:t>
      </w:r>
      <w:hyperlink r:id="rId9" w:history="1">
        <w:r w:rsidR="00F12B23" w:rsidRPr="008F2EF3">
          <w:rPr>
            <w:rStyle w:val="Hyperlink"/>
          </w:rPr>
          <w:t>www.thelaw.tas.gov.au</w:t>
        </w:r>
      </w:hyperlink>
      <w:r>
        <w:t>.</w:t>
      </w:r>
    </w:p>
    <w:p w:rsidR="00F12B23" w:rsidRDefault="00F12B23" w:rsidP="00F12B23">
      <w:pPr>
        <w:spacing w:before="200" w:after="120"/>
        <w:rPr>
          <w:rFonts w:ascii="Gill Sans MT" w:eastAsiaTheme="majorEastAsia" w:hAnsi="Gill Sans MT" w:cstheme="majorBidi"/>
          <w:color w:val="2E74B5" w:themeColor="accent1" w:themeShade="BF"/>
          <w:sz w:val="32"/>
          <w:szCs w:val="32"/>
        </w:rPr>
      </w:pPr>
      <w:r>
        <w:rPr>
          <w:rFonts w:ascii="Gill Sans MT" w:eastAsiaTheme="majorEastAsia" w:hAnsi="Gill Sans MT" w:cstheme="majorBidi"/>
          <w:color w:val="2E74B5" w:themeColor="accent1" w:themeShade="BF"/>
          <w:sz w:val="32"/>
          <w:szCs w:val="32"/>
        </w:rPr>
        <w:t>Release of owner-operator taxi licences for 2018</w:t>
      </w:r>
    </w:p>
    <w:p w:rsidR="007F71AA" w:rsidRDefault="007F71AA" w:rsidP="007F71AA">
      <w:r>
        <w:t>The Transport Commission has made available owner operator taxi licences (OOTLs) in Tasmanian taxi areas, except for the Hobart taxi area.  The OOTLs have been made available by way</w:t>
      </w:r>
      <w:r w:rsidR="00A805F6">
        <w:t xml:space="preserve"> of tender which commences on 29 </w:t>
      </w:r>
      <w:r>
        <w:t xml:space="preserve">September 2018 and will close on 17 October 2018 at 2.00pm.  </w:t>
      </w:r>
    </w:p>
    <w:p w:rsidR="007F71AA" w:rsidRDefault="007F71AA" w:rsidP="002619A1">
      <w:pPr>
        <w:tabs>
          <w:tab w:val="left" w:pos="7440"/>
        </w:tabs>
      </w:pPr>
      <w:r>
        <w:t>The number of OOTLS to be released in a particular taxi area will be as follows:</w:t>
      </w:r>
    </w:p>
    <w:tbl>
      <w:tblPr>
        <w:tblStyle w:val="TableGrid"/>
        <w:tblW w:w="10343" w:type="dxa"/>
        <w:tblInd w:w="0" w:type="dxa"/>
        <w:tblLook w:val="04A0" w:firstRow="1" w:lastRow="0" w:firstColumn="1" w:lastColumn="0" w:noHBand="0" w:noVBand="1"/>
      </w:tblPr>
      <w:tblGrid>
        <w:gridCol w:w="4390"/>
        <w:gridCol w:w="5953"/>
      </w:tblGrid>
      <w:tr w:rsidR="007F71AA" w:rsidTr="005B5619">
        <w:tc>
          <w:tcPr>
            <w:tcW w:w="4390" w:type="dxa"/>
          </w:tcPr>
          <w:p w:rsidR="007F71AA" w:rsidRPr="0070709F" w:rsidRDefault="007F71AA" w:rsidP="00EB4E27">
            <w:pPr>
              <w:jc w:val="both"/>
              <w:rPr>
                <w:rFonts w:asciiTheme="minorHAnsi" w:eastAsiaTheme="minorHAnsi" w:hAnsiTheme="minorHAnsi" w:cstheme="minorBidi"/>
                <w:b/>
                <w:sz w:val="22"/>
                <w:szCs w:val="22"/>
                <w:lang w:eastAsia="en-US"/>
              </w:rPr>
            </w:pPr>
            <w:r w:rsidRPr="0070709F">
              <w:rPr>
                <w:rFonts w:asciiTheme="minorHAnsi" w:eastAsiaTheme="minorHAnsi" w:hAnsiTheme="minorHAnsi" w:cstheme="minorBidi"/>
                <w:b/>
                <w:sz w:val="22"/>
                <w:szCs w:val="22"/>
                <w:lang w:eastAsia="en-US"/>
              </w:rPr>
              <w:t>Taxi Area</w:t>
            </w:r>
          </w:p>
        </w:tc>
        <w:tc>
          <w:tcPr>
            <w:tcW w:w="5953" w:type="dxa"/>
          </w:tcPr>
          <w:p w:rsidR="007F71AA" w:rsidRPr="0070709F" w:rsidRDefault="007F71AA" w:rsidP="00EB4E27">
            <w:pPr>
              <w:jc w:val="center"/>
              <w:rPr>
                <w:rFonts w:asciiTheme="minorHAnsi" w:eastAsiaTheme="minorHAnsi" w:hAnsiTheme="minorHAnsi" w:cstheme="minorBidi"/>
                <w:b/>
                <w:sz w:val="22"/>
                <w:szCs w:val="22"/>
                <w:lang w:eastAsia="en-US"/>
              </w:rPr>
            </w:pPr>
            <w:r w:rsidRPr="0070709F">
              <w:rPr>
                <w:rFonts w:asciiTheme="minorHAnsi" w:eastAsiaTheme="minorHAnsi" w:hAnsiTheme="minorHAnsi" w:cstheme="minorBidi"/>
                <w:b/>
                <w:sz w:val="22"/>
                <w:szCs w:val="22"/>
                <w:lang w:eastAsia="en-US"/>
              </w:rPr>
              <w:t>Number of OOTLs to be released in 2018</w:t>
            </w:r>
          </w:p>
        </w:tc>
      </w:tr>
      <w:tr w:rsidR="007F71AA" w:rsidTr="005B5619">
        <w:tc>
          <w:tcPr>
            <w:tcW w:w="4390" w:type="dxa"/>
          </w:tcPr>
          <w:p w:rsidR="007F71AA" w:rsidRPr="0070709F" w:rsidRDefault="007F71AA" w:rsidP="00EB4E27">
            <w:pPr>
              <w:jc w:val="both"/>
              <w:rPr>
                <w:rFonts w:asciiTheme="minorHAnsi" w:eastAsiaTheme="minorHAnsi" w:hAnsiTheme="minorHAnsi" w:cstheme="minorBidi"/>
                <w:sz w:val="22"/>
                <w:szCs w:val="22"/>
                <w:lang w:eastAsia="en-US"/>
              </w:rPr>
            </w:pPr>
            <w:r w:rsidRPr="0070709F">
              <w:rPr>
                <w:rFonts w:asciiTheme="minorHAnsi" w:eastAsiaTheme="minorHAnsi" w:hAnsiTheme="minorHAnsi" w:cstheme="minorBidi"/>
                <w:sz w:val="22"/>
                <w:szCs w:val="22"/>
                <w:lang w:eastAsia="en-US"/>
              </w:rPr>
              <w:t>Launceston</w:t>
            </w:r>
          </w:p>
        </w:tc>
        <w:tc>
          <w:tcPr>
            <w:tcW w:w="5953" w:type="dxa"/>
          </w:tcPr>
          <w:p w:rsidR="007F71AA" w:rsidRPr="0070709F" w:rsidRDefault="007F71AA" w:rsidP="00EB4E27">
            <w:pPr>
              <w:jc w:val="center"/>
              <w:rPr>
                <w:rFonts w:asciiTheme="minorHAnsi" w:eastAsiaTheme="minorHAnsi" w:hAnsiTheme="minorHAnsi" w:cstheme="minorBidi"/>
                <w:sz w:val="22"/>
                <w:szCs w:val="22"/>
                <w:lang w:eastAsia="en-US"/>
              </w:rPr>
            </w:pPr>
            <w:r w:rsidRPr="0070709F">
              <w:rPr>
                <w:rFonts w:asciiTheme="minorHAnsi" w:eastAsiaTheme="minorHAnsi" w:hAnsiTheme="minorHAnsi" w:cstheme="minorBidi"/>
                <w:sz w:val="22"/>
                <w:szCs w:val="22"/>
                <w:lang w:eastAsia="en-US"/>
              </w:rPr>
              <w:t>5</w:t>
            </w:r>
          </w:p>
        </w:tc>
      </w:tr>
      <w:tr w:rsidR="007F71AA" w:rsidTr="005B5619">
        <w:tc>
          <w:tcPr>
            <w:tcW w:w="4390" w:type="dxa"/>
          </w:tcPr>
          <w:p w:rsidR="007F71AA" w:rsidRPr="0070709F" w:rsidRDefault="007F71AA" w:rsidP="00EB4E27">
            <w:pPr>
              <w:jc w:val="both"/>
              <w:rPr>
                <w:rFonts w:asciiTheme="minorHAnsi" w:eastAsiaTheme="minorHAnsi" w:hAnsiTheme="minorHAnsi" w:cstheme="minorBidi"/>
                <w:sz w:val="22"/>
                <w:szCs w:val="22"/>
                <w:lang w:eastAsia="en-US"/>
              </w:rPr>
            </w:pPr>
            <w:r w:rsidRPr="0070709F">
              <w:rPr>
                <w:rFonts w:asciiTheme="minorHAnsi" w:eastAsiaTheme="minorHAnsi" w:hAnsiTheme="minorHAnsi" w:cstheme="minorBidi"/>
                <w:sz w:val="22"/>
                <w:szCs w:val="22"/>
                <w:lang w:eastAsia="en-US"/>
              </w:rPr>
              <w:t>Devonport</w:t>
            </w:r>
          </w:p>
        </w:tc>
        <w:tc>
          <w:tcPr>
            <w:tcW w:w="5953" w:type="dxa"/>
          </w:tcPr>
          <w:p w:rsidR="007F71AA" w:rsidRPr="0070709F" w:rsidRDefault="007F71AA" w:rsidP="00EB4E27">
            <w:pPr>
              <w:jc w:val="center"/>
              <w:rPr>
                <w:rFonts w:asciiTheme="minorHAnsi" w:eastAsiaTheme="minorHAnsi" w:hAnsiTheme="minorHAnsi" w:cstheme="minorBidi"/>
                <w:sz w:val="22"/>
                <w:szCs w:val="22"/>
                <w:lang w:eastAsia="en-US"/>
              </w:rPr>
            </w:pPr>
            <w:r w:rsidRPr="0070709F">
              <w:rPr>
                <w:rFonts w:asciiTheme="minorHAnsi" w:eastAsiaTheme="minorHAnsi" w:hAnsiTheme="minorHAnsi" w:cstheme="minorBidi"/>
                <w:sz w:val="22"/>
                <w:szCs w:val="22"/>
                <w:lang w:eastAsia="en-US"/>
              </w:rPr>
              <w:t>1</w:t>
            </w:r>
          </w:p>
        </w:tc>
      </w:tr>
      <w:tr w:rsidR="007F71AA" w:rsidTr="005B5619">
        <w:tc>
          <w:tcPr>
            <w:tcW w:w="4390" w:type="dxa"/>
          </w:tcPr>
          <w:p w:rsidR="007F71AA" w:rsidRPr="0070709F" w:rsidRDefault="007F71AA" w:rsidP="00EB4E27">
            <w:pPr>
              <w:jc w:val="both"/>
              <w:rPr>
                <w:rFonts w:asciiTheme="minorHAnsi" w:eastAsiaTheme="minorHAnsi" w:hAnsiTheme="minorHAnsi" w:cstheme="minorBidi"/>
                <w:sz w:val="22"/>
                <w:szCs w:val="22"/>
                <w:lang w:eastAsia="en-US"/>
              </w:rPr>
            </w:pPr>
            <w:r w:rsidRPr="0070709F">
              <w:rPr>
                <w:rFonts w:asciiTheme="minorHAnsi" w:eastAsiaTheme="minorHAnsi" w:hAnsiTheme="minorHAnsi" w:cstheme="minorBidi"/>
                <w:sz w:val="22"/>
                <w:szCs w:val="22"/>
                <w:lang w:eastAsia="en-US"/>
              </w:rPr>
              <w:t>Burnie</w:t>
            </w:r>
          </w:p>
        </w:tc>
        <w:tc>
          <w:tcPr>
            <w:tcW w:w="5953" w:type="dxa"/>
          </w:tcPr>
          <w:p w:rsidR="007F71AA" w:rsidRPr="0070709F" w:rsidRDefault="007F71AA" w:rsidP="00EB4E27">
            <w:pPr>
              <w:jc w:val="center"/>
              <w:rPr>
                <w:rFonts w:asciiTheme="minorHAnsi" w:eastAsiaTheme="minorHAnsi" w:hAnsiTheme="minorHAnsi" w:cstheme="minorBidi"/>
                <w:sz w:val="22"/>
                <w:szCs w:val="22"/>
                <w:lang w:eastAsia="en-US"/>
              </w:rPr>
            </w:pPr>
            <w:r w:rsidRPr="0070709F">
              <w:rPr>
                <w:rFonts w:asciiTheme="minorHAnsi" w:eastAsiaTheme="minorHAnsi" w:hAnsiTheme="minorHAnsi" w:cstheme="minorBidi"/>
                <w:sz w:val="22"/>
                <w:szCs w:val="22"/>
                <w:lang w:eastAsia="en-US"/>
              </w:rPr>
              <w:t>1</w:t>
            </w:r>
          </w:p>
        </w:tc>
      </w:tr>
      <w:tr w:rsidR="007F71AA" w:rsidTr="005B5619">
        <w:tc>
          <w:tcPr>
            <w:tcW w:w="4390" w:type="dxa"/>
          </w:tcPr>
          <w:p w:rsidR="007F71AA" w:rsidRPr="0070709F" w:rsidRDefault="007F71AA" w:rsidP="00EB4E27">
            <w:pPr>
              <w:jc w:val="both"/>
              <w:rPr>
                <w:rFonts w:asciiTheme="minorHAnsi" w:eastAsiaTheme="minorHAnsi" w:hAnsiTheme="minorHAnsi" w:cstheme="minorBidi"/>
                <w:sz w:val="22"/>
                <w:szCs w:val="22"/>
                <w:lang w:eastAsia="en-US"/>
              </w:rPr>
            </w:pPr>
            <w:r w:rsidRPr="0070709F">
              <w:rPr>
                <w:rFonts w:asciiTheme="minorHAnsi" w:eastAsiaTheme="minorHAnsi" w:hAnsiTheme="minorHAnsi" w:cstheme="minorBidi"/>
                <w:sz w:val="22"/>
                <w:szCs w:val="22"/>
                <w:lang w:eastAsia="en-US"/>
              </w:rPr>
              <w:t>All other taxi areas (except Hobart)</w:t>
            </w:r>
          </w:p>
        </w:tc>
        <w:tc>
          <w:tcPr>
            <w:tcW w:w="5953" w:type="dxa"/>
          </w:tcPr>
          <w:p w:rsidR="007F71AA" w:rsidRPr="0070709F" w:rsidRDefault="007F71AA" w:rsidP="00EB4E27">
            <w:pPr>
              <w:jc w:val="center"/>
              <w:rPr>
                <w:rFonts w:asciiTheme="minorHAnsi" w:eastAsiaTheme="minorHAnsi" w:hAnsiTheme="minorHAnsi" w:cstheme="minorBidi"/>
                <w:sz w:val="22"/>
                <w:szCs w:val="22"/>
                <w:lang w:eastAsia="en-US"/>
              </w:rPr>
            </w:pPr>
            <w:r w:rsidRPr="0070709F">
              <w:rPr>
                <w:rFonts w:asciiTheme="minorHAnsi" w:eastAsiaTheme="minorHAnsi" w:hAnsiTheme="minorHAnsi" w:cstheme="minorBidi"/>
                <w:sz w:val="22"/>
                <w:szCs w:val="22"/>
                <w:lang w:eastAsia="en-US"/>
              </w:rPr>
              <w:t>1</w:t>
            </w:r>
          </w:p>
        </w:tc>
      </w:tr>
    </w:tbl>
    <w:p w:rsidR="007F71AA" w:rsidRPr="0070709F" w:rsidRDefault="007F71AA" w:rsidP="007F71AA">
      <w:pPr>
        <w:pStyle w:val="DSGBodytext"/>
        <w:tabs>
          <w:tab w:val="left" w:pos="8640"/>
        </w:tabs>
        <w:rPr>
          <w:rFonts w:asciiTheme="minorHAnsi" w:eastAsiaTheme="minorHAnsi" w:hAnsiTheme="minorHAnsi" w:cstheme="minorBidi"/>
          <w:color w:val="auto"/>
          <w:lang w:val="en-AU"/>
        </w:rPr>
      </w:pPr>
      <w:r w:rsidRPr="0070709F">
        <w:rPr>
          <w:rFonts w:asciiTheme="minorHAnsi" w:eastAsiaTheme="minorHAnsi" w:hAnsiTheme="minorHAnsi" w:cstheme="minorBidi"/>
          <w:color w:val="auto"/>
          <w:lang w:val="en-AU"/>
        </w:rPr>
        <w:t>The tender will be advertised in the major Tasmanian newspapers and on www.tenders.tas.gov.au.  A total of 27 OOTL</w:t>
      </w:r>
      <w:r w:rsidR="00A805F6">
        <w:rPr>
          <w:rFonts w:asciiTheme="minorHAnsi" w:eastAsiaTheme="minorHAnsi" w:hAnsiTheme="minorHAnsi" w:cstheme="minorBidi"/>
          <w:color w:val="auto"/>
          <w:lang w:val="en-AU"/>
        </w:rPr>
        <w:t>s</w:t>
      </w:r>
      <w:r w:rsidRPr="0070709F">
        <w:rPr>
          <w:rFonts w:asciiTheme="minorHAnsi" w:eastAsiaTheme="minorHAnsi" w:hAnsiTheme="minorHAnsi" w:cstheme="minorBidi"/>
          <w:color w:val="auto"/>
          <w:lang w:val="en-AU"/>
        </w:rPr>
        <w:t xml:space="preserve"> will be made available for Tasmanian taxi areas with the exception of the Hobart taxi area.  </w:t>
      </w:r>
    </w:p>
    <w:p w:rsidR="007F71AA" w:rsidRPr="0070709F" w:rsidRDefault="007F71AA" w:rsidP="007F71AA">
      <w:pPr>
        <w:pStyle w:val="DSGBodytext"/>
        <w:tabs>
          <w:tab w:val="left" w:pos="8640"/>
        </w:tabs>
        <w:rPr>
          <w:rFonts w:asciiTheme="minorHAnsi" w:eastAsiaTheme="minorHAnsi" w:hAnsiTheme="minorHAnsi" w:cstheme="minorBidi"/>
          <w:color w:val="auto"/>
          <w:lang w:val="en-AU"/>
        </w:rPr>
      </w:pPr>
      <w:r w:rsidRPr="0070709F">
        <w:rPr>
          <w:rFonts w:asciiTheme="minorHAnsi" w:eastAsiaTheme="minorHAnsi" w:hAnsiTheme="minorHAnsi" w:cstheme="minorBidi"/>
          <w:color w:val="auto"/>
          <w:lang w:val="en-AU"/>
        </w:rPr>
        <w:t xml:space="preserve">To place a tender for one or more of the OOTLs you will need to follow the procedure set out for the OOTL tender at </w:t>
      </w:r>
      <w:hyperlink r:id="rId10" w:history="1">
        <w:r w:rsidR="00EB4E27" w:rsidRPr="00B47CE5">
          <w:rPr>
            <w:rStyle w:val="Hyperlink"/>
            <w:rFonts w:asciiTheme="minorHAnsi" w:eastAsiaTheme="minorHAnsi" w:hAnsiTheme="minorHAnsi" w:cstheme="minorBidi"/>
            <w:lang w:val="en-AU"/>
          </w:rPr>
          <w:t>www.tenders.tas.gov.au</w:t>
        </w:r>
      </w:hyperlink>
      <w:r w:rsidRPr="0070709F">
        <w:rPr>
          <w:rFonts w:asciiTheme="minorHAnsi" w:eastAsiaTheme="minorHAnsi" w:hAnsiTheme="minorHAnsi" w:cstheme="minorBidi"/>
          <w:color w:val="auto"/>
          <w:lang w:val="en-AU"/>
        </w:rPr>
        <w:t>.</w:t>
      </w:r>
    </w:p>
    <w:p w:rsidR="007F71AA" w:rsidRDefault="007F71AA" w:rsidP="007F71AA"/>
    <w:p w:rsidR="00A64ECD" w:rsidRDefault="00A64ECD" w:rsidP="007F71AA"/>
    <w:p w:rsidR="00A64ECD" w:rsidRDefault="00A64ECD" w:rsidP="007F71AA"/>
    <w:p w:rsidR="007F71AA" w:rsidRDefault="00A64ECD" w:rsidP="007F71AA">
      <w:r>
        <w:lastRenderedPageBreak/>
        <w:t>The</w:t>
      </w:r>
      <w:r w:rsidR="0070709F">
        <w:t xml:space="preserve"> </w:t>
      </w:r>
      <w:r w:rsidR="007F71AA">
        <w:t xml:space="preserve">Transport Commission </w:t>
      </w:r>
      <w:r w:rsidR="00A805F6">
        <w:t xml:space="preserve">has </w:t>
      </w:r>
      <w:r w:rsidR="007F71AA">
        <w:t>made these OOTLs available in accordance with the Ministerial Notice to allow for OOTLS to be released for tender in all taxi areas across the State, except for the Hobart taxi area, issued by the Minister for Infrastructure on 25 January 2018.</w:t>
      </w:r>
    </w:p>
    <w:p w:rsidR="00583157" w:rsidRPr="002619A1" w:rsidRDefault="00583157" w:rsidP="00583157">
      <w:pPr>
        <w:jc w:val="both"/>
      </w:pPr>
      <w:r w:rsidRPr="002619A1">
        <w:t xml:space="preserve">The Minister </w:t>
      </w:r>
      <w:r w:rsidR="00EB4E27">
        <w:t>for</w:t>
      </w:r>
      <w:r w:rsidRPr="002619A1">
        <w:t xml:space="preserve"> Infrastructure </w:t>
      </w:r>
      <w:r w:rsidR="005B5619">
        <w:t xml:space="preserve">had earlier </w:t>
      </w:r>
      <w:r w:rsidRPr="002619A1">
        <w:t>declared on 21 September 2016 that there would be no additional owner-operator taxi licences made available in a Tasmanian taxi area for the years 2016, 2017 and 2018, in response to the commencement of ride-sourcing services in Hobart.</w:t>
      </w:r>
    </w:p>
    <w:p w:rsidR="00A64ECD" w:rsidRDefault="00A64ECD" w:rsidP="00A64ECD">
      <w:r>
        <w:t xml:space="preserve">The </w:t>
      </w:r>
      <w:r w:rsidR="00A805F6">
        <w:t>contact</w:t>
      </w:r>
      <w:r>
        <w:t xml:space="preserve"> </w:t>
      </w:r>
      <w:r w:rsidR="00A805F6">
        <w:t>officer</w:t>
      </w:r>
      <w:r>
        <w:t xml:space="preserve"> </w:t>
      </w:r>
      <w:r w:rsidR="00A805F6">
        <w:t>for all questions about the</w:t>
      </w:r>
      <w:r>
        <w:t xml:space="preserve"> tender or submitting a tender is Anne-Maree Mills, Manager Regulations and Concessions.  She may be contacted by email at </w:t>
      </w:r>
      <w:hyperlink r:id="rId11" w:history="1">
        <w:r w:rsidRPr="0070709F">
          <w:t>anne-maree.mills@stategrowth.tas.gov.au</w:t>
        </w:r>
      </w:hyperlink>
      <w:r>
        <w:t>.</w:t>
      </w:r>
      <w:r w:rsidR="00A805F6">
        <w:t xml:space="preserve"> Please note that all inquiries about the tender should only be directed to the contact officer.</w:t>
      </w:r>
    </w:p>
    <w:p w:rsidR="00F12B23" w:rsidRDefault="00F12B23" w:rsidP="00F12B23">
      <w:pPr>
        <w:spacing w:before="200" w:after="120"/>
        <w:rPr>
          <w:rFonts w:ascii="Gill Sans MT" w:eastAsiaTheme="majorEastAsia" w:hAnsi="Gill Sans MT" w:cstheme="majorBidi"/>
          <w:color w:val="2E74B5" w:themeColor="accent1" w:themeShade="BF"/>
          <w:sz w:val="32"/>
          <w:szCs w:val="32"/>
        </w:rPr>
      </w:pPr>
      <w:r w:rsidRPr="002C08F6">
        <w:rPr>
          <w:rFonts w:ascii="Gill Sans MT" w:eastAsiaTheme="majorEastAsia" w:hAnsi="Gill Sans MT" w:cstheme="majorBidi"/>
          <w:color w:val="2E74B5" w:themeColor="accent1" w:themeShade="BF"/>
          <w:sz w:val="32"/>
          <w:szCs w:val="32"/>
        </w:rPr>
        <w:t>2018 - 2019 Hobart Cruise Ship Season</w:t>
      </w:r>
    </w:p>
    <w:p w:rsidR="00F12B23" w:rsidRPr="0070709F" w:rsidRDefault="00F12B23" w:rsidP="00F12B23">
      <w:pPr>
        <w:spacing w:before="200" w:after="120"/>
      </w:pPr>
      <w:r w:rsidRPr="0070709F">
        <w:t>The impending Hobart cruise ship season has 65 cruise ships scheduled to be docked at the Port of Hobart between 4 October 2018 and 21 June 2019.  This represents an increase from the 60 and 48 cruise ships docked in the 2017-2018 and 2016-17 seasons, respectively.</w:t>
      </w:r>
    </w:p>
    <w:p w:rsidR="00F12B23" w:rsidRPr="0070709F" w:rsidRDefault="00F12B23" w:rsidP="00F12B23">
      <w:pPr>
        <w:spacing w:before="200" w:after="120"/>
      </w:pPr>
      <w:r w:rsidRPr="0070709F">
        <w:t>For the 2018-19 cruise ship season the following arrangements have been put in place:</w:t>
      </w:r>
    </w:p>
    <w:p w:rsidR="00F12B23" w:rsidRPr="0070709F" w:rsidRDefault="00F12B23" w:rsidP="00F12B23">
      <w:pPr>
        <w:pStyle w:val="ListParagraph"/>
        <w:numPr>
          <w:ilvl w:val="0"/>
          <w:numId w:val="38"/>
        </w:numPr>
        <w:spacing w:before="200" w:after="120"/>
      </w:pPr>
      <w:r w:rsidRPr="0070709F">
        <w:t>Tas Ports have made available</w:t>
      </w:r>
      <w:r w:rsidR="00AD795C" w:rsidRPr="0070709F">
        <w:t xml:space="preserve"> parking</w:t>
      </w:r>
      <w:r w:rsidRPr="0070709F">
        <w:t xml:space="preserve"> areas which are set aside as a taxi rank, a taxi feeder rank and a drop-off-pick up area for private passenger vehicles including UBER vehicles.</w:t>
      </w:r>
    </w:p>
    <w:p w:rsidR="00F12B23" w:rsidRPr="0070709F" w:rsidRDefault="00F12B23" w:rsidP="00F12B23">
      <w:pPr>
        <w:pStyle w:val="ListParagraph"/>
        <w:numPr>
          <w:ilvl w:val="0"/>
          <w:numId w:val="38"/>
        </w:numPr>
        <w:spacing w:before="200" w:after="120"/>
      </w:pPr>
      <w:r w:rsidRPr="0070709F">
        <w:t>Tas Ports have made available a parking area for vehicles and a separate area of the waterfront near to the cruise ship terminal to be set aside for certain operators to solicit passengers.  The operators that can use these areas have applied</w:t>
      </w:r>
      <w:r w:rsidR="00EB4E27">
        <w:t>,</w:t>
      </w:r>
      <w:r w:rsidRPr="0070709F">
        <w:t xml:space="preserve"> and been selected by Destination South Tasmania Ltd to use the Haw</w:t>
      </w:r>
      <w:r w:rsidR="00EB4E27">
        <w:t>k</w:t>
      </w:r>
      <w:r w:rsidRPr="0070709F">
        <w:t>ing Area.</w:t>
      </w:r>
    </w:p>
    <w:p w:rsidR="00AD795C" w:rsidRDefault="00AD795C" w:rsidP="00AD795C">
      <w:pPr>
        <w:spacing w:before="200" w:after="120"/>
      </w:pPr>
      <w:r w:rsidRPr="0070709F">
        <w:t>These parking areas are identified on the below map:</w:t>
      </w:r>
    </w:p>
    <w:p w:rsidR="00EB4E27" w:rsidRPr="0070709F" w:rsidRDefault="00EB4E27" w:rsidP="00EB4E27">
      <w:pPr>
        <w:spacing w:before="200" w:after="120"/>
        <w:jc w:val="center"/>
      </w:pPr>
      <w:r>
        <w:rPr>
          <w:noProof/>
          <w:lang w:eastAsia="en-AU"/>
        </w:rPr>
        <w:drawing>
          <wp:inline distT="0" distB="0" distL="0" distR="0" wp14:anchorId="0D85DE03" wp14:editId="231DA072">
            <wp:extent cx="4732711" cy="34137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865676" cy="3509669"/>
                    </a:xfrm>
                    <a:prstGeom prst="rect">
                      <a:avLst/>
                    </a:prstGeom>
                  </pic:spPr>
                </pic:pic>
              </a:graphicData>
            </a:graphic>
          </wp:inline>
        </w:drawing>
      </w:r>
    </w:p>
    <w:p w:rsidR="005B5619" w:rsidRPr="00DD25E7" w:rsidRDefault="00DD25E7" w:rsidP="00D533ED">
      <w:pPr>
        <w:spacing w:before="200" w:after="120"/>
      </w:pPr>
      <w:r w:rsidRPr="00DD25E7">
        <w:t>To find out the cruise ship schedule, you can visit the Tas Ports website.</w:t>
      </w:r>
    </w:p>
    <w:p w:rsidR="00DD25E7" w:rsidRDefault="00DD25E7" w:rsidP="00D533ED">
      <w:pPr>
        <w:spacing w:before="200" w:after="120"/>
        <w:rPr>
          <w:rFonts w:ascii="Gill Sans MT" w:eastAsiaTheme="majorEastAsia" w:hAnsi="Gill Sans MT" w:cstheme="majorBidi"/>
          <w:color w:val="2E74B5" w:themeColor="accent1" w:themeShade="BF"/>
          <w:sz w:val="32"/>
          <w:szCs w:val="32"/>
        </w:rPr>
      </w:pPr>
    </w:p>
    <w:p w:rsidR="00D925EF" w:rsidRDefault="00A64ECD" w:rsidP="00D533ED">
      <w:pPr>
        <w:spacing w:before="200" w:after="120"/>
        <w:rPr>
          <w:rFonts w:ascii="Gill Sans MT" w:eastAsiaTheme="majorEastAsia" w:hAnsi="Gill Sans MT" w:cstheme="majorBidi"/>
          <w:color w:val="2E74B5" w:themeColor="accent1" w:themeShade="BF"/>
          <w:sz w:val="32"/>
          <w:szCs w:val="32"/>
        </w:rPr>
      </w:pPr>
      <w:r>
        <w:rPr>
          <w:rFonts w:ascii="Gill Sans MT" w:eastAsiaTheme="majorEastAsia" w:hAnsi="Gill Sans MT" w:cstheme="majorBidi"/>
          <w:color w:val="2E74B5" w:themeColor="accent1" w:themeShade="BF"/>
          <w:sz w:val="32"/>
          <w:szCs w:val="32"/>
        </w:rPr>
        <w:lastRenderedPageBreak/>
        <w:t>Accreditation</w:t>
      </w:r>
    </w:p>
    <w:p w:rsidR="0070709F" w:rsidRDefault="0070709F" w:rsidP="00D533ED">
      <w:pPr>
        <w:spacing w:before="200" w:after="120"/>
      </w:pPr>
      <w:r>
        <w:t xml:space="preserve">The </w:t>
      </w:r>
      <w:r w:rsidR="00EB4E27">
        <w:t xml:space="preserve">Transport </w:t>
      </w:r>
      <w:r>
        <w:t xml:space="preserve">Commission, the Department of State Growth and operators all want a safe passenger transport service so that the travelling public have confidence in </w:t>
      </w:r>
      <w:r w:rsidR="00EB4E27">
        <w:t>Tasmania’s</w:t>
      </w:r>
      <w:r>
        <w:t xml:space="preserve"> public passenger transport network.</w:t>
      </w:r>
    </w:p>
    <w:p w:rsidR="0070709F" w:rsidRDefault="00AD795C" w:rsidP="00D533ED">
      <w:pPr>
        <w:spacing w:before="200" w:after="120"/>
      </w:pPr>
      <w:r>
        <w:t xml:space="preserve">The purpose of </w:t>
      </w:r>
      <w:r w:rsidR="00EB4E27">
        <w:t>p</w:t>
      </w:r>
      <w:r>
        <w:t>assenger transport service</w:t>
      </w:r>
      <w:r w:rsidR="00EB4E27">
        <w:t xml:space="preserve"> operator</w:t>
      </w:r>
      <w:r>
        <w:t xml:space="preserve"> accreditation </w:t>
      </w:r>
      <w:r w:rsidR="00EB4E27">
        <w:t>to ensure</w:t>
      </w:r>
      <w:r w:rsidR="0070709F">
        <w:t xml:space="preserve"> safety</w:t>
      </w:r>
      <w:r w:rsidR="00FD1762">
        <w:t xml:space="preserve">.  The Commission must be satisfied that </w:t>
      </w:r>
      <w:r w:rsidR="0070709F">
        <w:t>the operator of a passenger transport service:</w:t>
      </w:r>
    </w:p>
    <w:p w:rsidR="0070709F" w:rsidRDefault="0070709F" w:rsidP="0070709F">
      <w:pPr>
        <w:pStyle w:val="ListParagraph"/>
        <w:numPr>
          <w:ilvl w:val="0"/>
          <w:numId w:val="39"/>
        </w:numPr>
        <w:spacing w:before="200" w:after="120"/>
      </w:pPr>
      <w:r>
        <w:t xml:space="preserve">is a fit and proper person to operate the service </w:t>
      </w:r>
    </w:p>
    <w:p w:rsidR="00A64ECD" w:rsidRDefault="0070709F" w:rsidP="0070709F">
      <w:pPr>
        <w:pStyle w:val="ListParagraph"/>
        <w:numPr>
          <w:ilvl w:val="0"/>
          <w:numId w:val="39"/>
        </w:numPr>
        <w:spacing w:before="200" w:after="120"/>
      </w:pPr>
      <w:r>
        <w:t>implements appropriate safety, security and related systems (Systems) for the service</w:t>
      </w:r>
    </w:p>
    <w:p w:rsidR="0070709F" w:rsidRDefault="0070709F" w:rsidP="0070709F">
      <w:pPr>
        <w:pStyle w:val="ListParagraph"/>
        <w:numPr>
          <w:ilvl w:val="0"/>
          <w:numId w:val="39"/>
        </w:numPr>
        <w:spacing w:before="200" w:after="120"/>
      </w:pPr>
      <w:r>
        <w:t>has the requisite  competence and capacity to manage the safety, security and related risks associated with operating the service and</w:t>
      </w:r>
    </w:p>
    <w:p w:rsidR="0070709F" w:rsidRDefault="0070709F" w:rsidP="0070709F">
      <w:pPr>
        <w:pStyle w:val="ListParagraph"/>
        <w:numPr>
          <w:ilvl w:val="0"/>
          <w:numId w:val="39"/>
        </w:numPr>
        <w:spacing w:before="200" w:after="120"/>
      </w:pPr>
      <w:r>
        <w:t>is held accountable for any deficiencies in the safety, security or related performance of the service</w:t>
      </w:r>
    </w:p>
    <w:p w:rsidR="0070709F" w:rsidRDefault="0070709F" w:rsidP="0070709F">
      <w:pPr>
        <w:spacing w:before="200" w:after="120"/>
      </w:pPr>
      <w:r>
        <w:t xml:space="preserve">When the Systems are not in place or the operator does not have the competence to manage the service, there is a risk that the service is unsafe </w:t>
      </w:r>
      <w:r w:rsidR="00FD1762">
        <w:t xml:space="preserve">and </w:t>
      </w:r>
      <w:r>
        <w:t xml:space="preserve">passengers, drivers and </w:t>
      </w:r>
      <w:r w:rsidR="00FD1762">
        <w:t>road users are exposed</w:t>
      </w:r>
      <w:r w:rsidR="005B5619">
        <w:t xml:space="preserve"> to danger by way of unsafe service, vehicle and/or driver</w:t>
      </w:r>
      <w:r>
        <w:t xml:space="preserve">. </w:t>
      </w:r>
    </w:p>
    <w:p w:rsidR="0070709F" w:rsidRDefault="0070709F" w:rsidP="0070709F">
      <w:pPr>
        <w:spacing w:before="200" w:after="120"/>
      </w:pPr>
      <w:r>
        <w:t xml:space="preserve">When there is information </w:t>
      </w:r>
      <w:r w:rsidR="00FD1762">
        <w:t>supporting</w:t>
      </w:r>
      <w:r>
        <w:t xml:space="preserve"> that the Systems </w:t>
      </w:r>
      <w:r w:rsidR="00FD1762">
        <w:t xml:space="preserve">are not </w:t>
      </w:r>
      <w:r w:rsidR="005B5619">
        <w:t>appropriate for the service</w:t>
      </w:r>
      <w:r>
        <w:t>, the Commission will take the appropriate action</w:t>
      </w:r>
      <w:r w:rsidR="00A805F6">
        <w:t>. This may include steps</w:t>
      </w:r>
      <w:r>
        <w:t xml:space="preserve"> to require that the Systems are improved.  If the Systems are not improved and </w:t>
      </w:r>
      <w:r w:rsidR="00FD1762">
        <w:t>the Commission is satisfied that there is</w:t>
      </w:r>
      <w:r>
        <w:t xml:space="preserve"> a risk to the travelling public, then </w:t>
      </w:r>
      <w:r w:rsidR="00FD1762">
        <w:t xml:space="preserve">the Commission will respond with </w:t>
      </w:r>
      <w:r>
        <w:t xml:space="preserve">significant action.  This action can include the cancellation of </w:t>
      </w:r>
      <w:r w:rsidR="00FD1762">
        <w:t>an</w:t>
      </w:r>
      <w:r>
        <w:t xml:space="preserve"> accreditation.  When </w:t>
      </w:r>
      <w:r w:rsidR="00FD1762">
        <w:t>an</w:t>
      </w:r>
      <w:r>
        <w:t xml:space="preserve"> accreditation is cancelled, the passenger transport service is no longer able to operate.</w:t>
      </w:r>
    </w:p>
    <w:p w:rsidR="00984D44" w:rsidRDefault="00984D44" w:rsidP="00D533ED">
      <w:pPr>
        <w:spacing w:before="200" w:after="120"/>
        <w:rPr>
          <w:rFonts w:ascii="Gill Sans MT" w:eastAsiaTheme="majorEastAsia" w:hAnsi="Gill Sans MT" w:cstheme="majorBidi"/>
          <w:color w:val="2E74B5" w:themeColor="accent1" w:themeShade="BF"/>
          <w:sz w:val="32"/>
          <w:szCs w:val="32"/>
        </w:rPr>
      </w:pPr>
      <w:r>
        <w:rPr>
          <w:rFonts w:ascii="Gill Sans MT" w:eastAsiaTheme="majorEastAsia" w:hAnsi="Gill Sans MT" w:cstheme="majorBidi"/>
          <w:color w:val="2E74B5" w:themeColor="accent1" w:themeShade="BF"/>
          <w:sz w:val="32"/>
          <w:szCs w:val="32"/>
        </w:rPr>
        <w:t xml:space="preserve">Accreditation Certificate </w:t>
      </w:r>
    </w:p>
    <w:p w:rsidR="004E669E" w:rsidRPr="00084ED9" w:rsidRDefault="002619A1" w:rsidP="00D533ED">
      <w:pPr>
        <w:spacing w:before="200" w:after="120"/>
      </w:pPr>
      <w:r w:rsidRPr="00084ED9">
        <w:t xml:space="preserve">Accreditation certificates issued by the Transport Commission are very important.  They identify to passengers and enforcement officers that a vehicle </w:t>
      </w:r>
      <w:r w:rsidR="00084ED9">
        <w:t xml:space="preserve">and its driver, </w:t>
      </w:r>
      <w:r w:rsidR="00A805F6">
        <w:t xml:space="preserve">are part of </w:t>
      </w:r>
      <w:r w:rsidRPr="00084ED9">
        <w:t>a</w:t>
      </w:r>
      <w:r w:rsidR="00084ED9">
        <w:t>n accredited</w:t>
      </w:r>
      <w:r w:rsidRPr="00084ED9">
        <w:t xml:space="preserve"> passenger transport service</w:t>
      </w:r>
      <w:r w:rsidR="003A2D6E">
        <w:t xml:space="preserve"> </w:t>
      </w:r>
      <w:r w:rsidR="004E669E">
        <w:t>and t</w:t>
      </w:r>
      <w:r w:rsidR="00084ED9">
        <w:t>hey</w:t>
      </w:r>
      <w:r w:rsidRPr="00084ED9">
        <w:t xml:space="preserve"> can expect that the safety, security and related systems are in place </w:t>
      </w:r>
      <w:r w:rsidR="00084ED9">
        <w:t>to ensure</w:t>
      </w:r>
      <w:r w:rsidRPr="00084ED9">
        <w:t xml:space="preserve"> the service </w:t>
      </w:r>
      <w:r w:rsidR="00084ED9">
        <w:t>is</w:t>
      </w:r>
      <w:r w:rsidRPr="00084ED9">
        <w:t xml:space="preserve"> safe.</w:t>
      </w:r>
      <w:r w:rsidR="004E669E">
        <w:t xml:space="preserve">  Accreditation certificates don’t expire.</w:t>
      </w:r>
    </w:p>
    <w:p w:rsidR="004E669E" w:rsidRDefault="002619A1" w:rsidP="00D533ED">
      <w:pPr>
        <w:spacing w:before="200" w:after="120"/>
      </w:pPr>
      <w:r w:rsidRPr="00084ED9">
        <w:t xml:space="preserve">A new </w:t>
      </w:r>
      <w:r w:rsidR="00AD795C" w:rsidRPr="00084ED9">
        <w:t xml:space="preserve">design for the </w:t>
      </w:r>
      <w:r w:rsidRPr="00084ED9">
        <w:t xml:space="preserve">accreditation certificate is being </w:t>
      </w:r>
      <w:r w:rsidR="00AD795C" w:rsidRPr="00084ED9">
        <w:t>developed</w:t>
      </w:r>
      <w:r w:rsidR="00084ED9">
        <w:t xml:space="preserve"> which will</w:t>
      </w:r>
      <w:r w:rsidRPr="00084ED9">
        <w:t xml:space="preserve"> replace the </w:t>
      </w:r>
      <w:r w:rsidR="00AD795C" w:rsidRPr="00084ED9">
        <w:t>existing design.</w:t>
      </w:r>
      <w:r w:rsidRPr="00084ED9">
        <w:t xml:space="preserve">   </w:t>
      </w:r>
    </w:p>
    <w:p w:rsidR="004E669E" w:rsidRDefault="00084ED9" w:rsidP="00D533ED">
      <w:pPr>
        <w:spacing w:before="200" w:after="120"/>
      </w:pPr>
      <w:r>
        <w:t>The new certificate will</w:t>
      </w:r>
      <w:r w:rsidR="002619A1" w:rsidRPr="00084ED9">
        <w:t xml:space="preserve"> be issued when</w:t>
      </w:r>
      <w:r w:rsidR="004E669E">
        <w:t>:</w:t>
      </w:r>
    </w:p>
    <w:p w:rsidR="004E669E" w:rsidRDefault="002619A1" w:rsidP="004E669E">
      <w:pPr>
        <w:pStyle w:val="ListParagraph"/>
        <w:numPr>
          <w:ilvl w:val="0"/>
          <w:numId w:val="40"/>
        </w:numPr>
        <w:spacing w:before="200" w:after="120"/>
      </w:pPr>
      <w:r w:rsidRPr="00084ED9">
        <w:t xml:space="preserve">a new accreditation is </w:t>
      </w:r>
      <w:r w:rsidR="00084ED9">
        <w:t>approved</w:t>
      </w:r>
      <w:r w:rsidR="004E669E">
        <w:t>; or</w:t>
      </w:r>
    </w:p>
    <w:p w:rsidR="004E669E" w:rsidRDefault="00084ED9" w:rsidP="004E669E">
      <w:pPr>
        <w:pStyle w:val="ListParagraph"/>
        <w:numPr>
          <w:ilvl w:val="0"/>
          <w:numId w:val="40"/>
        </w:numPr>
        <w:spacing w:before="200" w:after="120"/>
      </w:pPr>
      <w:r>
        <w:t>an audit report or National Police Certificate (NPC) is submitted</w:t>
      </w:r>
      <w:r w:rsidR="004E669E">
        <w:t xml:space="preserve"> for an existing accreditation</w:t>
      </w:r>
      <w:r>
        <w:t xml:space="preserve"> (in accordance with the conditions of</w:t>
      </w:r>
      <w:r w:rsidR="002619A1" w:rsidRPr="00084ED9">
        <w:t xml:space="preserve"> accreditation</w:t>
      </w:r>
      <w:r>
        <w:t>)</w:t>
      </w:r>
      <w:r w:rsidR="00AD795C" w:rsidRPr="00084ED9">
        <w:t xml:space="preserve"> over the next three years</w:t>
      </w:r>
      <w:r w:rsidR="002619A1" w:rsidRPr="00084ED9">
        <w:t xml:space="preserve">.  </w:t>
      </w:r>
    </w:p>
    <w:p w:rsidR="004E669E" w:rsidRDefault="004E669E" w:rsidP="00D533ED">
      <w:pPr>
        <w:spacing w:before="200" w:after="120"/>
      </w:pPr>
      <w:r>
        <w:t xml:space="preserve">The </w:t>
      </w:r>
      <w:r w:rsidRPr="00084ED9">
        <w:t>conditions that apply to the accreditation</w:t>
      </w:r>
      <w:r w:rsidR="00AD795C" w:rsidRPr="00084ED9">
        <w:t xml:space="preserve"> certificate will </w:t>
      </w:r>
      <w:r>
        <w:t>still be described on the certificate</w:t>
      </w:r>
      <w:r w:rsidR="00AD795C" w:rsidRPr="00084ED9">
        <w:t xml:space="preserve">.  </w:t>
      </w:r>
    </w:p>
    <w:p w:rsidR="00D65413" w:rsidRDefault="002619A1" w:rsidP="00D533ED">
      <w:pPr>
        <w:spacing w:before="200" w:after="120"/>
      </w:pPr>
      <w:r w:rsidRPr="00084ED9">
        <w:t>When an accreditation certificate with the new design</w:t>
      </w:r>
      <w:r w:rsidR="004E669E">
        <w:t xml:space="preserve"> is issued,</w:t>
      </w:r>
      <w:r w:rsidRPr="00084ED9">
        <w:t xml:space="preserve"> </w:t>
      </w:r>
      <w:r w:rsidR="00AD795C" w:rsidRPr="00084ED9">
        <w:t>a further certificate</w:t>
      </w:r>
      <w:r w:rsidRPr="00084ED9">
        <w:t xml:space="preserve"> will </w:t>
      </w:r>
      <w:r w:rsidR="004E669E">
        <w:t>NOT</w:t>
      </w:r>
      <w:r w:rsidRPr="00084ED9">
        <w:t xml:space="preserve"> be issued unless there is </w:t>
      </w:r>
      <w:r w:rsidR="004E669E">
        <w:t xml:space="preserve">any change to the </w:t>
      </w:r>
      <w:r w:rsidRPr="00084ED9">
        <w:t>condition</w:t>
      </w:r>
      <w:r w:rsidR="004E669E">
        <w:t>s</w:t>
      </w:r>
      <w:r w:rsidRPr="00084ED9">
        <w:t xml:space="preserve"> </w:t>
      </w:r>
      <w:r w:rsidR="004E669E">
        <w:t>of</w:t>
      </w:r>
      <w:r w:rsidRPr="00084ED9">
        <w:t xml:space="preserve"> the accreditation.  </w:t>
      </w:r>
      <w:r w:rsidR="00D65413">
        <w:t xml:space="preserve"> </w:t>
      </w:r>
      <w:r w:rsidR="003A2D6E">
        <w:t>(</w:t>
      </w:r>
      <w:r w:rsidR="00D65413">
        <w:t>T</w:t>
      </w:r>
      <w:r w:rsidR="00D65413" w:rsidRPr="00084ED9">
        <w:t>he Responsible Person or the Accredited Operator will need to visit a Service Tasmania shop and pay a fee</w:t>
      </w:r>
      <w:r w:rsidR="003A2D6E">
        <w:t>, currently $31.60)</w:t>
      </w:r>
      <w:r w:rsidR="00D65413" w:rsidRPr="00084ED9">
        <w:t>.  The new certificate will be forwarded by mail or email from the Regulations and Concessions Unit.</w:t>
      </w:r>
    </w:p>
    <w:p w:rsidR="00A64ECD" w:rsidRPr="00084ED9" w:rsidRDefault="003A2D6E" w:rsidP="00D533ED">
      <w:pPr>
        <w:spacing w:before="200" w:after="120"/>
      </w:pPr>
      <w:r>
        <w:t>O</w:t>
      </w:r>
      <w:r w:rsidR="00AD795C" w:rsidRPr="00084ED9">
        <w:t xml:space="preserve">perators will </w:t>
      </w:r>
      <w:r>
        <w:t>not</w:t>
      </w:r>
      <w:r w:rsidR="00AD795C" w:rsidRPr="00084ED9">
        <w:t xml:space="preserve"> need to wait for a new certificate when they submit an audit report or NPC.</w:t>
      </w:r>
    </w:p>
    <w:p w:rsidR="00AD795C" w:rsidRPr="00084ED9" w:rsidRDefault="00AD795C" w:rsidP="00D533ED">
      <w:pPr>
        <w:spacing w:before="200" w:after="120"/>
      </w:pPr>
      <w:r w:rsidRPr="00084ED9">
        <w:t xml:space="preserve">The original of the accreditation certificate </w:t>
      </w:r>
      <w:r w:rsidR="003A2D6E">
        <w:t>must</w:t>
      </w:r>
      <w:r w:rsidRPr="00084ED9">
        <w:t xml:space="preserve"> be kept with the </w:t>
      </w:r>
      <w:r w:rsidR="00D65413">
        <w:t xml:space="preserve">accreditation </w:t>
      </w:r>
      <w:r w:rsidRPr="00084ED9">
        <w:t xml:space="preserve">records </w:t>
      </w:r>
      <w:r w:rsidR="00D65413">
        <w:t>in accordance with the Accreditation Standards</w:t>
      </w:r>
      <w:r w:rsidRPr="00084ED9">
        <w:t xml:space="preserve">.  A copy of the certificate must be </w:t>
      </w:r>
      <w:r w:rsidR="00D65413">
        <w:t>displayed prominently</w:t>
      </w:r>
      <w:r w:rsidRPr="00084ED9">
        <w:t xml:space="preserve"> in each vehicle that is use</w:t>
      </w:r>
      <w:r w:rsidR="00D65413">
        <w:t>d for the Service in accordance with the written instructions of the Commission.</w:t>
      </w:r>
    </w:p>
    <w:p w:rsidR="00084ED9" w:rsidRDefault="00160AB6" w:rsidP="00084ED9">
      <w:pPr>
        <w:spacing w:before="200" w:after="120"/>
        <w:rPr>
          <w:rFonts w:ascii="Gill Sans MT" w:eastAsiaTheme="majorEastAsia" w:hAnsi="Gill Sans MT" w:cstheme="majorBidi"/>
          <w:color w:val="2E74B5" w:themeColor="accent1" w:themeShade="BF"/>
          <w:sz w:val="32"/>
          <w:szCs w:val="32"/>
        </w:rPr>
      </w:pPr>
      <w:r w:rsidRPr="00FF0AA5">
        <w:rPr>
          <w:rFonts w:ascii="Gill Sans MT" w:eastAsiaTheme="majorEastAsia" w:hAnsi="Gill Sans MT" w:cstheme="majorBidi"/>
          <w:color w:val="2E74B5" w:themeColor="accent1" w:themeShade="BF"/>
          <w:sz w:val="32"/>
          <w:szCs w:val="32"/>
        </w:rPr>
        <w:lastRenderedPageBreak/>
        <w:t xml:space="preserve">Regulations and Concessions Unit </w:t>
      </w:r>
    </w:p>
    <w:p w:rsidR="00160AB6" w:rsidRPr="00D65413" w:rsidRDefault="00160AB6" w:rsidP="00084ED9">
      <w:pPr>
        <w:spacing w:before="200" w:after="120"/>
        <w:rPr>
          <w:rFonts w:eastAsia="Times New Roman" w:cs="Arial"/>
          <w:color w:val="000000"/>
        </w:rPr>
      </w:pPr>
      <w:r w:rsidRPr="00D65413">
        <w:rPr>
          <w:rFonts w:eastAsia="Times New Roman" w:cs="Arial"/>
          <w:color w:val="000000"/>
        </w:rPr>
        <w:t>For operator accreditation or taxi licence enquiries:</w:t>
      </w:r>
    </w:p>
    <w:p w:rsidR="00A00FEF" w:rsidRPr="00D65413" w:rsidRDefault="00160AB6" w:rsidP="00A00FEF">
      <w:pPr>
        <w:spacing w:after="0"/>
        <w:rPr>
          <w:rFonts w:eastAsia="Times New Roman" w:cs="Arial"/>
          <w:color w:val="000000"/>
        </w:rPr>
      </w:pPr>
      <w:r w:rsidRPr="00D65413">
        <w:rPr>
          <w:rFonts w:eastAsia="Times New Roman" w:cs="Arial"/>
          <w:color w:val="000000"/>
        </w:rPr>
        <w:t xml:space="preserve">Email: </w:t>
      </w:r>
      <w:r w:rsidRPr="00D65413">
        <w:rPr>
          <w:rFonts w:eastAsia="Times New Roman" w:cs="Arial"/>
          <w:color w:val="000000"/>
        </w:rPr>
        <w:tab/>
      </w:r>
      <w:hyperlink r:id="rId13" w:history="1">
        <w:r w:rsidRPr="00D65413">
          <w:rPr>
            <w:rStyle w:val="Hyperlink"/>
            <w:rFonts w:eastAsia="Times New Roman" w:cs="Arial"/>
          </w:rPr>
          <w:t>operator.accreditation@stategrowth.tas.gov.au</w:t>
        </w:r>
      </w:hyperlink>
    </w:p>
    <w:p w:rsidR="00A00FEF" w:rsidRPr="00D533ED" w:rsidRDefault="00A00FEF" w:rsidP="00D533ED">
      <w:pPr>
        <w:pStyle w:val="Default"/>
        <w:rPr>
          <w:rFonts w:cs="Arial"/>
          <w:color w:val="auto"/>
          <w:sz w:val="22"/>
          <w:szCs w:val="22"/>
        </w:rPr>
      </w:pPr>
      <w:bookmarkStart w:id="0" w:name="_GoBack"/>
      <w:bookmarkEnd w:id="0"/>
    </w:p>
    <w:sectPr w:rsidR="00A00FEF" w:rsidRPr="00D533ED" w:rsidSect="00595EC5">
      <w:headerReference w:type="first" r:id="rId14"/>
      <w:pgSz w:w="11906" w:h="16838"/>
      <w:pgMar w:top="1418" w:right="707" w:bottom="1440"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42A9" w:rsidRDefault="003142A9" w:rsidP="00884DC0">
      <w:pPr>
        <w:spacing w:after="0" w:line="240" w:lineRule="auto"/>
      </w:pPr>
      <w:r>
        <w:separator/>
      </w:r>
    </w:p>
  </w:endnote>
  <w:endnote w:type="continuationSeparator" w:id="0">
    <w:p w:rsidR="003142A9" w:rsidRDefault="003142A9" w:rsidP="00884D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Std Light">
    <w:altName w:val="Times New Roman"/>
    <w:charset w:val="00"/>
    <w:family w:val="auto"/>
    <w:pitch w:val="variable"/>
    <w:sig w:usb0="00000003" w:usb1="00000000" w:usb2="00000000" w:usb3="00000000" w:csb0="00000001" w:csb1="00000000"/>
  </w:font>
  <w:font w:name="GillSansMTStd-Light">
    <w:altName w:val="Gill Sans MT Std Light"/>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42A9" w:rsidRDefault="003142A9" w:rsidP="00884DC0">
      <w:pPr>
        <w:spacing w:after="0" w:line="240" w:lineRule="auto"/>
      </w:pPr>
      <w:r>
        <w:separator/>
      </w:r>
    </w:p>
  </w:footnote>
  <w:footnote w:type="continuationSeparator" w:id="0">
    <w:p w:rsidR="003142A9" w:rsidRDefault="003142A9" w:rsidP="00884D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1604" w:rsidRDefault="00B516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749F3"/>
    <w:multiLevelType w:val="hybridMultilevel"/>
    <w:tmpl w:val="6A2817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C40824"/>
    <w:multiLevelType w:val="hybridMultilevel"/>
    <w:tmpl w:val="140C991A"/>
    <w:lvl w:ilvl="0" w:tplc="0C090003">
      <w:start w:val="1"/>
      <w:numFmt w:val="bullet"/>
      <w:lvlText w:val="o"/>
      <w:lvlJc w:val="left"/>
      <w:pPr>
        <w:ind w:left="862" w:hanging="360"/>
      </w:pPr>
      <w:rPr>
        <w:rFonts w:ascii="Courier New" w:hAnsi="Courier New" w:cs="Courier New"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 w15:restartNumberingAfterBreak="0">
    <w:nsid w:val="07FF7B17"/>
    <w:multiLevelType w:val="hybridMultilevel"/>
    <w:tmpl w:val="DA22F3A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10A3684D"/>
    <w:multiLevelType w:val="hybridMultilevel"/>
    <w:tmpl w:val="36387EBE"/>
    <w:lvl w:ilvl="0" w:tplc="CADCD4CC">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45700FE"/>
    <w:multiLevelType w:val="hybridMultilevel"/>
    <w:tmpl w:val="2C229E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7CB7DF6"/>
    <w:multiLevelType w:val="hybridMultilevel"/>
    <w:tmpl w:val="59B878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D807FF5"/>
    <w:multiLevelType w:val="hybridMultilevel"/>
    <w:tmpl w:val="3018687E"/>
    <w:lvl w:ilvl="0" w:tplc="77D6C376">
      <w:numFmt w:val="bullet"/>
      <w:lvlText w:val="-"/>
      <w:lvlJc w:val="left"/>
      <w:pPr>
        <w:ind w:left="720" w:hanging="360"/>
      </w:pPr>
      <w:rPr>
        <w:rFonts w:ascii="Gill Sans MT" w:eastAsiaTheme="minorHAnsi" w:hAnsi="Gill Sans M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F3D0C25"/>
    <w:multiLevelType w:val="hybridMultilevel"/>
    <w:tmpl w:val="526212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40468A6"/>
    <w:multiLevelType w:val="hybridMultilevel"/>
    <w:tmpl w:val="F0E2CB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4396522"/>
    <w:multiLevelType w:val="hybridMultilevel"/>
    <w:tmpl w:val="8FF083A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45D2BBA"/>
    <w:multiLevelType w:val="hybridMultilevel"/>
    <w:tmpl w:val="4E7C7E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24B31655"/>
    <w:multiLevelType w:val="hybridMultilevel"/>
    <w:tmpl w:val="6264F7F0"/>
    <w:lvl w:ilvl="0" w:tplc="01EE508C">
      <w:start w:val="1"/>
      <w:numFmt w:val="bullet"/>
      <w:lvlText w:val="-"/>
      <w:lvlJc w:val="left"/>
      <w:pPr>
        <w:ind w:left="720" w:hanging="360"/>
      </w:pPr>
      <w:rPr>
        <w:rFonts w:ascii="Gill Sans MT" w:eastAsia="Times New Roman" w:hAnsi="Gill Sans M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53E0636"/>
    <w:multiLevelType w:val="hybridMultilevel"/>
    <w:tmpl w:val="016C0A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689193F"/>
    <w:multiLevelType w:val="hybridMultilevel"/>
    <w:tmpl w:val="7B9EF1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7442479"/>
    <w:multiLevelType w:val="hybridMultilevel"/>
    <w:tmpl w:val="F31ACB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94A3BE1"/>
    <w:multiLevelType w:val="hybridMultilevel"/>
    <w:tmpl w:val="AE6866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A6C2717"/>
    <w:multiLevelType w:val="hybridMultilevel"/>
    <w:tmpl w:val="5C72FED8"/>
    <w:lvl w:ilvl="0" w:tplc="0932133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C5D2075"/>
    <w:multiLevelType w:val="hybridMultilevel"/>
    <w:tmpl w:val="A3CC75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D4D140F"/>
    <w:multiLevelType w:val="hybridMultilevel"/>
    <w:tmpl w:val="5C14CD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E576D8B"/>
    <w:multiLevelType w:val="hybridMultilevel"/>
    <w:tmpl w:val="7D32565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3339525D"/>
    <w:multiLevelType w:val="hybridMultilevel"/>
    <w:tmpl w:val="D10684D4"/>
    <w:lvl w:ilvl="0" w:tplc="40FC5672">
      <w:numFmt w:val="bullet"/>
      <w:lvlText w:val="-"/>
      <w:lvlJc w:val="left"/>
      <w:pPr>
        <w:ind w:left="720" w:hanging="360"/>
      </w:pPr>
      <w:rPr>
        <w:rFonts w:ascii="Helvetica" w:eastAsia="Times New Roman" w:hAnsi="Helvetica"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89C011B"/>
    <w:multiLevelType w:val="hybridMultilevel"/>
    <w:tmpl w:val="3866F6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AFF5CE7"/>
    <w:multiLevelType w:val="hybridMultilevel"/>
    <w:tmpl w:val="914819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0DA7DD1"/>
    <w:multiLevelType w:val="hybridMultilevel"/>
    <w:tmpl w:val="1518AC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5E32504"/>
    <w:multiLevelType w:val="hybridMultilevel"/>
    <w:tmpl w:val="6B46C7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78854E4"/>
    <w:multiLevelType w:val="hybridMultilevel"/>
    <w:tmpl w:val="0E2AE1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9FD021B"/>
    <w:multiLevelType w:val="hybridMultilevel"/>
    <w:tmpl w:val="DE3413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B825408"/>
    <w:multiLevelType w:val="hybridMultilevel"/>
    <w:tmpl w:val="08B8F68A"/>
    <w:lvl w:ilvl="0" w:tplc="0C090001">
      <w:start w:val="1"/>
      <w:numFmt w:val="bullet"/>
      <w:lvlText w:val=""/>
      <w:lvlJc w:val="left"/>
      <w:pPr>
        <w:ind w:left="792" w:hanging="360"/>
      </w:pPr>
      <w:rPr>
        <w:rFonts w:ascii="Symbol" w:hAnsi="Symbol" w:hint="default"/>
      </w:rPr>
    </w:lvl>
    <w:lvl w:ilvl="1" w:tplc="0C090003" w:tentative="1">
      <w:start w:val="1"/>
      <w:numFmt w:val="bullet"/>
      <w:lvlText w:val="o"/>
      <w:lvlJc w:val="left"/>
      <w:pPr>
        <w:ind w:left="1512" w:hanging="360"/>
      </w:pPr>
      <w:rPr>
        <w:rFonts w:ascii="Courier New" w:hAnsi="Courier New" w:cs="Courier New" w:hint="default"/>
      </w:rPr>
    </w:lvl>
    <w:lvl w:ilvl="2" w:tplc="0C090005" w:tentative="1">
      <w:start w:val="1"/>
      <w:numFmt w:val="bullet"/>
      <w:lvlText w:val=""/>
      <w:lvlJc w:val="left"/>
      <w:pPr>
        <w:ind w:left="2232" w:hanging="360"/>
      </w:pPr>
      <w:rPr>
        <w:rFonts w:ascii="Wingdings" w:hAnsi="Wingdings" w:hint="default"/>
      </w:rPr>
    </w:lvl>
    <w:lvl w:ilvl="3" w:tplc="0C090001" w:tentative="1">
      <w:start w:val="1"/>
      <w:numFmt w:val="bullet"/>
      <w:lvlText w:val=""/>
      <w:lvlJc w:val="left"/>
      <w:pPr>
        <w:ind w:left="2952" w:hanging="360"/>
      </w:pPr>
      <w:rPr>
        <w:rFonts w:ascii="Symbol" w:hAnsi="Symbol" w:hint="default"/>
      </w:rPr>
    </w:lvl>
    <w:lvl w:ilvl="4" w:tplc="0C090003" w:tentative="1">
      <w:start w:val="1"/>
      <w:numFmt w:val="bullet"/>
      <w:lvlText w:val="o"/>
      <w:lvlJc w:val="left"/>
      <w:pPr>
        <w:ind w:left="3672" w:hanging="360"/>
      </w:pPr>
      <w:rPr>
        <w:rFonts w:ascii="Courier New" w:hAnsi="Courier New" w:cs="Courier New" w:hint="default"/>
      </w:rPr>
    </w:lvl>
    <w:lvl w:ilvl="5" w:tplc="0C090005" w:tentative="1">
      <w:start w:val="1"/>
      <w:numFmt w:val="bullet"/>
      <w:lvlText w:val=""/>
      <w:lvlJc w:val="left"/>
      <w:pPr>
        <w:ind w:left="4392" w:hanging="360"/>
      </w:pPr>
      <w:rPr>
        <w:rFonts w:ascii="Wingdings" w:hAnsi="Wingdings" w:hint="default"/>
      </w:rPr>
    </w:lvl>
    <w:lvl w:ilvl="6" w:tplc="0C090001" w:tentative="1">
      <w:start w:val="1"/>
      <w:numFmt w:val="bullet"/>
      <w:lvlText w:val=""/>
      <w:lvlJc w:val="left"/>
      <w:pPr>
        <w:ind w:left="5112" w:hanging="360"/>
      </w:pPr>
      <w:rPr>
        <w:rFonts w:ascii="Symbol" w:hAnsi="Symbol" w:hint="default"/>
      </w:rPr>
    </w:lvl>
    <w:lvl w:ilvl="7" w:tplc="0C090003" w:tentative="1">
      <w:start w:val="1"/>
      <w:numFmt w:val="bullet"/>
      <w:lvlText w:val="o"/>
      <w:lvlJc w:val="left"/>
      <w:pPr>
        <w:ind w:left="5832" w:hanging="360"/>
      </w:pPr>
      <w:rPr>
        <w:rFonts w:ascii="Courier New" w:hAnsi="Courier New" w:cs="Courier New" w:hint="default"/>
      </w:rPr>
    </w:lvl>
    <w:lvl w:ilvl="8" w:tplc="0C090005" w:tentative="1">
      <w:start w:val="1"/>
      <w:numFmt w:val="bullet"/>
      <w:lvlText w:val=""/>
      <w:lvlJc w:val="left"/>
      <w:pPr>
        <w:ind w:left="6552" w:hanging="360"/>
      </w:pPr>
      <w:rPr>
        <w:rFonts w:ascii="Wingdings" w:hAnsi="Wingdings" w:hint="default"/>
      </w:rPr>
    </w:lvl>
  </w:abstractNum>
  <w:abstractNum w:abstractNumId="28" w15:restartNumberingAfterBreak="0">
    <w:nsid w:val="5C822650"/>
    <w:multiLevelType w:val="hybridMultilevel"/>
    <w:tmpl w:val="3A8ECA3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18A2672"/>
    <w:multiLevelType w:val="hybridMultilevel"/>
    <w:tmpl w:val="1D06E0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711380D"/>
    <w:multiLevelType w:val="hybridMultilevel"/>
    <w:tmpl w:val="2CAC2A30"/>
    <w:lvl w:ilvl="0" w:tplc="8A2E730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FE3207D"/>
    <w:multiLevelType w:val="hybridMultilevel"/>
    <w:tmpl w:val="0FFA4CDA"/>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2" w15:restartNumberingAfterBreak="0">
    <w:nsid w:val="70665508"/>
    <w:multiLevelType w:val="hybridMultilevel"/>
    <w:tmpl w:val="AB74286C"/>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33" w15:restartNumberingAfterBreak="0">
    <w:nsid w:val="70AD61E2"/>
    <w:multiLevelType w:val="hybridMultilevel"/>
    <w:tmpl w:val="45067090"/>
    <w:lvl w:ilvl="0" w:tplc="10D2C72A">
      <w:start w:val="1"/>
      <w:numFmt w:val="bullet"/>
      <w:lvlText w:val="-"/>
      <w:lvlJc w:val="left"/>
      <w:pPr>
        <w:ind w:left="720" w:hanging="360"/>
      </w:pPr>
      <w:rPr>
        <w:rFonts w:ascii="Calibri" w:eastAsia="Calibri" w:hAnsi="Calibri"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4" w15:restartNumberingAfterBreak="0">
    <w:nsid w:val="70E851B6"/>
    <w:multiLevelType w:val="hybridMultilevel"/>
    <w:tmpl w:val="0D5CCA54"/>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35" w15:restartNumberingAfterBreak="0">
    <w:nsid w:val="76322FC5"/>
    <w:multiLevelType w:val="hybridMultilevel"/>
    <w:tmpl w:val="B3EA95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69A5110"/>
    <w:multiLevelType w:val="hybridMultilevel"/>
    <w:tmpl w:val="22EC34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7153EBE"/>
    <w:multiLevelType w:val="hybridMultilevel"/>
    <w:tmpl w:val="8BDAD3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C2F5CB1"/>
    <w:multiLevelType w:val="hybridMultilevel"/>
    <w:tmpl w:val="52B67A10"/>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F3D267A"/>
    <w:multiLevelType w:val="hybridMultilevel"/>
    <w:tmpl w:val="852423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0"/>
  </w:num>
  <w:num w:numId="2">
    <w:abstractNumId w:val="28"/>
  </w:num>
  <w:num w:numId="3">
    <w:abstractNumId w:val="18"/>
  </w:num>
  <w:num w:numId="4">
    <w:abstractNumId w:val="25"/>
  </w:num>
  <w:num w:numId="5">
    <w:abstractNumId w:val="6"/>
  </w:num>
  <w:num w:numId="6">
    <w:abstractNumId w:val="11"/>
  </w:num>
  <w:num w:numId="7">
    <w:abstractNumId w:val="2"/>
  </w:num>
  <w:num w:numId="8">
    <w:abstractNumId w:val="5"/>
  </w:num>
  <w:num w:numId="9">
    <w:abstractNumId w:val="3"/>
  </w:num>
  <w:num w:numId="10">
    <w:abstractNumId w:val="12"/>
  </w:num>
  <w:num w:numId="11">
    <w:abstractNumId w:val="30"/>
  </w:num>
  <w:num w:numId="12">
    <w:abstractNumId w:val="33"/>
  </w:num>
  <w:num w:numId="13">
    <w:abstractNumId w:val="38"/>
  </w:num>
  <w:num w:numId="14">
    <w:abstractNumId w:val="32"/>
  </w:num>
  <w:num w:numId="15">
    <w:abstractNumId w:val="26"/>
  </w:num>
  <w:num w:numId="16">
    <w:abstractNumId w:val="9"/>
  </w:num>
  <w:num w:numId="17">
    <w:abstractNumId w:val="29"/>
  </w:num>
  <w:num w:numId="18">
    <w:abstractNumId w:val="7"/>
  </w:num>
  <w:num w:numId="19">
    <w:abstractNumId w:val="19"/>
  </w:num>
  <w:num w:numId="20">
    <w:abstractNumId w:val="21"/>
  </w:num>
  <w:num w:numId="21">
    <w:abstractNumId w:val="13"/>
  </w:num>
  <w:num w:numId="22">
    <w:abstractNumId w:val="35"/>
  </w:num>
  <w:num w:numId="23">
    <w:abstractNumId w:val="31"/>
  </w:num>
  <w:num w:numId="24">
    <w:abstractNumId w:val="0"/>
  </w:num>
  <w:num w:numId="25">
    <w:abstractNumId w:val="14"/>
  </w:num>
  <w:num w:numId="26">
    <w:abstractNumId w:val="23"/>
  </w:num>
  <w:num w:numId="27">
    <w:abstractNumId w:val="24"/>
  </w:num>
  <w:num w:numId="28">
    <w:abstractNumId w:val="27"/>
  </w:num>
  <w:num w:numId="29">
    <w:abstractNumId w:val="37"/>
  </w:num>
  <w:num w:numId="30">
    <w:abstractNumId w:val="15"/>
  </w:num>
  <w:num w:numId="31">
    <w:abstractNumId w:val="4"/>
  </w:num>
  <w:num w:numId="32">
    <w:abstractNumId w:val="36"/>
  </w:num>
  <w:num w:numId="33">
    <w:abstractNumId w:val="8"/>
  </w:num>
  <w:num w:numId="34">
    <w:abstractNumId w:val="17"/>
  </w:num>
  <w:num w:numId="35">
    <w:abstractNumId w:val="22"/>
  </w:num>
  <w:num w:numId="36">
    <w:abstractNumId w:val="1"/>
  </w:num>
  <w:num w:numId="37">
    <w:abstractNumId w:val="10"/>
  </w:num>
  <w:num w:numId="38">
    <w:abstractNumId w:val="16"/>
  </w:num>
  <w:num w:numId="39">
    <w:abstractNumId w:val="34"/>
  </w:num>
  <w:num w:numId="4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37B"/>
    <w:rsid w:val="00001528"/>
    <w:rsid w:val="00002EB4"/>
    <w:rsid w:val="000034D4"/>
    <w:rsid w:val="00007328"/>
    <w:rsid w:val="00007C31"/>
    <w:rsid w:val="00012C0A"/>
    <w:rsid w:val="0002260C"/>
    <w:rsid w:val="000257A5"/>
    <w:rsid w:val="0003591A"/>
    <w:rsid w:val="00037DC4"/>
    <w:rsid w:val="000405FE"/>
    <w:rsid w:val="000416E8"/>
    <w:rsid w:val="00042178"/>
    <w:rsid w:val="000466FF"/>
    <w:rsid w:val="00050A69"/>
    <w:rsid w:val="00051B19"/>
    <w:rsid w:val="0005328B"/>
    <w:rsid w:val="00056798"/>
    <w:rsid w:val="00063880"/>
    <w:rsid w:val="00064F10"/>
    <w:rsid w:val="00067A29"/>
    <w:rsid w:val="00070267"/>
    <w:rsid w:val="0007082E"/>
    <w:rsid w:val="00073904"/>
    <w:rsid w:val="00084ED9"/>
    <w:rsid w:val="000A3A4C"/>
    <w:rsid w:val="000B3B7F"/>
    <w:rsid w:val="000D1AAD"/>
    <w:rsid w:val="000D3133"/>
    <w:rsid w:val="000D354B"/>
    <w:rsid w:val="000E4FDD"/>
    <w:rsid w:val="000E6570"/>
    <w:rsid w:val="000F62BF"/>
    <w:rsid w:val="00100F25"/>
    <w:rsid w:val="001019ED"/>
    <w:rsid w:val="00104664"/>
    <w:rsid w:val="00107647"/>
    <w:rsid w:val="001111E8"/>
    <w:rsid w:val="00113AEE"/>
    <w:rsid w:val="00114C56"/>
    <w:rsid w:val="001238A1"/>
    <w:rsid w:val="00125ADD"/>
    <w:rsid w:val="00126A9B"/>
    <w:rsid w:val="00130998"/>
    <w:rsid w:val="001315C6"/>
    <w:rsid w:val="001443B6"/>
    <w:rsid w:val="0015216A"/>
    <w:rsid w:val="00157D2E"/>
    <w:rsid w:val="00160AB6"/>
    <w:rsid w:val="00161FB9"/>
    <w:rsid w:val="001714B9"/>
    <w:rsid w:val="00185A80"/>
    <w:rsid w:val="00186CDC"/>
    <w:rsid w:val="0019020A"/>
    <w:rsid w:val="00193A5C"/>
    <w:rsid w:val="00197EE7"/>
    <w:rsid w:val="001A1BAC"/>
    <w:rsid w:val="001A2734"/>
    <w:rsid w:val="001A50E1"/>
    <w:rsid w:val="001A6A8B"/>
    <w:rsid w:val="001B2CC6"/>
    <w:rsid w:val="001C3333"/>
    <w:rsid w:val="001D207B"/>
    <w:rsid w:val="001E0474"/>
    <w:rsid w:val="001E083C"/>
    <w:rsid w:val="001E31AE"/>
    <w:rsid w:val="001F3D31"/>
    <w:rsid w:val="00200110"/>
    <w:rsid w:val="00211421"/>
    <w:rsid w:val="002132C3"/>
    <w:rsid w:val="00216A6F"/>
    <w:rsid w:val="002277A0"/>
    <w:rsid w:val="002278DD"/>
    <w:rsid w:val="002338C6"/>
    <w:rsid w:val="00241F47"/>
    <w:rsid w:val="00242997"/>
    <w:rsid w:val="002503DB"/>
    <w:rsid w:val="00253A62"/>
    <w:rsid w:val="00260A39"/>
    <w:rsid w:val="00261894"/>
    <w:rsid w:val="002619A1"/>
    <w:rsid w:val="00267DD3"/>
    <w:rsid w:val="0027437B"/>
    <w:rsid w:val="002769B2"/>
    <w:rsid w:val="00297FAE"/>
    <w:rsid w:val="002A60AC"/>
    <w:rsid w:val="002B071F"/>
    <w:rsid w:val="002C08F6"/>
    <w:rsid w:val="002C2021"/>
    <w:rsid w:val="002C2D32"/>
    <w:rsid w:val="002C54CF"/>
    <w:rsid w:val="002C5C39"/>
    <w:rsid w:val="002D26E0"/>
    <w:rsid w:val="002D494C"/>
    <w:rsid w:val="002D6E69"/>
    <w:rsid w:val="002E1C22"/>
    <w:rsid w:val="002E3BA1"/>
    <w:rsid w:val="002F074A"/>
    <w:rsid w:val="002F381F"/>
    <w:rsid w:val="002F5DD5"/>
    <w:rsid w:val="002F7FEF"/>
    <w:rsid w:val="00311714"/>
    <w:rsid w:val="003142A9"/>
    <w:rsid w:val="003332F2"/>
    <w:rsid w:val="003356DD"/>
    <w:rsid w:val="00350E5B"/>
    <w:rsid w:val="00353A16"/>
    <w:rsid w:val="003612F4"/>
    <w:rsid w:val="0036418C"/>
    <w:rsid w:val="0036557D"/>
    <w:rsid w:val="00370DBE"/>
    <w:rsid w:val="00370EE3"/>
    <w:rsid w:val="00382E1A"/>
    <w:rsid w:val="003830B2"/>
    <w:rsid w:val="00383C30"/>
    <w:rsid w:val="00383CD8"/>
    <w:rsid w:val="003945D7"/>
    <w:rsid w:val="00394D53"/>
    <w:rsid w:val="00397566"/>
    <w:rsid w:val="003A16DF"/>
    <w:rsid w:val="003A2D6E"/>
    <w:rsid w:val="003A3689"/>
    <w:rsid w:val="003A5356"/>
    <w:rsid w:val="003A5ACC"/>
    <w:rsid w:val="003B2DE8"/>
    <w:rsid w:val="003B4A83"/>
    <w:rsid w:val="003B546D"/>
    <w:rsid w:val="003C1B09"/>
    <w:rsid w:val="003C2D64"/>
    <w:rsid w:val="003D62EA"/>
    <w:rsid w:val="003E0838"/>
    <w:rsid w:val="003E50CF"/>
    <w:rsid w:val="003F13F8"/>
    <w:rsid w:val="003F541F"/>
    <w:rsid w:val="00404A05"/>
    <w:rsid w:val="004125E8"/>
    <w:rsid w:val="00412BEC"/>
    <w:rsid w:val="00420F90"/>
    <w:rsid w:val="00432D8E"/>
    <w:rsid w:val="004337A5"/>
    <w:rsid w:val="004403F3"/>
    <w:rsid w:val="00442E84"/>
    <w:rsid w:val="00460435"/>
    <w:rsid w:val="0047507C"/>
    <w:rsid w:val="00494844"/>
    <w:rsid w:val="004A5B44"/>
    <w:rsid w:val="004B4E46"/>
    <w:rsid w:val="004B62AF"/>
    <w:rsid w:val="004C1ED3"/>
    <w:rsid w:val="004D32B0"/>
    <w:rsid w:val="004D794E"/>
    <w:rsid w:val="004E0FCC"/>
    <w:rsid w:val="004E49C8"/>
    <w:rsid w:val="004E669E"/>
    <w:rsid w:val="004E6F7C"/>
    <w:rsid w:val="004F0AE7"/>
    <w:rsid w:val="004F15BD"/>
    <w:rsid w:val="004F6DC0"/>
    <w:rsid w:val="00504966"/>
    <w:rsid w:val="00505765"/>
    <w:rsid w:val="00506F66"/>
    <w:rsid w:val="00516CE9"/>
    <w:rsid w:val="00531475"/>
    <w:rsid w:val="00532C71"/>
    <w:rsid w:val="005347FB"/>
    <w:rsid w:val="0053589C"/>
    <w:rsid w:val="00537A10"/>
    <w:rsid w:val="00544441"/>
    <w:rsid w:val="00556AFD"/>
    <w:rsid w:val="00557B12"/>
    <w:rsid w:val="00573E2E"/>
    <w:rsid w:val="00577A67"/>
    <w:rsid w:val="00583157"/>
    <w:rsid w:val="005865F5"/>
    <w:rsid w:val="00590A61"/>
    <w:rsid w:val="00590CCD"/>
    <w:rsid w:val="0059106A"/>
    <w:rsid w:val="005920AB"/>
    <w:rsid w:val="00592AE0"/>
    <w:rsid w:val="00594F01"/>
    <w:rsid w:val="00595EC5"/>
    <w:rsid w:val="005A4604"/>
    <w:rsid w:val="005A7D4C"/>
    <w:rsid w:val="005B2506"/>
    <w:rsid w:val="005B48D7"/>
    <w:rsid w:val="005B53DD"/>
    <w:rsid w:val="005B5619"/>
    <w:rsid w:val="005B62EC"/>
    <w:rsid w:val="005C07AE"/>
    <w:rsid w:val="005C7AD5"/>
    <w:rsid w:val="005D00DF"/>
    <w:rsid w:val="005D1DF7"/>
    <w:rsid w:val="005D5E87"/>
    <w:rsid w:val="005D7312"/>
    <w:rsid w:val="005E5066"/>
    <w:rsid w:val="005E718B"/>
    <w:rsid w:val="005F5156"/>
    <w:rsid w:val="005F6926"/>
    <w:rsid w:val="005F79BB"/>
    <w:rsid w:val="005F7AC3"/>
    <w:rsid w:val="00603208"/>
    <w:rsid w:val="006035AE"/>
    <w:rsid w:val="00614489"/>
    <w:rsid w:val="00615B49"/>
    <w:rsid w:val="00622AB2"/>
    <w:rsid w:val="00633325"/>
    <w:rsid w:val="006502AE"/>
    <w:rsid w:val="006515B1"/>
    <w:rsid w:val="00654B6B"/>
    <w:rsid w:val="0065644A"/>
    <w:rsid w:val="00671582"/>
    <w:rsid w:val="00680ADA"/>
    <w:rsid w:val="00691ED0"/>
    <w:rsid w:val="00697B90"/>
    <w:rsid w:val="006B23F6"/>
    <w:rsid w:val="006C2558"/>
    <w:rsid w:val="006C41E1"/>
    <w:rsid w:val="006D55DD"/>
    <w:rsid w:val="006E252F"/>
    <w:rsid w:val="006E7B26"/>
    <w:rsid w:val="006F2134"/>
    <w:rsid w:val="006F2AB4"/>
    <w:rsid w:val="006F642E"/>
    <w:rsid w:val="0070709F"/>
    <w:rsid w:val="00707412"/>
    <w:rsid w:val="007332EF"/>
    <w:rsid w:val="00741D70"/>
    <w:rsid w:val="00743391"/>
    <w:rsid w:val="007513B6"/>
    <w:rsid w:val="00751639"/>
    <w:rsid w:val="00752557"/>
    <w:rsid w:val="00756486"/>
    <w:rsid w:val="00762A36"/>
    <w:rsid w:val="0079156A"/>
    <w:rsid w:val="00795A40"/>
    <w:rsid w:val="007A1A25"/>
    <w:rsid w:val="007A4372"/>
    <w:rsid w:val="007A60D1"/>
    <w:rsid w:val="007B05EA"/>
    <w:rsid w:val="007C5384"/>
    <w:rsid w:val="007C6312"/>
    <w:rsid w:val="007C7A53"/>
    <w:rsid w:val="007D127C"/>
    <w:rsid w:val="007E1FD3"/>
    <w:rsid w:val="007E2F9F"/>
    <w:rsid w:val="007E4AB8"/>
    <w:rsid w:val="007E6792"/>
    <w:rsid w:val="007E6F14"/>
    <w:rsid w:val="007E6F23"/>
    <w:rsid w:val="007E7FF9"/>
    <w:rsid w:val="007F126E"/>
    <w:rsid w:val="007F2A35"/>
    <w:rsid w:val="007F2E35"/>
    <w:rsid w:val="007F71AA"/>
    <w:rsid w:val="00804733"/>
    <w:rsid w:val="00804C35"/>
    <w:rsid w:val="00806B4B"/>
    <w:rsid w:val="00811F70"/>
    <w:rsid w:val="008258B7"/>
    <w:rsid w:val="00827045"/>
    <w:rsid w:val="00836F34"/>
    <w:rsid w:val="0084542F"/>
    <w:rsid w:val="00855FCF"/>
    <w:rsid w:val="008648B6"/>
    <w:rsid w:val="00877D92"/>
    <w:rsid w:val="00884DC0"/>
    <w:rsid w:val="0089161B"/>
    <w:rsid w:val="0089234A"/>
    <w:rsid w:val="0089386B"/>
    <w:rsid w:val="008A28B5"/>
    <w:rsid w:val="008C1EFF"/>
    <w:rsid w:val="008E03EB"/>
    <w:rsid w:val="008E0767"/>
    <w:rsid w:val="008E4EFA"/>
    <w:rsid w:val="008F046B"/>
    <w:rsid w:val="008F0E33"/>
    <w:rsid w:val="008F1D0D"/>
    <w:rsid w:val="008F25CB"/>
    <w:rsid w:val="008F4A58"/>
    <w:rsid w:val="009000FB"/>
    <w:rsid w:val="00902948"/>
    <w:rsid w:val="00905C4F"/>
    <w:rsid w:val="0092272F"/>
    <w:rsid w:val="00927A35"/>
    <w:rsid w:val="009323E9"/>
    <w:rsid w:val="0094074B"/>
    <w:rsid w:val="00951651"/>
    <w:rsid w:val="00952493"/>
    <w:rsid w:val="00954531"/>
    <w:rsid w:val="00954810"/>
    <w:rsid w:val="0095560D"/>
    <w:rsid w:val="00955D82"/>
    <w:rsid w:val="00956FCD"/>
    <w:rsid w:val="009635DE"/>
    <w:rsid w:val="00965A43"/>
    <w:rsid w:val="0096664F"/>
    <w:rsid w:val="00966E02"/>
    <w:rsid w:val="00967969"/>
    <w:rsid w:val="0097469F"/>
    <w:rsid w:val="0097525A"/>
    <w:rsid w:val="00983746"/>
    <w:rsid w:val="00984D44"/>
    <w:rsid w:val="00986EC7"/>
    <w:rsid w:val="00990EE0"/>
    <w:rsid w:val="0099330D"/>
    <w:rsid w:val="0099379D"/>
    <w:rsid w:val="00993A1C"/>
    <w:rsid w:val="0099630E"/>
    <w:rsid w:val="009974E0"/>
    <w:rsid w:val="00997E04"/>
    <w:rsid w:val="009A5C8A"/>
    <w:rsid w:val="009B0465"/>
    <w:rsid w:val="009B1EC1"/>
    <w:rsid w:val="009B6216"/>
    <w:rsid w:val="009B7D17"/>
    <w:rsid w:val="009C2526"/>
    <w:rsid w:val="009C4F0A"/>
    <w:rsid w:val="009C6195"/>
    <w:rsid w:val="009C74D5"/>
    <w:rsid w:val="009C7B67"/>
    <w:rsid w:val="009D6CE0"/>
    <w:rsid w:val="009E2099"/>
    <w:rsid w:val="00A00FEF"/>
    <w:rsid w:val="00A0129C"/>
    <w:rsid w:val="00A03FE8"/>
    <w:rsid w:val="00A04737"/>
    <w:rsid w:val="00A054F5"/>
    <w:rsid w:val="00A119FE"/>
    <w:rsid w:val="00A121B7"/>
    <w:rsid w:val="00A13ADB"/>
    <w:rsid w:val="00A5790F"/>
    <w:rsid w:val="00A60C57"/>
    <w:rsid w:val="00A64982"/>
    <w:rsid w:val="00A64ECD"/>
    <w:rsid w:val="00A73C2A"/>
    <w:rsid w:val="00A73FAA"/>
    <w:rsid w:val="00A756B5"/>
    <w:rsid w:val="00A805F6"/>
    <w:rsid w:val="00A815A7"/>
    <w:rsid w:val="00A82734"/>
    <w:rsid w:val="00A850E3"/>
    <w:rsid w:val="00A87589"/>
    <w:rsid w:val="00A94C19"/>
    <w:rsid w:val="00A95CAF"/>
    <w:rsid w:val="00AB088E"/>
    <w:rsid w:val="00AB2435"/>
    <w:rsid w:val="00AB3192"/>
    <w:rsid w:val="00AB3EED"/>
    <w:rsid w:val="00AD0B72"/>
    <w:rsid w:val="00AD346E"/>
    <w:rsid w:val="00AD3FCE"/>
    <w:rsid w:val="00AD795C"/>
    <w:rsid w:val="00AE5659"/>
    <w:rsid w:val="00AF57A1"/>
    <w:rsid w:val="00B04C6A"/>
    <w:rsid w:val="00B1469E"/>
    <w:rsid w:val="00B15B65"/>
    <w:rsid w:val="00B3056E"/>
    <w:rsid w:val="00B4584B"/>
    <w:rsid w:val="00B51604"/>
    <w:rsid w:val="00B54877"/>
    <w:rsid w:val="00B549DE"/>
    <w:rsid w:val="00B6079F"/>
    <w:rsid w:val="00B61B65"/>
    <w:rsid w:val="00B659DC"/>
    <w:rsid w:val="00B7688C"/>
    <w:rsid w:val="00B806C6"/>
    <w:rsid w:val="00B81135"/>
    <w:rsid w:val="00B84C54"/>
    <w:rsid w:val="00B919A8"/>
    <w:rsid w:val="00BA2F10"/>
    <w:rsid w:val="00BA5DFD"/>
    <w:rsid w:val="00BB10A2"/>
    <w:rsid w:val="00BC008A"/>
    <w:rsid w:val="00BC5105"/>
    <w:rsid w:val="00BC7103"/>
    <w:rsid w:val="00BD05BE"/>
    <w:rsid w:val="00BE05D7"/>
    <w:rsid w:val="00BE1B9D"/>
    <w:rsid w:val="00BE2420"/>
    <w:rsid w:val="00BE34F6"/>
    <w:rsid w:val="00BE7830"/>
    <w:rsid w:val="00BE7B52"/>
    <w:rsid w:val="00C05CED"/>
    <w:rsid w:val="00C06B5B"/>
    <w:rsid w:val="00C12747"/>
    <w:rsid w:val="00C13523"/>
    <w:rsid w:val="00C1352B"/>
    <w:rsid w:val="00C136AF"/>
    <w:rsid w:val="00C15859"/>
    <w:rsid w:val="00C15D3A"/>
    <w:rsid w:val="00C20E61"/>
    <w:rsid w:val="00C2139E"/>
    <w:rsid w:val="00C315FF"/>
    <w:rsid w:val="00C32EA8"/>
    <w:rsid w:val="00C33CB8"/>
    <w:rsid w:val="00C35F11"/>
    <w:rsid w:val="00C43C56"/>
    <w:rsid w:val="00C51D70"/>
    <w:rsid w:val="00C525A5"/>
    <w:rsid w:val="00C57E1D"/>
    <w:rsid w:val="00C57EFE"/>
    <w:rsid w:val="00C60973"/>
    <w:rsid w:val="00C71506"/>
    <w:rsid w:val="00C71515"/>
    <w:rsid w:val="00C72032"/>
    <w:rsid w:val="00C77AF4"/>
    <w:rsid w:val="00C94F95"/>
    <w:rsid w:val="00CD0994"/>
    <w:rsid w:val="00CD5C76"/>
    <w:rsid w:val="00CE0708"/>
    <w:rsid w:val="00CE1274"/>
    <w:rsid w:val="00CE1EE9"/>
    <w:rsid w:val="00CE21A1"/>
    <w:rsid w:val="00CE3D9C"/>
    <w:rsid w:val="00CE79B1"/>
    <w:rsid w:val="00CF10C3"/>
    <w:rsid w:val="00CF26E8"/>
    <w:rsid w:val="00CF5AB0"/>
    <w:rsid w:val="00D007E8"/>
    <w:rsid w:val="00D00E8F"/>
    <w:rsid w:val="00D01AD5"/>
    <w:rsid w:val="00D02F5A"/>
    <w:rsid w:val="00D038E0"/>
    <w:rsid w:val="00D11E0A"/>
    <w:rsid w:val="00D13D36"/>
    <w:rsid w:val="00D41CCA"/>
    <w:rsid w:val="00D533ED"/>
    <w:rsid w:val="00D55BB8"/>
    <w:rsid w:val="00D56B05"/>
    <w:rsid w:val="00D617A9"/>
    <w:rsid w:val="00D61CE6"/>
    <w:rsid w:val="00D65413"/>
    <w:rsid w:val="00D77F94"/>
    <w:rsid w:val="00D802FF"/>
    <w:rsid w:val="00D8109D"/>
    <w:rsid w:val="00D8659B"/>
    <w:rsid w:val="00D9174F"/>
    <w:rsid w:val="00D925EF"/>
    <w:rsid w:val="00D96169"/>
    <w:rsid w:val="00DA2B7A"/>
    <w:rsid w:val="00DA6B97"/>
    <w:rsid w:val="00DB09E6"/>
    <w:rsid w:val="00DB6764"/>
    <w:rsid w:val="00DB70DF"/>
    <w:rsid w:val="00DC679B"/>
    <w:rsid w:val="00DD2112"/>
    <w:rsid w:val="00DD25E7"/>
    <w:rsid w:val="00E065A8"/>
    <w:rsid w:val="00E078F7"/>
    <w:rsid w:val="00E10892"/>
    <w:rsid w:val="00E11CBC"/>
    <w:rsid w:val="00E2660C"/>
    <w:rsid w:val="00E273F4"/>
    <w:rsid w:val="00E3433F"/>
    <w:rsid w:val="00E35E89"/>
    <w:rsid w:val="00E4179F"/>
    <w:rsid w:val="00E41B73"/>
    <w:rsid w:val="00E4496F"/>
    <w:rsid w:val="00E50E87"/>
    <w:rsid w:val="00E515D9"/>
    <w:rsid w:val="00E52764"/>
    <w:rsid w:val="00E71D44"/>
    <w:rsid w:val="00E81E3F"/>
    <w:rsid w:val="00E822E8"/>
    <w:rsid w:val="00E8339F"/>
    <w:rsid w:val="00E87735"/>
    <w:rsid w:val="00EA4EBA"/>
    <w:rsid w:val="00EB0ABF"/>
    <w:rsid w:val="00EB42B7"/>
    <w:rsid w:val="00EB49ED"/>
    <w:rsid w:val="00EB4E27"/>
    <w:rsid w:val="00EC0467"/>
    <w:rsid w:val="00EC2430"/>
    <w:rsid w:val="00EC28FD"/>
    <w:rsid w:val="00ED64DB"/>
    <w:rsid w:val="00ED7E0A"/>
    <w:rsid w:val="00EE2285"/>
    <w:rsid w:val="00EE4472"/>
    <w:rsid w:val="00EE5BF9"/>
    <w:rsid w:val="00EE5E41"/>
    <w:rsid w:val="00EF0346"/>
    <w:rsid w:val="00EF2959"/>
    <w:rsid w:val="00EF3092"/>
    <w:rsid w:val="00F01BA9"/>
    <w:rsid w:val="00F12B23"/>
    <w:rsid w:val="00F16A1F"/>
    <w:rsid w:val="00F2208D"/>
    <w:rsid w:val="00F307B1"/>
    <w:rsid w:val="00F36F10"/>
    <w:rsid w:val="00F44930"/>
    <w:rsid w:val="00F526C0"/>
    <w:rsid w:val="00F5498A"/>
    <w:rsid w:val="00F63BC9"/>
    <w:rsid w:val="00F663B4"/>
    <w:rsid w:val="00F67C13"/>
    <w:rsid w:val="00F75986"/>
    <w:rsid w:val="00F83864"/>
    <w:rsid w:val="00F943C0"/>
    <w:rsid w:val="00F97788"/>
    <w:rsid w:val="00FB36F0"/>
    <w:rsid w:val="00FB72DE"/>
    <w:rsid w:val="00FB7A73"/>
    <w:rsid w:val="00FD1762"/>
    <w:rsid w:val="00FD21DE"/>
    <w:rsid w:val="00FD580E"/>
    <w:rsid w:val="00FD5A3A"/>
    <w:rsid w:val="00FD6725"/>
    <w:rsid w:val="00FE2A1A"/>
    <w:rsid w:val="00FE3F82"/>
    <w:rsid w:val="00FE49BC"/>
    <w:rsid w:val="00FE4D86"/>
    <w:rsid w:val="00FE6E87"/>
    <w:rsid w:val="00FF0AA5"/>
    <w:rsid w:val="00FF128E"/>
    <w:rsid w:val="00FF2905"/>
    <w:rsid w:val="00FF66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41E8EDD-6D15-4B51-A2D1-38239E4FC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7469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B3EE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4074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437B"/>
    <w:rPr>
      <w:color w:val="0077CC"/>
      <w:u w:val="single"/>
    </w:rPr>
  </w:style>
  <w:style w:type="paragraph" w:styleId="ListParagraph">
    <w:name w:val="List Paragraph"/>
    <w:basedOn w:val="Normal"/>
    <w:uiPriority w:val="34"/>
    <w:qFormat/>
    <w:rsid w:val="001111E8"/>
    <w:pPr>
      <w:ind w:left="720"/>
      <w:contextualSpacing/>
    </w:pPr>
  </w:style>
  <w:style w:type="table" w:styleId="TableGrid">
    <w:name w:val="Table Grid"/>
    <w:basedOn w:val="TableNormal"/>
    <w:uiPriority w:val="59"/>
    <w:rsid w:val="00F75986"/>
    <w:pPr>
      <w:spacing w:after="0" w:line="240" w:lineRule="auto"/>
    </w:pPr>
    <w:rPr>
      <w:rFonts w:ascii="Times New Roman" w:eastAsia="Times New Roman" w:hAnsi="Times New Roman" w:cs="Times New Roman"/>
      <w:sz w:val="20"/>
      <w:szCs w:val="20"/>
      <w:lang w:eastAsia="en-A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AB3EED"/>
    <w:rPr>
      <w:rFonts w:asciiTheme="majorHAnsi" w:eastAsiaTheme="majorEastAsia" w:hAnsiTheme="majorHAnsi" w:cstheme="majorBidi"/>
      <w:color w:val="2E74B5" w:themeColor="accent1" w:themeShade="BF"/>
      <w:sz w:val="26"/>
      <w:szCs w:val="26"/>
    </w:rPr>
  </w:style>
  <w:style w:type="paragraph" w:customStyle="1" w:styleId="Default">
    <w:name w:val="Default"/>
    <w:rsid w:val="006502AE"/>
    <w:pPr>
      <w:autoSpaceDE w:val="0"/>
      <w:autoSpaceDN w:val="0"/>
      <w:adjustRightInd w:val="0"/>
      <w:spacing w:after="0" w:line="240" w:lineRule="auto"/>
    </w:pPr>
    <w:rPr>
      <w:rFonts w:ascii="Gill Sans MT" w:hAnsi="Gill Sans MT" w:cs="Gill Sans MT"/>
      <w:color w:val="000000"/>
      <w:sz w:val="24"/>
      <w:szCs w:val="24"/>
    </w:rPr>
  </w:style>
  <w:style w:type="character" w:styleId="CommentReference">
    <w:name w:val="annotation reference"/>
    <w:basedOn w:val="DefaultParagraphFont"/>
    <w:uiPriority w:val="99"/>
    <w:semiHidden/>
    <w:unhideWhenUsed/>
    <w:rsid w:val="003C2D64"/>
    <w:rPr>
      <w:sz w:val="16"/>
      <w:szCs w:val="16"/>
    </w:rPr>
  </w:style>
  <w:style w:type="paragraph" w:styleId="CommentText">
    <w:name w:val="annotation text"/>
    <w:basedOn w:val="Normal"/>
    <w:link w:val="CommentTextChar"/>
    <w:uiPriority w:val="99"/>
    <w:semiHidden/>
    <w:unhideWhenUsed/>
    <w:rsid w:val="003C2D64"/>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3C2D64"/>
    <w:rPr>
      <w:sz w:val="20"/>
      <w:szCs w:val="20"/>
    </w:rPr>
  </w:style>
  <w:style w:type="paragraph" w:styleId="BalloonText">
    <w:name w:val="Balloon Text"/>
    <w:basedOn w:val="Normal"/>
    <w:link w:val="BalloonTextChar"/>
    <w:uiPriority w:val="99"/>
    <w:semiHidden/>
    <w:unhideWhenUsed/>
    <w:rsid w:val="003C2D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2D64"/>
    <w:rPr>
      <w:rFonts w:ascii="Segoe UI" w:hAnsi="Segoe UI" w:cs="Segoe UI"/>
      <w:sz w:val="18"/>
      <w:szCs w:val="18"/>
    </w:rPr>
  </w:style>
  <w:style w:type="paragraph" w:styleId="NormalWeb">
    <w:name w:val="Normal (Web)"/>
    <w:basedOn w:val="Normal"/>
    <w:uiPriority w:val="99"/>
    <w:semiHidden/>
    <w:unhideWhenUsed/>
    <w:rsid w:val="00D02F5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1Char">
    <w:name w:val="Heading 1 Char"/>
    <w:basedOn w:val="DefaultParagraphFont"/>
    <w:link w:val="Heading1"/>
    <w:uiPriority w:val="9"/>
    <w:rsid w:val="0097469F"/>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A04737"/>
    <w:pPr>
      <w:outlineLvl w:val="9"/>
    </w:pPr>
    <w:rPr>
      <w:lang w:val="en-US"/>
    </w:rPr>
  </w:style>
  <w:style w:type="paragraph" w:styleId="TOC2">
    <w:name w:val="toc 2"/>
    <w:basedOn w:val="Normal"/>
    <w:next w:val="Normal"/>
    <w:autoRedefine/>
    <w:uiPriority w:val="39"/>
    <w:unhideWhenUsed/>
    <w:rsid w:val="00A04737"/>
    <w:pPr>
      <w:spacing w:after="100"/>
      <w:ind w:left="220"/>
    </w:pPr>
  </w:style>
  <w:style w:type="paragraph" w:styleId="Header">
    <w:name w:val="header"/>
    <w:basedOn w:val="Normal"/>
    <w:link w:val="HeaderChar"/>
    <w:uiPriority w:val="99"/>
    <w:unhideWhenUsed/>
    <w:rsid w:val="00884D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4DC0"/>
  </w:style>
  <w:style w:type="paragraph" w:styleId="Footer">
    <w:name w:val="footer"/>
    <w:basedOn w:val="Normal"/>
    <w:link w:val="FooterChar"/>
    <w:uiPriority w:val="99"/>
    <w:unhideWhenUsed/>
    <w:rsid w:val="00884D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4DC0"/>
  </w:style>
  <w:style w:type="paragraph" w:styleId="CommentSubject">
    <w:name w:val="annotation subject"/>
    <w:basedOn w:val="CommentText"/>
    <w:next w:val="CommentText"/>
    <w:link w:val="CommentSubjectChar"/>
    <w:uiPriority w:val="99"/>
    <w:semiHidden/>
    <w:unhideWhenUsed/>
    <w:rsid w:val="00884DC0"/>
    <w:pPr>
      <w:spacing w:after="160"/>
    </w:pPr>
    <w:rPr>
      <w:b/>
      <w:bCs/>
    </w:rPr>
  </w:style>
  <w:style w:type="character" w:customStyle="1" w:styleId="CommentSubjectChar">
    <w:name w:val="Comment Subject Char"/>
    <w:basedOn w:val="CommentTextChar"/>
    <w:link w:val="CommentSubject"/>
    <w:uiPriority w:val="99"/>
    <w:semiHidden/>
    <w:rsid w:val="00884DC0"/>
    <w:rPr>
      <w:b/>
      <w:bCs/>
      <w:sz w:val="20"/>
      <w:szCs w:val="20"/>
    </w:rPr>
  </w:style>
  <w:style w:type="character" w:styleId="FollowedHyperlink">
    <w:name w:val="FollowedHyperlink"/>
    <w:basedOn w:val="DefaultParagraphFont"/>
    <w:uiPriority w:val="99"/>
    <w:semiHidden/>
    <w:unhideWhenUsed/>
    <w:rsid w:val="004C1ED3"/>
    <w:rPr>
      <w:color w:val="954F72" w:themeColor="followedHyperlink"/>
      <w:u w:val="single"/>
    </w:rPr>
  </w:style>
  <w:style w:type="character" w:customStyle="1" w:styleId="Heading3Char">
    <w:name w:val="Heading 3 Char"/>
    <w:basedOn w:val="DefaultParagraphFont"/>
    <w:link w:val="Heading3"/>
    <w:uiPriority w:val="9"/>
    <w:rsid w:val="0094074B"/>
    <w:rPr>
      <w:rFonts w:asciiTheme="majorHAnsi" w:eastAsiaTheme="majorEastAsia" w:hAnsiTheme="majorHAnsi" w:cstheme="majorBidi"/>
      <w:color w:val="1F4D78" w:themeColor="accent1" w:themeShade="7F"/>
      <w:sz w:val="24"/>
      <w:szCs w:val="24"/>
    </w:rPr>
  </w:style>
  <w:style w:type="paragraph" w:styleId="Revision">
    <w:name w:val="Revision"/>
    <w:hidden/>
    <w:uiPriority w:val="99"/>
    <w:semiHidden/>
    <w:rsid w:val="00CF5AB0"/>
    <w:pPr>
      <w:spacing w:after="0" w:line="240" w:lineRule="auto"/>
    </w:pPr>
  </w:style>
  <w:style w:type="paragraph" w:styleId="PlainText">
    <w:name w:val="Plain Text"/>
    <w:basedOn w:val="Normal"/>
    <w:link w:val="PlainTextChar"/>
    <w:uiPriority w:val="99"/>
    <w:semiHidden/>
    <w:unhideWhenUsed/>
    <w:rsid w:val="009C7B67"/>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semiHidden/>
    <w:rsid w:val="009C7B67"/>
    <w:rPr>
      <w:rFonts w:ascii="Calibri" w:hAnsi="Calibri" w:cs="Times New Roman"/>
    </w:rPr>
  </w:style>
  <w:style w:type="paragraph" w:customStyle="1" w:styleId="DSGBodytext">
    <w:name w:val="DSG Body text"/>
    <w:qFormat/>
    <w:rsid w:val="00583157"/>
    <w:pPr>
      <w:suppressAutoHyphens/>
      <w:spacing w:before="240" w:after="200" w:line="280" w:lineRule="exact"/>
    </w:pPr>
    <w:rPr>
      <w:rFonts w:ascii="Gill Sans MT Std Light" w:eastAsiaTheme="minorEastAsia" w:hAnsi="Gill Sans MT Std Light" w:cs="GillSansMTStd-Light"/>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46362">
      <w:bodyDiv w:val="1"/>
      <w:marLeft w:val="0"/>
      <w:marRight w:val="0"/>
      <w:marTop w:val="0"/>
      <w:marBottom w:val="0"/>
      <w:divBdr>
        <w:top w:val="none" w:sz="0" w:space="0" w:color="auto"/>
        <w:left w:val="none" w:sz="0" w:space="0" w:color="auto"/>
        <w:bottom w:val="none" w:sz="0" w:space="0" w:color="auto"/>
        <w:right w:val="none" w:sz="0" w:space="0" w:color="auto"/>
      </w:divBdr>
      <w:divsChild>
        <w:div w:id="1566532094">
          <w:marLeft w:val="0"/>
          <w:marRight w:val="0"/>
          <w:marTop w:val="0"/>
          <w:marBottom w:val="0"/>
          <w:divBdr>
            <w:top w:val="none" w:sz="0" w:space="0" w:color="auto"/>
            <w:left w:val="none" w:sz="0" w:space="0" w:color="auto"/>
            <w:bottom w:val="none" w:sz="0" w:space="0" w:color="auto"/>
            <w:right w:val="none" w:sz="0" w:space="0" w:color="auto"/>
          </w:divBdr>
          <w:divsChild>
            <w:div w:id="506674036">
              <w:marLeft w:val="0"/>
              <w:marRight w:val="0"/>
              <w:marTop w:val="0"/>
              <w:marBottom w:val="0"/>
              <w:divBdr>
                <w:top w:val="none" w:sz="0" w:space="0" w:color="auto"/>
                <w:left w:val="none" w:sz="0" w:space="0" w:color="auto"/>
                <w:bottom w:val="none" w:sz="0" w:space="0" w:color="auto"/>
                <w:right w:val="none" w:sz="0" w:space="0" w:color="auto"/>
              </w:divBdr>
              <w:divsChild>
                <w:div w:id="396897951">
                  <w:marLeft w:val="0"/>
                  <w:marRight w:val="0"/>
                  <w:marTop w:val="0"/>
                  <w:marBottom w:val="0"/>
                  <w:divBdr>
                    <w:top w:val="none" w:sz="0" w:space="0" w:color="auto"/>
                    <w:left w:val="none" w:sz="0" w:space="0" w:color="auto"/>
                    <w:bottom w:val="none" w:sz="0" w:space="0" w:color="auto"/>
                    <w:right w:val="none" w:sz="0" w:space="0" w:color="auto"/>
                  </w:divBdr>
                  <w:divsChild>
                    <w:div w:id="132824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26767">
      <w:bodyDiv w:val="1"/>
      <w:marLeft w:val="0"/>
      <w:marRight w:val="0"/>
      <w:marTop w:val="0"/>
      <w:marBottom w:val="0"/>
      <w:divBdr>
        <w:top w:val="none" w:sz="0" w:space="0" w:color="auto"/>
        <w:left w:val="none" w:sz="0" w:space="0" w:color="auto"/>
        <w:bottom w:val="none" w:sz="0" w:space="0" w:color="auto"/>
        <w:right w:val="none" w:sz="0" w:space="0" w:color="auto"/>
      </w:divBdr>
    </w:div>
    <w:div w:id="290135159">
      <w:bodyDiv w:val="1"/>
      <w:marLeft w:val="0"/>
      <w:marRight w:val="0"/>
      <w:marTop w:val="0"/>
      <w:marBottom w:val="0"/>
      <w:divBdr>
        <w:top w:val="none" w:sz="0" w:space="0" w:color="auto"/>
        <w:left w:val="none" w:sz="0" w:space="0" w:color="auto"/>
        <w:bottom w:val="none" w:sz="0" w:space="0" w:color="auto"/>
        <w:right w:val="none" w:sz="0" w:space="0" w:color="auto"/>
      </w:divBdr>
    </w:div>
    <w:div w:id="339164936">
      <w:bodyDiv w:val="1"/>
      <w:marLeft w:val="0"/>
      <w:marRight w:val="0"/>
      <w:marTop w:val="0"/>
      <w:marBottom w:val="0"/>
      <w:divBdr>
        <w:top w:val="none" w:sz="0" w:space="0" w:color="auto"/>
        <w:left w:val="none" w:sz="0" w:space="0" w:color="auto"/>
        <w:bottom w:val="none" w:sz="0" w:space="0" w:color="auto"/>
        <w:right w:val="none" w:sz="0" w:space="0" w:color="auto"/>
      </w:divBdr>
    </w:div>
    <w:div w:id="342897626">
      <w:bodyDiv w:val="1"/>
      <w:marLeft w:val="0"/>
      <w:marRight w:val="0"/>
      <w:marTop w:val="0"/>
      <w:marBottom w:val="0"/>
      <w:divBdr>
        <w:top w:val="none" w:sz="0" w:space="0" w:color="auto"/>
        <w:left w:val="none" w:sz="0" w:space="0" w:color="auto"/>
        <w:bottom w:val="none" w:sz="0" w:space="0" w:color="auto"/>
        <w:right w:val="none" w:sz="0" w:space="0" w:color="auto"/>
      </w:divBdr>
    </w:div>
    <w:div w:id="360058733">
      <w:bodyDiv w:val="1"/>
      <w:marLeft w:val="0"/>
      <w:marRight w:val="0"/>
      <w:marTop w:val="0"/>
      <w:marBottom w:val="0"/>
      <w:divBdr>
        <w:top w:val="none" w:sz="0" w:space="0" w:color="auto"/>
        <w:left w:val="none" w:sz="0" w:space="0" w:color="auto"/>
        <w:bottom w:val="none" w:sz="0" w:space="0" w:color="auto"/>
        <w:right w:val="none" w:sz="0" w:space="0" w:color="auto"/>
      </w:divBdr>
    </w:div>
    <w:div w:id="391008329">
      <w:bodyDiv w:val="1"/>
      <w:marLeft w:val="0"/>
      <w:marRight w:val="0"/>
      <w:marTop w:val="0"/>
      <w:marBottom w:val="0"/>
      <w:divBdr>
        <w:top w:val="none" w:sz="0" w:space="0" w:color="auto"/>
        <w:left w:val="none" w:sz="0" w:space="0" w:color="auto"/>
        <w:bottom w:val="none" w:sz="0" w:space="0" w:color="auto"/>
        <w:right w:val="none" w:sz="0" w:space="0" w:color="auto"/>
      </w:divBdr>
    </w:div>
    <w:div w:id="755787968">
      <w:bodyDiv w:val="1"/>
      <w:marLeft w:val="0"/>
      <w:marRight w:val="0"/>
      <w:marTop w:val="0"/>
      <w:marBottom w:val="0"/>
      <w:divBdr>
        <w:top w:val="none" w:sz="0" w:space="0" w:color="auto"/>
        <w:left w:val="none" w:sz="0" w:space="0" w:color="auto"/>
        <w:bottom w:val="none" w:sz="0" w:space="0" w:color="auto"/>
        <w:right w:val="none" w:sz="0" w:space="0" w:color="auto"/>
      </w:divBdr>
    </w:div>
    <w:div w:id="894465749">
      <w:bodyDiv w:val="1"/>
      <w:marLeft w:val="0"/>
      <w:marRight w:val="0"/>
      <w:marTop w:val="0"/>
      <w:marBottom w:val="0"/>
      <w:divBdr>
        <w:top w:val="none" w:sz="0" w:space="0" w:color="auto"/>
        <w:left w:val="none" w:sz="0" w:space="0" w:color="auto"/>
        <w:bottom w:val="none" w:sz="0" w:space="0" w:color="auto"/>
        <w:right w:val="none" w:sz="0" w:space="0" w:color="auto"/>
      </w:divBdr>
    </w:div>
    <w:div w:id="947002254">
      <w:bodyDiv w:val="1"/>
      <w:marLeft w:val="0"/>
      <w:marRight w:val="0"/>
      <w:marTop w:val="0"/>
      <w:marBottom w:val="0"/>
      <w:divBdr>
        <w:top w:val="none" w:sz="0" w:space="0" w:color="auto"/>
        <w:left w:val="none" w:sz="0" w:space="0" w:color="auto"/>
        <w:bottom w:val="none" w:sz="0" w:space="0" w:color="auto"/>
        <w:right w:val="none" w:sz="0" w:space="0" w:color="auto"/>
      </w:divBdr>
    </w:div>
    <w:div w:id="951088237">
      <w:bodyDiv w:val="1"/>
      <w:marLeft w:val="0"/>
      <w:marRight w:val="0"/>
      <w:marTop w:val="0"/>
      <w:marBottom w:val="0"/>
      <w:divBdr>
        <w:top w:val="none" w:sz="0" w:space="0" w:color="auto"/>
        <w:left w:val="none" w:sz="0" w:space="0" w:color="auto"/>
        <w:bottom w:val="none" w:sz="0" w:space="0" w:color="auto"/>
        <w:right w:val="none" w:sz="0" w:space="0" w:color="auto"/>
      </w:divBdr>
    </w:div>
    <w:div w:id="986321694">
      <w:bodyDiv w:val="1"/>
      <w:marLeft w:val="0"/>
      <w:marRight w:val="0"/>
      <w:marTop w:val="0"/>
      <w:marBottom w:val="0"/>
      <w:divBdr>
        <w:top w:val="none" w:sz="0" w:space="0" w:color="auto"/>
        <w:left w:val="none" w:sz="0" w:space="0" w:color="auto"/>
        <w:bottom w:val="none" w:sz="0" w:space="0" w:color="auto"/>
        <w:right w:val="none" w:sz="0" w:space="0" w:color="auto"/>
      </w:divBdr>
    </w:div>
    <w:div w:id="993531414">
      <w:bodyDiv w:val="1"/>
      <w:marLeft w:val="0"/>
      <w:marRight w:val="0"/>
      <w:marTop w:val="0"/>
      <w:marBottom w:val="0"/>
      <w:divBdr>
        <w:top w:val="none" w:sz="0" w:space="0" w:color="auto"/>
        <w:left w:val="none" w:sz="0" w:space="0" w:color="auto"/>
        <w:bottom w:val="none" w:sz="0" w:space="0" w:color="auto"/>
        <w:right w:val="none" w:sz="0" w:space="0" w:color="auto"/>
      </w:divBdr>
    </w:div>
    <w:div w:id="1009135372">
      <w:bodyDiv w:val="1"/>
      <w:marLeft w:val="0"/>
      <w:marRight w:val="0"/>
      <w:marTop w:val="0"/>
      <w:marBottom w:val="0"/>
      <w:divBdr>
        <w:top w:val="none" w:sz="0" w:space="0" w:color="auto"/>
        <w:left w:val="none" w:sz="0" w:space="0" w:color="auto"/>
        <w:bottom w:val="none" w:sz="0" w:space="0" w:color="auto"/>
        <w:right w:val="none" w:sz="0" w:space="0" w:color="auto"/>
      </w:divBdr>
    </w:div>
    <w:div w:id="1090007564">
      <w:bodyDiv w:val="1"/>
      <w:marLeft w:val="0"/>
      <w:marRight w:val="0"/>
      <w:marTop w:val="0"/>
      <w:marBottom w:val="0"/>
      <w:divBdr>
        <w:top w:val="none" w:sz="0" w:space="0" w:color="auto"/>
        <w:left w:val="none" w:sz="0" w:space="0" w:color="auto"/>
        <w:bottom w:val="none" w:sz="0" w:space="0" w:color="auto"/>
        <w:right w:val="none" w:sz="0" w:space="0" w:color="auto"/>
      </w:divBdr>
    </w:div>
    <w:div w:id="1181704103">
      <w:bodyDiv w:val="1"/>
      <w:marLeft w:val="0"/>
      <w:marRight w:val="0"/>
      <w:marTop w:val="0"/>
      <w:marBottom w:val="0"/>
      <w:divBdr>
        <w:top w:val="none" w:sz="0" w:space="0" w:color="auto"/>
        <w:left w:val="none" w:sz="0" w:space="0" w:color="auto"/>
        <w:bottom w:val="none" w:sz="0" w:space="0" w:color="auto"/>
        <w:right w:val="none" w:sz="0" w:space="0" w:color="auto"/>
      </w:divBdr>
    </w:div>
    <w:div w:id="1254970704">
      <w:bodyDiv w:val="1"/>
      <w:marLeft w:val="0"/>
      <w:marRight w:val="0"/>
      <w:marTop w:val="0"/>
      <w:marBottom w:val="0"/>
      <w:divBdr>
        <w:top w:val="none" w:sz="0" w:space="0" w:color="auto"/>
        <w:left w:val="none" w:sz="0" w:space="0" w:color="auto"/>
        <w:bottom w:val="none" w:sz="0" w:space="0" w:color="auto"/>
        <w:right w:val="none" w:sz="0" w:space="0" w:color="auto"/>
      </w:divBdr>
    </w:div>
    <w:div w:id="1350449006">
      <w:bodyDiv w:val="1"/>
      <w:marLeft w:val="0"/>
      <w:marRight w:val="0"/>
      <w:marTop w:val="0"/>
      <w:marBottom w:val="0"/>
      <w:divBdr>
        <w:top w:val="none" w:sz="0" w:space="0" w:color="auto"/>
        <w:left w:val="none" w:sz="0" w:space="0" w:color="auto"/>
        <w:bottom w:val="none" w:sz="0" w:space="0" w:color="auto"/>
        <w:right w:val="none" w:sz="0" w:space="0" w:color="auto"/>
      </w:divBdr>
    </w:div>
    <w:div w:id="1430420128">
      <w:bodyDiv w:val="1"/>
      <w:marLeft w:val="0"/>
      <w:marRight w:val="0"/>
      <w:marTop w:val="0"/>
      <w:marBottom w:val="0"/>
      <w:divBdr>
        <w:top w:val="none" w:sz="0" w:space="0" w:color="auto"/>
        <w:left w:val="none" w:sz="0" w:space="0" w:color="auto"/>
        <w:bottom w:val="none" w:sz="0" w:space="0" w:color="auto"/>
        <w:right w:val="none" w:sz="0" w:space="0" w:color="auto"/>
      </w:divBdr>
    </w:div>
    <w:div w:id="1580406500">
      <w:bodyDiv w:val="1"/>
      <w:marLeft w:val="0"/>
      <w:marRight w:val="0"/>
      <w:marTop w:val="0"/>
      <w:marBottom w:val="0"/>
      <w:divBdr>
        <w:top w:val="none" w:sz="0" w:space="0" w:color="auto"/>
        <w:left w:val="none" w:sz="0" w:space="0" w:color="auto"/>
        <w:bottom w:val="none" w:sz="0" w:space="0" w:color="auto"/>
        <w:right w:val="none" w:sz="0" w:space="0" w:color="auto"/>
      </w:divBdr>
    </w:div>
    <w:div w:id="1588616448">
      <w:bodyDiv w:val="1"/>
      <w:marLeft w:val="0"/>
      <w:marRight w:val="0"/>
      <w:marTop w:val="0"/>
      <w:marBottom w:val="0"/>
      <w:divBdr>
        <w:top w:val="none" w:sz="0" w:space="0" w:color="auto"/>
        <w:left w:val="none" w:sz="0" w:space="0" w:color="auto"/>
        <w:bottom w:val="none" w:sz="0" w:space="0" w:color="auto"/>
        <w:right w:val="none" w:sz="0" w:space="0" w:color="auto"/>
      </w:divBdr>
    </w:div>
    <w:div w:id="1677492163">
      <w:bodyDiv w:val="1"/>
      <w:marLeft w:val="0"/>
      <w:marRight w:val="0"/>
      <w:marTop w:val="0"/>
      <w:marBottom w:val="0"/>
      <w:divBdr>
        <w:top w:val="none" w:sz="0" w:space="0" w:color="auto"/>
        <w:left w:val="none" w:sz="0" w:space="0" w:color="auto"/>
        <w:bottom w:val="none" w:sz="0" w:space="0" w:color="auto"/>
        <w:right w:val="none" w:sz="0" w:space="0" w:color="auto"/>
      </w:divBdr>
    </w:div>
    <w:div w:id="1785925287">
      <w:bodyDiv w:val="1"/>
      <w:marLeft w:val="0"/>
      <w:marRight w:val="0"/>
      <w:marTop w:val="0"/>
      <w:marBottom w:val="0"/>
      <w:divBdr>
        <w:top w:val="none" w:sz="0" w:space="0" w:color="auto"/>
        <w:left w:val="none" w:sz="0" w:space="0" w:color="auto"/>
        <w:bottom w:val="none" w:sz="0" w:space="0" w:color="auto"/>
        <w:right w:val="none" w:sz="0" w:space="0" w:color="auto"/>
      </w:divBdr>
    </w:div>
    <w:div w:id="1891108471">
      <w:bodyDiv w:val="1"/>
      <w:marLeft w:val="0"/>
      <w:marRight w:val="0"/>
      <w:marTop w:val="0"/>
      <w:marBottom w:val="0"/>
      <w:divBdr>
        <w:top w:val="none" w:sz="0" w:space="0" w:color="auto"/>
        <w:left w:val="none" w:sz="0" w:space="0" w:color="auto"/>
        <w:bottom w:val="none" w:sz="0" w:space="0" w:color="auto"/>
        <w:right w:val="none" w:sz="0" w:space="0" w:color="auto"/>
      </w:divBdr>
    </w:div>
    <w:div w:id="1949696790">
      <w:bodyDiv w:val="1"/>
      <w:marLeft w:val="0"/>
      <w:marRight w:val="0"/>
      <w:marTop w:val="0"/>
      <w:marBottom w:val="0"/>
      <w:divBdr>
        <w:top w:val="none" w:sz="0" w:space="0" w:color="auto"/>
        <w:left w:val="none" w:sz="0" w:space="0" w:color="auto"/>
        <w:bottom w:val="none" w:sz="0" w:space="0" w:color="auto"/>
        <w:right w:val="none" w:sz="0" w:space="0" w:color="auto"/>
      </w:divBdr>
    </w:div>
    <w:div w:id="2024940436">
      <w:bodyDiv w:val="1"/>
      <w:marLeft w:val="0"/>
      <w:marRight w:val="0"/>
      <w:marTop w:val="0"/>
      <w:marBottom w:val="0"/>
      <w:divBdr>
        <w:top w:val="none" w:sz="0" w:space="0" w:color="auto"/>
        <w:left w:val="none" w:sz="0" w:space="0" w:color="auto"/>
        <w:bottom w:val="none" w:sz="0" w:space="0" w:color="auto"/>
        <w:right w:val="none" w:sz="0" w:space="0" w:color="auto"/>
      </w:divBdr>
    </w:div>
    <w:div w:id="2053143510">
      <w:bodyDiv w:val="1"/>
      <w:marLeft w:val="0"/>
      <w:marRight w:val="0"/>
      <w:marTop w:val="0"/>
      <w:marBottom w:val="0"/>
      <w:divBdr>
        <w:top w:val="none" w:sz="0" w:space="0" w:color="auto"/>
        <w:left w:val="none" w:sz="0" w:space="0" w:color="auto"/>
        <w:bottom w:val="none" w:sz="0" w:space="0" w:color="auto"/>
        <w:right w:val="none" w:sz="0" w:space="0" w:color="auto"/>
      </w:divBdr>
    </w:div>
    <w:div w:id="2081907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operator.accreditation@stategrowth.tas.gov.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ne-maree.mills@stategrowth.tas.gov.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enders.tas.gov.au" TargetMode="External"/><Relationship Id="rId4" Type="http://schemas.openxmlformats.org/officeDocument/2006/relationships/settings" Target="settings.xml"/><Relationship Id="rId9" Type="http://schemas.openxmlformats.org/officeDocument/2006/relationships/hyperlink" Target="http://www.thelaw.tas.gov.a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5C8FA-941C-40F0-9087-6CD43474B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1121</Words>
  <Characters>5975</Characters>
  <Application>Microsoft Office Word</Application>
  <DocSecurity>0</DocSecurity>
  <Lines>132</Lines>
  <Paragraphs>63</Paragraphs>
  <ScaleCrop>false</ScaleCrop>
  <HeadingPairs>
    <vt:vector size="2" baseType="variant">
      <vt:variant>
        <vt:lpstr>Title</vt:lpstr>
      </vt:variant>
      <vt:variant>
        <vt:i4>1</vt:i4>
      </vt:variant>
    </vt:vector>
  </HeadingPairs>
  <TitlesOfParts>
    <vt:vector size="1" baseType="lpstr">
      <vt:lpstr/>
    </vt:vector>
  </TitlesOfParts>
  <Company>Department of State Growth</Company>
  <LinksUpToDate>false</LinksUpToDate>
  <CharactersWithSpaces>7033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Mills, Anne-Maree</dc:creator>
  <cp:keywords/>
  <dc:description/>
  <cp:lastModifiedBy>Mills, Anne-Maree</cp:lastModifiedBy>
  <cp:revision>8</cp:revision>
  <cp:lastPrinted>2017-09-25T01:43:00Z</cp:lastPrinted>
  <dcterms:created xsi:type="dcterms:W3CDTF">2018-09-28T02:17:00Z</dcterms:created>
  <dcterms:modified xsi:type="dcterms:W3CDTF">2018-09-28T06:13:00Z</dcterms:modified>
</cp:coreProperties>
</file>