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D5" w:rsidRPr="00021093" w:rsidRDefault="004E6377" w:rsidP="00D849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 ROADS</w:t>
      </w:r>
      <w:r w:rsidR="003A47D5" w:rsidRPr="00021093">
        <w:rPr>
          <w:b/>
          <w:sz w:val="24"/>
          <w:szCs w:val="24"/>
        </w:rPr>
        <w:t xml:space="preserve"> </w:t>
      </w:r>
    </w:p>
    <w:p w:rsidR="00FC610D" w:rsidRDefault="003A47D5" w:rsidP="00D84935">
      <w:pPr>
        <w:spacing w:after="0"/>
        <w:jc w:val="center"/>
        <w:rPr>
          <w:b/>
          <w:sz w:val="28"/>
          <w:szCs w:val="28"/>
        </w:rPr>
      </w:pPr>
      <w:r w:rsidRPr="00666485">
        <w:rPr>
          <w:b/>
          <w:sz w:val="28"/>
          <w:szCs w:val="28"/>
        </w:rPr>
        <w:t xml:space="preserve">LEVEL OF SERVICE </w:t>
      </w:r>
      <w:r w:rsidR="004E6377">
        <w:rPr>
          <w:b/>
          <w:sz w:val="28"/>
          <w:szCs w:val="28"/>
        </w:rPr>
        <w:t>FRAMEWORK</w:t>
      </w:r>
    </w:p>
    <w:p w:rsidR="00B75E0C" w:rsidRPr="00666485" w:rsidRDefault="00B75E0C" w:rsidP="00DB26E4">
      <w:pPr>
        <w:spacing w:after="0"/>
        <w:rPr>
          <w:b/>
          <w:sz w:val="28"/>
          <w:szCs w:val="28"/>
        </w:rPr>
      </w:pPr>
    </w:p>
    <w:tbl>
      <w:tblPr>
        <w:tblStyle w:val="TableGrid"/>
        <w:tblW w:w="2026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2835"/>
        <w:gridCol w:w="2835"/>
        <w:gridCol w:w="2835"/>
        <w:gridCol w:w="3960"/>
      </w:tblGrid>
      <w:tr w:rsidR="00A1311F" w:rsidTr="004B6111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A1311F" w:rsidRPr="00666485" w:rsidRDefault="00A1311F" w:rsidP="00984FA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66485">
              <w:rPr>
                <w:color w:val="FFFFFF" w:themeColor="background1"/>
                <w:sz w:val="18"/>
                <w:szCs w:val="18"/>
              </w:rPr>
              <w:t>KEY</w:t>
            </w:r>
          </w:p>
          <w:p w:rsidR="00A1311F" w:rsidRPr="00666485" w:rsidRDefault="00A1311F" w:rsidP="00942F9E">
            <w:pPr>
              <w:jc w:val="center"/>
              <w:rPr>
                <w:sz w:val="18"/>
                <w:szCs w:val="18"/>
              </w:rPr>
            </w:pPr>
            <w:r w:rsidRPr="00666485">
              <w:rPr>
                <w:color w:val="FFFFFF" w:themeColor="background1"/>
                <w:sz w:val="18"/>
                <w:szCs w:val="18"/>
              </w:rPr>
              <w:t>CUSTOMER SERVICE OUTCOME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A1311F" w:rsidRPr="00666485" w:rsidRDefault="00A1311F" w:rsidP="00984FA9">
            <w:pPr>
              <w:jc w:val="center"/>
              <w:rPr>
                <w:sz w:val="18"/>
                <w:szCs w:val="18"/>
              </w:rPr>
            </w:pPr>
            <w:r w:rsidRPr="00666485">
              <w:rPr>
                <w:sz w:val="18"/>
                <w:szCs w:val="18"/>
              </w:rPr>
              <w:t>CUSTOMER PERFORMANCE MEASURES</w:t>
            </w:r>
          </w:p>
        </w:tc>
        <w:tc>
          <w:tcPr>
            <w:tcW w:w="1162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1311F" w:rsidRPr="00666485" w:rsidRDefault="00A1311F" w:rsidP="00304321">
            <w:pPr>
              <w:jc w:val="center"/>
              <w:rPr>
                <w:sz w:val="18"/>
                <w:szCs w:val="18"/>
              </w:rPr>
            </w:pPr>
            <w:r w:rsidRPr="00666485">
              <w:rPr>
                <w:sz w:val="18"/>
                <w:szCs w:val="18"/>
              </w:rPr>
              <w:t xml:space="preserve">CUSTOMER SERVICE OUTPUT </w:t>
            </w:r>
            <w:r>
              <w:rPr>
                <w:sz w:val="18"/>
                <w:szCs w:val="18"/>
              </w:rPr>
              <w:t xml:space="preserve">AND </w:t>
            </w:r>
            <w:r w:rsidRPr="00666485">
              <w:rPr>
                <w:sz w:val="18"/>
                <w:szCs w:val="18"/>
              </w:rPr>
              <w:t>TARGETS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1311F" w:rsidRPr="00D047AE" w:rsidRDefault="00A1311F" w:rsidP="00FA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PERFORMANCE MEASURE</w:t>
            </w:r>
          </w:p>
        </w:tc>
      </w:tr>
      <w:tr w:rsidR="00A1311F" w:rsidTr="004B6111">
        <w:trPr>
          <w:trHeight w:val="266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A1311F" w:rsidRDefault="00A1311F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A1311F" w:rsidRDefault="00A1311F"/>
        </w:tc>
        <w:tc>
          <w:tcPr>
            <w:tcW w:w="3118" w:type="dxa"/>
            <w:tcBorders>
              <w:bottom w:val="single" w:sz="12" w:space="0" w:color="auto"/>
            </w:tcBorders>
          </w:tcPr>
          <w:p w:rsidR="00A1311F" w:rsidRPr="001026D7" w:rsidRDefault="00A1311F" w:rsidP="0059002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1</w:t>
            </w:r>
          </w:p>
          <w:p w:rsidR="00A1311F" w:rsidRPr="001026D7" w:rsidRDefault="00A1311F" w:rsidP="0059002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Trunk Road</w:t>
            </w:r>
          </w:p>
          <w:p w:rsidR="00A1311F" w:rsidRDefault="00A1311F" w:rsidP="0024274E">
            <w:r>
              <w:rPr>
                <w:sz w:val="18"/>
                <w:szCs w:val="18"/>
              </w:rPr>
              <w:t>1A Urban</w:t>
            </w:r>
            <w:r w:rsidRPr="001026D7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1026D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1B Rural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1311F" w:rsidRPr="001026D7" w:rsidRDefault="00A1311F" w:rsidP="0059002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2</w:t>
            </w:r>
          </w:p>
          <w:p w:rsidR="00A1311F" w:rsidRDefault="00A1311F" w:rsidP="00590020">
            <w:pPr>
              <w:jc w:val="center"/>
            </w:pPr>
            <w:r w:rsidRPr="001026D7">
              <w:rPr>
                <w:sz w:val="18"/>
                <w:szCs w:val="18"/>
              </w:rPr>
              <w:t>Regional Freight Road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1311F" w:rsidRPr="001026D7" w:rsidRDefault="00A1311F" w:rsidP="0059002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3</w:t>
            </w:r>
          </w:p>
          <w:p w:rsidR="00A1311F" w:rsidRDefault="00A1311F" w:rsidP="00590020">
            <w:pPr>
              <w:jc w:val="center"/>
            </w:pPr>
            <w:r w:rsidRPr="001026D7">
              <w:rPr>
                <w:sz w:val="18"/>
                <w:szCs w:val="18"/>
              </w:rPr>
              <w:t>Regional Access Road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1311F" w:rsidRPr="001026D7" w:rsidRDefault="00A1311F" w:rsidP="0059002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4</w:t>
            </w:r>
            <w:r>
              <w:rPr>
                <w:sz w:val="18"/>
                <w:szCs w:val="18"/>
              </w:rPr>
              <w:t xml:space="preserve"> &amp; 5</w:t>
            </w:r>
          </w:p>
          <w:p w:rsidR="00A1311F" w:rsidRPr="001026D7" w:rsidRDefault="00A1311F" w:rsidP="0059002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Feeder Road</w:t>
            </w:r>
          </w:p>
          <w:p w:rsidR="00A1311F" w:rsidRDefault="00A1311F" w:rsidP="00A9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 </w:t>
            </w:r>
            <w:r w:rsidRPr="001026D7">
              <w:rPr>
                <w:sz w:val="18"/>
                <w:szCs w:val="18"/>
              </w:rPr>
              <w:t xml:space="preserve">Sealed     </w:t>
            </w:r>
            <w:r>
              <w:rPr>
                <w:sz w:val="18"/>
                <w:szCs w:val="18"/>
              </w:rPr>
              <w:t xml:space="preserve"> </w:t>
            </w:r>
            <w:r w:rsidRPr="001026D7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4B </w:t>
            </w:r>
            <w:r w:rsidRPr="001026D7">
              <w:rPr>
                <w:sz w:val="18"/>
                <w:szCs w:val="18"/>
              </w:rPr>
              <w:t>Unsealed</w:t>
            </w:r>
          </w:p>
          <w:p w:rsidR="00A1311F" w:rsidRDefault="00A1311F" w:rsidP="00A9170E">
            <w:r>
              <w:rPr>
                <w:sz w:val="18"/>
                <w:szCs w:val="18"/>
              </w:rPr>
              <w:t>5A Sealed                        5B Unsealed</w:t>
            </w:r>
          </w:p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1311F" w:rsidRDefault="00A1311F" w:rsidP="00783C7D">
            <w:pPr>
              <w:shd w:val="clear" w:color="auto" w:fill="DDD9C3" w:themeFill="background2" w:themeFillShade="E6"/>
              <w:jc w:val="center"/>
            </w:pPr>
          </w:p>
        </w:tc>
      </w:tr>
      <w:tr w:rsidR="00A1311F" w:rsidRPr="00666485" w:rsidTr="004B6111">
        <w:trPr>
          <w:trHeight w:val="54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Function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F0052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Road width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Width supports speed environment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Width supports speed environment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Width and speed environment compatible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Width and speed environment compatible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</w:p>
          <w:p w:rsidR="00A1311F" w:rsidRPr="00666485" w:rsidRDefault="00A1311F" w:rsidP="00DF2988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Design speed</w:t>
            </w:r>
            <w:r>
              <w:rPr>
                <w:sz w:val="16"/>
                <w:szCs w:val="16"/>
              </w:rPr>
              <w:t xml:space="preserve"> and</w:t>
            </w:r>
            <w:r w:rsidRPr="00666485">
              <w:rPr>
                <w:sz w:val="16"/>
                <w:szCs w:val="16"/>
              </w:rPr>
              <w:t xml:space="preserve"> road design parameters</w:t>
            </w:r>
            <w:r>
              <w:rPr>
                <w:sz w:val="16"/>
                <w:szCs w:val="16"/>
              </w:rPr>
              <w:t xml:space="preserve"> consistent with speed limit.</w:t>
            </w:r>
          </w:p>
        </w:tc>
      </w:tr>
      <w:tr w:rsidR="00A1311F" w:rsidRPr="00666485" w:rsidTr="004B6111">
        <w:trPr>
          <w:trHeight w:val="21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 Professional Services Specification T3 – Road Design Standards for relationship between road width, road category and road AADT</w:t>
            </w:r>
          </w:p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 a</w:t>
            </w:r>
            <w:r w:rsidRPr="00666485">
              <w:rPr>
                <w:sz w:val="16"/>
                <w:szCs w:val="16"/>
              </w:rPr>
              <w:t>ccess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</w:p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Default="00A1311F" w:rsidP="00DF2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 defined heavy freight vehicle access networks responsive to State’s economic priorities</w:t>
            </w:r>
          </w:p>
          <w:p w:rsidR="00A1311F" w:rsidRPr="00666485" w:rsidRDefault="00A1311F" w:rsidP="00DF2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Optimise access for specific industry sector requirements</w:t>
            </w:r>
          </w:p>
        </w:tc>
        <w:tc>
          <w:tcPr>
            <w:tcW w:w="39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Bridge structural capacity appropriate for heavy vehicle network.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Bridge width appropriate for heavy vehicle network.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over road bridge vertical clearance appropriate for heavy vehicle network. Road over water bridge vertical clearance provided for flood resilience.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geometry appropriate for heavy vehicle network.</w:t>
            </w:r>
          </w:p>
          <w:p w:rsidR="00A1311F" w:rsidRPr="00666485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 of access to major tourist attractions.</w:t>
            </w: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A1311F" w:rsidRDefault="00A1311F" w:rsidP="00520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HPV access</w:t>
            </w:r>
          </w:p>
          <w:p w:rsidR="00A1311F" w:rsidRDefault="00A1311F" w:rsidP="00520507">
            <w:pPr>
              <w:rPr>
                <w:sz w:val="16"/>
                <w:szCs w:val="16"/>
              </w:rPr>
            </w:pPr>
          </w:p>
          <w:p w:rsidR="00A1311F" w:rsidRDefault="00A1311F" w:rsidP="00520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PBS 2a access subject to permit</w:t>
            </w:r>
          </w:p>
          <w:p w:rsidR="00A1311F" w:rsidRDefault="00A1311F" w:rsidP="00520507">
            <w:pPr>
              <w:rPr>
                <w:sz w:val="16"/>
                <w:szCs w:val="16"/>
              </w:rPr>
            </w:pPr>
          </w:p>
          <w:p w:rsidR="00A1311F" w:rsidRDefault="00A1311F" w:rsidP="00520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HML access</w:t>
            </w:r>
          </w:p>
          <w:p w:rsidR="00A1311F" w:rsidRDefault="00A1311F" w:rsidP="00520507">
            <w:pPr>
              <w:rPr>
                <w:sz w:val="16"/>
                <w:szCs w:val="16"/>
              </w:rPr>
            </w:pPr>
          </w:p>
          <w:p w:rsidR="00A1311F" w:rsidRDefault="00A1311F" w:rsidP="00520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Highest level crane and oversize/ overmass access</w:t>
            </w:r>
          </w:p>
          <w:p w:rsidR="00A1311F" w:rsidRDefault="00A1311F" w:rsidP="00520507">
            <w:pPr>
              <w:rPr>
                <w:sz w:val="16"/>
                <w:szCs w:val="16"/>
              </w:rPr>
            </w:pPr>
          </w:p>
          <w:p w:rsidR="00A1311F" w:rsidRDefault="00A1311F" w:rsidP="00520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Category 1B priority network for freight efficiency upgrades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A1311F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HPV access</w:t>
            </w:r>
          </w:p>
          <w:p w:rsidR="00A1311F" w:rsidRDefault="00A1311F" w:rsidP="009775A3">
            <w:pPr>
              <w:rPr>
                <w:sz w:val="16"/>
                <w:szCs w:val="16"/>
              </w:rPr>
            </w:pPr>
          </w:p>
          <w:p w:rsidR="00A1311F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PBS 2a access subject to permit</w:t>
            </w:r>
          </w:p>
          <w:p w:rsidR="00A1311F" w:rsidRDefault="00A1311F" w:rsidP="009775A3">
            <w:pPr>
              <w:rPr>
                <w:sz w:val="16"/>
                <w:szCs w:val="16"/>
              </w:rPr>
            </w:pPr>
          </w:p>
          <w:p w:rsidR="00A1311F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HML access</w:t>
            </w:r>
          </w:p>
          <w:p w:rsidR="00A1311F" w:rsidRDefault="00A1311F" w:rsidP="009775A3">
            <w:pPr>
              <w:rPr>
                <w:sz w:val="16"/>
                <w:szCs w:val="16"/>
              </w:rPr>
            </w:pPr>
          </w:p>
          <w:p w:rsidR="00A1311F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level crane and oversize/ overmass access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A1311F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access available for General and Concessional Mass Limit vehicles except for load limited bridges</w:t>
            </w:r>
          </w:p>
          <w:p w:rsidR="00A1311F" w:rsidRDefault="00A1311F" w:rsidP="009775A3">
            <w:pPr>
              <w:rPr>
                <w:sz w:val="16"/>
                <w:szCs w:val="16"/>
              </w:rPr>
            </w:pPr>
          </w:p>
          <w:p w:rsidR="00A1311F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bridge and geometry assessments for vehicle configurations that do not meet network accessibility requirements where practicable; assessments prioritised based on State economic significance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access available for General and Concessional Mass Limit vehicles except for load limited bridges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</w:p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bridge and geometry assessments for vehicle configurations that do not meet network accessibility requirements where practicable; assessments prioritised based on State economic significance</w:t>
            </w:r>
          </w:p>
          <w:p w:rsidR="00A1311F" w:rsidRDefault="00A1311F" w:rsidP="00520507">
            <w:pPr>
              <w:rPr>
                <w:sz w:val="16"/>
                <w:szCs w:val="16"/>
              </w:rPr>
            </w:pPr>
          </w:p>
          <w:p w:rsidR="00A1311F" w:rsidRPr="00666485" w:rsidRDefault="00A1311F" w:rsidP="0097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66485">
              <w:rPr>
                <w:sz w:val="16"/>
                <w:szCs w:val="16"/>
              </w:rPr>
              <w:t xml:space="preserve">ome tourism </w:t>
            </w:r>
            <w:r>
              <w:rPr>
                <w:sz w:val="16"/>
                <w:szCs w:val="16"/>
              </w:rPr>
              <w:t xml:space="preserve">access recognised as being </w:t>
            </w:r>
            <w:r w:rsidRPr="00666485">
              <w:rPr>
                <w:sz w:val="16"/>
                <w:szCs w:val="16"/>
              </w:rPr>
              <w:t xml:space="preserve">limited by </w:t>
            </w:r>
            <w:r>
              <w:rPr>
                <w:sz w:val="16"/>
                <w:szCs w:val="16"/>
              </w:rPr>
              <w:t>unsealed road surfaces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1311F" w:rsidRPr="00666485" w:rsidRDefault="00A1311F" w:rsidP="00F93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Property access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311F" w:rsidRPr="00666485" w:rsidRDefault="00A1311F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Minimise access wherever possible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311F" w:rsidRPr="00666485" w:rsidRDefault="00A1311F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Controlled/limited access; carefully managed for safety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311F" w:rsidRPr="00666485" w:rsidRDefault="00A1311F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Controlled/limited access; carefully managed for safety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FA57FD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 xml:space="preserve">Access </w:t>
            </w:r>
            <w:r>
              <w:rPr>
                <w:sz w:val="16"/>
                <w:szCs w:val="16"/>
              </w:rPr>
              <w:t>permitted if safe</w:t>
            </w:r>
          </w:p>
        </w:tc>
        <w:tc>
          <w:tcPr>
            <w:tcW w:w="39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Access to/from adjacent land holdings limited as appropriate </w:t>
            </w:r>
          </w:p>
          <w:p w:rsidR="00A1311F" w:rsidRPr="00666485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Reduced uncontrolled access points on Category 1 roads</w:t>
            </w: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access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access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control primarily by planning scheme controls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control primarily by planning scheme controls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E5DFEC" w:themeFill="accent4" w:themeFillTint="33"/>
          </w:tcPr>
          <w:p w:rsidR="00A1311F" w:rsidRPr="00666485" w:rsidRDefault="00A1311F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Connectivity for communities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472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 w:rsidRPr="00666485">
              <w:rPr>
                <w:sz w:val="16"/>
                <w:szCs w:val="16"/>
              </w:rPr>
              <w:t>imary tra</w:t>
            </w:r>
            <w:r>
              <w:rPr>
                <w:sz w:val="16"/>
                <w:szCs w:val="16"/>
              </w:rPr>
              <w:t>ffic</w:t>
            </w:r>
            <w:r w:rsidRPr="006664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freight routes connecting Tasmania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472B76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Tasmania’s major regional r</w:t>
            </w:r>
            <w:r>
              <w:rPr>
                <w:sz w:val="16"/>
                <w:szCs w:val="16"/>
              </w:rPr>
              <w:t>oads for carrying heavy freight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3C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666485">
              <w:rPr>
                <w:sz w:val="16"/>
                <w:szCs w:val="16"/>
              </w:rPr>
              <w:t xml:space="preserve">he main access roads to Tasmania’s regions, carrying less heavy freight than </w:t>
            </w:r>
            <w:r>
              <w:rPr>
                <w:sz w:val="16"/>
                <w:szCs w:val="16"/>
              </w:rPr>
              <w:t>Category 2</w:t>
            </w:r>
            <w:r w:rsidRPr="00666485">
              <w:rPr>
                <w:sz w:val="16"/>
                <w:szCs w:val="16"/>
              </w:rPr>
              <w:t xml:space="preserve"> roads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3C1A2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 xml:space="preserve">Feeder </w:t>
            </w:r>
            <w:r>
              <w:rPr>
                <w:sz w:val="16"/>
                <w:szCs w:val="16"/>
              </w:rPr>
              <w:t>r</w:t>
            </w:r>
            <w:r w:rsidRPr="00666485">
              <w:rPr>
                <w:sz w:val="16"/>
                <w:szCs w:val="16"/>
              </w:rPr>
              <w:t xml:space="preserve">oads and </w:t>
            </w:r>
            <w:r>
              <w:rPr>
                <w:sz w:val="16"/>
                <w:szCs w:val="16"/>
              </w:rPr>
              <w:t>o</w:t>
            </w:r>
            <w:r w:rsidRPr="00666485">
              <w:rPr>
                <w:sz w:val="16"/>
                <w:szCs w:val="16"/>
              </w:rPr>
              <w:t xml:space="preserve">ther </w:t>
            </w:r>
            <w:r>
              <w:rPr>
                <w:sz w:val="16"/>
                <w:szCs w:val="16"/>
              </w:rPr>
              <w:t>r</w:t>
            </w:r>
            <w:r w:rsidRPr="00666485">
              <w:rPr>
                <w:sz w:val="16"/>
                <w:szCs w:val="16"/>
              </w:rPr>
              <w:t>oads</w:t>
            </w:r>
            <w:r>
              <w:rPr>
                <w:sz w:val="16"/>
                <w:szCs w:val="16"/>
              </w:rPr>
              <w:t xml:space="preserve"> </w:t>
            </w:r>
            <w:r w:rsidRPr="00666485">
              <w:rPr>
                <w:sz w:val="16"/>
                <w:szCs w:val="16"/>
              </w:rPr>
              <w:t>allowing safe travel between towns, major tourist de</w:t>
            </w:r>
            <w:r>
              <w:rPr>
                <w:sz w:val="16"/>
                <w:szCs w:val="16"/>
              </w:rPr>
              <w:t>stinations and industrial areas</w:t>
            </w:r>
          </w:p>
        </w:tc>
        <w:tc>
          <w:tcPr>
            <w:tcW w:w="39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Default="00A1311F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 resilience to long- and short-term disruption</w:t>
            </w:r>
          </w:p>
          <w:p w:rsidR="00A1311F" w:rsidRDefault="00A1311F" w:rsidP="00DA16E9">
            <w:pPr>
              <w:rPr>
                <w:sz w:val="16"/>
                <w:szCs w:val="16"/>
              </w:rPr>
            </w:pPr>
          </w:p>
          <w:p w:rsidR="00A1311F" w:rsidRPr="00FA720D" w:rsidRDefault="00A1311F" w:rsidP="00DA16E9">
            <w:pPr>
              <w:rPr>
                <w:strike/>
                <w:sz w:val="16"/>
                <w:szCs w:val="16"/>
              </w:rPr>
            </w:pP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1311F" w:rsidRPr="00666485" w:rsidRDefault="00A1311F" w:rsidP="00E64C2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A1311F" w:rsidRDefault="00A1311F" w:rsidP="008B2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Maintain connectivity by all means necessary </w:t>
            </w:r>
          </w:p>
          <w:p w:rsidR="00A1311F" w:rsidRPr="00666485" w:rsidRDefault="00A1311F" w:rsidP="008B2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Immediate response to emergency or weather events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A1311F" w:rsidRDefault="00A1311F" w:rsidP="006B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of connectivity extremely high priority</w:t>
            </w:r>
          </w:p>
          <w:p w:rsidR="00A1311F" w:rsidRPr="00666485" w:rsidRDefault="00A1311F" w:rsidP="006B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Rapid response to emergency or weather events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311F" w:rsidRDefault="00A1311F" w:rsidP="00E64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access is maintained, minimise connectivity interruptions, may require circuitous route</w:t>
            </w:r>
          </w:p>
          <w:p w:rsidR="00A1311F" w:rsidRPr="00666485" w:rsidRDefault="00A1311F" w:rsidP="00E64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response to emergency or weather events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1311F" w:rsidRPr="00666485" w:rsidRDefault="00A1311F" w:rsidP="00E64C21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A1311F" w:rsidRPr="00666485" w:rsidRDefault="00A1311F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Safety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safety improvements</w:t>
            </w:r>
          </w:p>
          <w:p w:rsidR="00A1311F" w:rsidRPr="00666485" w:rsidRDefault="00A1311F" w:rsidP="00531EC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A1311F" w:rsidRDefault="00A1311F" w:rsidP="00DB0841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Consis</w:t>
            </w:r>
            <w:r>
              <w:rPr>
                <w:sz w:val="16"/>
                <w:szCs w:val="16"/>
              </w:rPr>
              <w:t>tent and predictable alignment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Targeted prevention of crashes and protection from harm in high risk areas</w:t>
            </w:r>
          </w:p>
          <w:p w:rsidR="00A1311F" w:rsidRPr="00666485" w:rsidRDefault="00A1311F" w:rsidP="00043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Reduce the risk to road users of serious injury or fatality through implementation of the safe system approach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Varia</w:t>
            </w:r>
            <w:r>
              <w:rPr>
                <w:sz w:val="16"/>
                <w:szCs w:val="16"/>
              </w:rPr>
              <w:t xml:space="preserve">ble road standards and alignment </w:t>
            </w:r>
            <w:r w:rsidRPr="00666485">
              <w:rPr>
                <w:sz w:val="16"/>
                <w:szCs w:val="16"/>
              </w:rPr>
              <w:t xml:space="preserve">Lower speeds </w:t>
            </w:r>
            <w:r>
              <w:rPr>
                <w:sz w:val="16"/>
                <w:szCs w:val="16"/>
              </w:rPr>
              <w:t>and</w:t>
            </w:r>
            <w:r w:rsidRPr="00666485">
              <w:rPr>
                <w:sz w:val="16"/>
                <w:szCs w:val="16"/>
              </w:rPr>
              <w:t xml:space="preserve"> greater driver vigilance required on some roads/sections depending on t</w:t>
            </w:r>
            <w:r>
              <w:rPr>
                <w:sz w:val="16"/>
                <w:szCs w:val="16"/>
              </w:rPr>
              <w:t>opography, access density and use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Specific improvements targeted at high risk locations based on crash data</w:t>
            </w:r>
          </w:p>
          <w:p w:rsidR="00A1311F" w:rsidRPr="00666485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Reduce the risk of road of serious injury or fatality through implementation of the safe system approach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Varia</w:t>
            </w:r>
            <w:r>
              <w:rPr>
                <w:sz w:val="16"/>
                <w:szCs w:val="16"/>
              </w:rPr>
              <w:t xml:space="preserve">ble road standards and alignment </w:t>
            </w:r>
            <w:r w:rsidRPr="00666485">
              <w:rPr>
                <w:sz w:val="16"/>
                <w:szCs w:val="16"/>
              </w:rPr>
              <w:t xml:space="preserve">Lower speeds </w:t>
            </w:r>
            <w:r>
              <w:rPr>
                <w:sz w:val="16"/>
                <w:szCs w:val="16"/>
              </w:rPr>
              <w:t>and</w:t>
            </w:r>
            <w:r w:rsidRPr="00666485">
              <w:rPr>
                <w:sz w:val="16"/>
                <w:szCs w:val="16"/>
              </w:rPr>
              <w:t xml:space="preserve"> greater driver vigilance required on some roads/sections depending on topography, access density </w:t>
            </w:r>
            <w:r>
              <w:rPr>
                <w:sz w:val="16"/>
                <w:szCs w:val="16"/>
              </w:rPr>
              <w:t>and</w:t>
            </w:r>
            <w:r w:rsidRPr="006664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use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Specific improvements targeted at high risk locations based on crash data</w:t>
            </w:r>
          </w:p>
          <w:p w:rsidR="00A1311F" w:rsidRPr="00666485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Reduce the risk of road of serious injury or fatality through implementation of the safe system approach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A1311F" w:rsidRDefault="00A1311F" w:rsidP="00E64C21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Varia</w:t>
            </w:r>
            <w:r>
              <w:rPr>
                <w:sz w:val="16"/>
                <w:szCs w:val="16"/>
              </w:rPr>
              <w:t>ble road standards and alignment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 xml:space="preserve">Lower speeds </w:t>
            </w:r>
            <w:r>
              <w:rPr>
                <w:sz w:val="16"/>
                <w:szCs w:val="16"/>
              </w:rPr>
              <w:t>and</w:t>
            </w:r>
            <w:r w:rsidRPr="00666485">
              <w:rPr>
                <w:sz w:val="16"/>
                <w:szCs w:val="16"/>
              </w:rPr>
              <w:t xml:space="preserve"> greater driver vigilance required on some roads/sections depending on t</w:t>
            </w:r>
            <w:r>
              <w:rPr>
                <w:sz w:val="16"/>
                <w:szCs w:val="16"/>
              </w:rPr>
              <w:t>opography, access density and use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Specific improvements targeted at high risk locations based on crash data</w:t>
            </w:r>
          </w:p>
          <w:p w:rsidR="00A1311F" w:rsidRPr="00666485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Reduce the risk of road of serious injury or fatality through implementation of the safe system approach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:rsidR="00A1311F" w:rsidRPr="00666485" w:rsidRDefault="00A1311F" w:rsidP="004B6111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AusRAP</w:t>
            </w:r>
            <w:r>
              <w:rPr>
                <w:sz w:val="16"/>
                <w:szCs w:val="16"/>
              </w:rPr>
              <w:t xml:space="preserve"> results for Category 1 road links to be rated for safety performance.</w:t>
            </w:r>
          </w:p>
          <w:p w:rsidR="00A1311F" w:rsidRDefault="00A1311F" w:rsidP="004B6111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 xml:space="preserve">Permanent hazards identified </w:t>
            </w:r>
            <w:r>
              <w:rPr>
                <w:sz w:val="16"/>
                <w:szCs w:val="16"/>
              </w:rPr>
              <w:t>and</w:t>
            </w:r>
            <w:r w:rsidRPr="00666485">
              <w:rPr>
                <w:sz w:val="16"/>
                <w:szCs w:val="16"/>
              </w:rPr>
              <w:t xml:space="preserve"> mitigated in a consistent </w:t>
            </w:r>
            <w:r>
              <w:rPr>
                <w:sz w:val="16"/>
                <w:szCs w:val="16"/>
              </w:rPr>
              <w:t>and</w:t>
            </w:r>
            <w:r w:rsidRPr="00666485">
              <w:rPr>
                <w:sz w:val="16"/>
                <w:szCs w:val="16"/>
              </w:rPr>
              <w:t xml:space="preserve"> fit for purpose manner such that road user expectation</w:t>
            </w:r>
            <w:r>
              <w:rPr>
                <w:sz w:val="16"/>
                <w:szCs w:val="16"/>
              </w:rPr>
              <w:t>s</w:t>
            </w:r>
            <w:r w:rsidRPr="00666485">
              <w:rPr>
                <w:sz w:val="16"/>
                <w:szCs w:val="16"/>
              </w:rPr>
              <w:t xml:space="preserve"> about standard is a major factor in </w:t>
            </w:r>
            <w:r>
              <w:rPr>
                <w:sz w:val="16"/>
                <w:szCs w:val="16"/>
              </w:rPr>
              <w:t>the</w:t>
            </w:r>
            <w:r w:rsidRPr="00666485">
              <w:rPr>
                <w:sz w:val="16"/>
                <w:szCs w:val="16"/>
              </w:rPr>
              <w:t xml:space="preserve"> ability to safely negotiate the road environment.</w:t>
            </w:r>
            <w:r>
              <w:rPr>
                <w:sz w:val="16"/>
                <w:szCs w:val="16"/>
              </w:rPr>
              <w:t xml:space="preserve"> </w:t>
            </w:r>
          </w:p>
          <w:p w:rsidR="00A1311F" w:rsidRDefault="00A1311F" w:rsidP="004B6111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Crash data analysis</w:t>
            </w:r>
            <w:r>
              <w:rPr>
                <w:sz w:val="16"/>
                <w:szCs w:val="16"/>
              </w:rPr>
              <w:t>.</w:t>
            </w:r>
          </w:p>
          <w:p w:rsidR="00A1311F" w:rsidRDefault="00A1311F" w:rsidP="004B6111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scanning of State road crash data to identify locations where road users experience difficulty.</w:t>
            </w:r>
          </w:p>
          <w:p w:rsidR="00A1311F" w:rsidRPr="00666485" w:rsidRDefault="00A1311F" w:rsidP="004B6111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Bridge fences compliant with standards current at time of construction.</w:t>
            </w: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:rsidR="00A1311F" w:rsidRPr="00666485" w:rsidRDefault="00A1311F" w:rsidP="00E64C2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</w:t>
            </w:r>
            <w:r w:rsidRPr="00666485">
              <w:rPr>
                <w:sz w:val="16"/>
                <w:szCs w:val="16"/>
              </w:rPr>
              <w:t xml:space="preserve">AusRAP </w:t>
            </w:r>
            <w:r>
              <w:rPr>
                <w:sz w:val="16"/>
                <w:szCs w:val="16"/>
              </w:rPr>
              <w:t xml:space="preserve">modelling and infrastructure improvements to achieve a minimum </w:t>
            </w:r>
            <w:r w:rsidRPr="00666485">
              <w:rPr>
                <w:sz w:val="16"/>
                <w:szCs w:val="16"/>
              </w:rPr>
              <w:t>3 star</w:t>
            </w:r>
            <w:r>
              <w:rPr>
                <w:sz w:val="16"/>
                <w:szCs w:val="16"/>
              </w:rPr>
              <w:t xml:space="preserve"> rating 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Trending reductions in serious injury and fatal crash data based on 5-year average</w:t>
            </w:r>
          </w:p>
          <w:p w:rsidR="00A1311F" w:rsidRPr="00666485" w:rsidRDefault="00A1311F" w:rsidP="00C55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action and safe system treatments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948A54" w:themeFill="background2" w:themeFillShade="80"/>
          </w:tcPr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Trending reductions in serious injury and fatal crash data based on 5-year average</w:t>
            </w:r>
          </w:p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road shoulders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948A54" w:themeFill="background2" w:themeFillShade="80"/>
          </w:tcPr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Trending reductions in serious injury and fatal crash data based on 5-year average</w:t>
            </w:r>
          </w:p>
          <w:p w:rsidR="00A1311F" w:rsidRPr="00666485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road shoulder and crash cluster treatments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A1311F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Trending reductions in serious injury and fatal crash data based on 5-year average</w:t>
            </w:r>
          </w:p>
          <w:p w:rsidR="00A1311F" w:rsidRPr="00666485" w:rsidRDefault="00A1311F" w:rsidP="00531E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Crash cluster treatments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:rsidR="00A1311F" w:rsidRPr="00666485" w:rsidRDefault="00A1311F" w:rsidP="00E64C21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Capacity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1311F" w:rsidRDefault="00A1311F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Travel speed environment</w:t>
            </w:r>
          </w:p>
          <w:p w:rsidR="00A1311F" w:rsidRDefault="00A1311F">
            <w:pPr>
              <w:rPr>
                <w:sz w:val="16"/>
                <w:szCs w:val="16"/>
              </w:rPr>
            </w:pPr>
          </w:p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Default="00A1311F" w:rsidP="009C42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High speed</w:t>
            </w:r>
          </w:p>
          <w:p w:rsidR="00A1311F" w:rsidRPr="00666485" w:rsidRDefault="00A1311F" w:rsidP="009C4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users largely able to travel at the posted speed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Default="00A1311F" w:rsidP="009C42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Moderate to high speed</w:t>
            </w:r>
          </w:p>
          <w:p w:rsidR="00A1311F" w:rsidRPr="00666485" w:rsidRDefault="00A1311F" w:rsidP="009C4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users are able to travel at the top end of the speed limit but must negotiate isolated curves at a reduced speed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Default="00A1311F" w:rsidP="009C42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Speed to suit conditions</w:t>
            </w:r>
          </w:p>
          <w:p w:rsidR="00A1311F" w:rsidRPr="00666485" w:rsidRDefault="00A1311F" w:rsidP="0078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Inconsistent alignment requiring road users to adjust their speed often to match the prevailing road conditions and alignment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A1311F" w:rsidRDefault="00A1311F" w:rsidP="009C4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Speed to suit conditions</w:t>
            </w:r>
          </w:p>
          <w:p w:rsidR="00A1311F" w:rsidRPr="00666485" w:rsidRDefault="00A1311F" w:rsidP="0078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Inconsistent alignment requiring road users to adjust their speed often to match the prevailing road conditions and alignment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A1311F" w:rsidRPr="009C4B20" w:rsidRDefault="00A1311F" w:rsidP="00712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optimal speed is the appropriate speed for road function, design and use. Optimal speeds support both safety and economic productivity.</w:t>
            </w:r>
          </w:p>
        </w:tc>
      </w:tr>
      <w:tr w:rsidR="00A1311F" w:rsidRPr="00666485" w:rsidTr="004B6111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311F" w:rsidRPr="00666485" w:rsidRDefault="00A1311F" w:rsidP="009C4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km/h target optimal design and posted speed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311F" w:rsidRPr="00666485" w:rsidRDefault="00A1311F" w:rsidP="00DB0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km/h</w:t>
            </w:r>
            <w:r w:rsidRPr="0066648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advisory</w:t>
            </w:r>
            <w:r w:rsidRPr="00666485">
              <w:rPr>
                <w:sz w:val="16"/>
                <w:szCs w:val="16"/>
              </w:rPr>
              <w:t xml:space="preserve"> speed to suit topography/road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311F" w:rsidRPr="00666485" w:rsidRDefault="00A1311F" w:rsidP="00DB0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km/h</w:t>
            </w:r>
            <w:r w:rsidRPr="0066648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advisory</w:t>
            </w:r>
            <w:r w:rsidRPr="00666485">
              <w:rPr>
                <w:sz w:val="16"/>
                <w:szCs w:val="16"/>
              </w:rPr>
              <w:t xml:space="preserve"> speed to suit topography/road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311F" w:rsidRPr="00666485" w:rsidRDefault="00A1311F" w:rsidP="00DB0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Advisory</w:t>
            </w:r>
            <w:r w:rsidRPr="00666485">
              <w:rPr>
                <w:sz w:val="16"/>
                <w:szCs w:val="16"/>
              </w:rPr>
              <w:t xml:space="preserve"> speed to suit topography/road</w:t>
            </w:r>
          </w:p>
        </w:tc>
        <w:tc>
          <w:tcPr>
            <w:tcW w:w="39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A1311F" w:rsidRPr="009C4B20" w:rsidRDefault="00A1311F" w:rsidP="00783C7D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rPr>
          <w:cantSplit/>
          <w:trHeight w:val="113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A1311F" w:rsidRDefault="00A1311F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Journey time reliability</w:t>
            </w:r>
          </w:p>
          <w:p w:rsidR="00A1311F" w:rsidRDefault="00A1311F">
            <w:pPr>
              <w:rPr>
                <w:sz w:val="16"/>
                <w:szCs w:val="16"/>
              </w:rPr>
            </w:pPr>
          </w:p>
          <w:p w:rsidR="00A1311F" w:rsidRPr="00666485" w:rsidRDefault="00A1311F" w:rsidP="009C4B2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311F" w:rsidRDefault="00A1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Majority of road users experience consistent travel times with some exceptions in urban heavy peak, holidays, during major events or during severe weather events</w:t>
            </w:r>
          </w:p>
          <w:p w:rsidR="00A1311F" w:rsidRDefault="00A1311F" w:rsidP="003120B8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 xml:space="preserve">Good </w:t>
            </w:r>
            <w:r>
              <w:rPr>
                <w:sz w:val="16"/>
                <w:szCs w:val="16"/>
              </w:rPr>
              <w:t xml:space="preserve">overtaking </w:t>
            </w:r>
            <w:r w:rsidRPr="00666485">
              <w:rPr>
                <w:sz w:val="16"/>
                <w:szCs w:val="16"/>
              </w:rPr>
              <w:t>opportunities provided by mu</w:t>
            </w:r>
            <w:r>
              <w:rPr>
                <w:sz w:val="16"/>
                <w:szCs w:val="16"/>
              </w:rPr>
              <w:t>lti-lane roads or passing lanes</w:t>
            </w:r>
          </w:p>
          <w:p w:rsidR="00A1311F" w:rsidRPr="00666485" w:rsidRDefault="00A1311F" w:rsidP="003120B8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Proactive management of events/incidents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Default="00A1311F" w:rsidP="00F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Generally road users experience consistent travel times with some exceptions in urban heavy peaks, holidays, during major events or during moderate weather events</w:t>
            </w:r>
          </w:p>
          <w:p w:rsidR="00A1311F" w:rsidRDefault="00A1311F" w:rsidP="00F96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666485">
              <w:rPr>
                <w:sz w:val="16"/>
                <w:szCs w:val="16"/>
              </w:rPr>
              <w:t>argeted passing opportunities where topography warrants</w:t>
            </w:r>
          </w:p>
          <w:p w:rsidR="00A1311F" w:rsidRPr="00666485" w:rsidRDefault="00A1311F" w:rsidP="00F963D4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Targeted event/incident management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Default="00A1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Generally road users experience consistent travel times except where affected by other road users (all modes) or weather conditions</w:t>
            </w:r>
          </w:p>
          <w:p w:rsidR="00A1311F" w:rsidRDefault="00A1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666485">
              <w:rPr>
                <w:sz w:val="16"/>
                <w:szCs w:val="16"/>
              </w:rPr>
              <w:t>argeted passing opportunities where topography warrants</w:t>
            </w:r>
          </w:p>
          <w:p w:rsidR="00A1311F" w:rsidRPr="00666485" w:rsidRDefault="00A1311F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Targeted event/incident management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A1311F" w:rsidRDefault="00A1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 user travel times may vary as a result of other road users (all modes), weather conditions or the physical condition of the road</w:t>
            </w:r>
          </w:p>
          <w:p w:rsidR="00A1311F" w:rsidRDefault="00A1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666485">
              <w:rPr>
                <w:sz w:val="16"/>
                <w:szCs w:val="16"/>
              </w:rPr>
              <w:t>argeted passing opportunities where topography warrants</w:t>
            </w:r>
          </w:p>
          <w:p w:rsidR="00A1311F" w:rsidRPr="00666485" w:rsidRDefault="00A1311F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Targeted event/incident management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A1311F" w:rsidRPr="009C4B20" w:rsidRDefault="00A1311F" w:rsidP="00783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Consistency of travel times that road users experience.</w:t>
            </w:r>
          </w:p>
          <w:p w:rsidR="00A1311F" w:rsidRPr="009C4B20" w:rsidRDefault="00A1311F" w:rsidP="00783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Incident response, network management.</w:t>
            </w:r>
          </w:p>
          <w:p w:rsidR="00A1311F" w:rsidRPr="009C4B20" w:rsidRDefault="00A1311F" w:rsidP="00783C7D">
            <w:pPr>
              <w:rPr>
                <w:sz w:val="16"/>
                <w:szCs w:val="16"/>
              </w:rPr>
            </w:pPr>
          </w:p>
          <w:p w:rsidR="00A1311F" w:rsidRPr="009C4B20" w:rsidRDefault="00A1311F" w:rsidP="00783C7D">
            <w:pPr>
              <w:rPr>
                <w:sz w:val="16"/>
                <w:szCs w:val="16"/>
              </w:rPr>
            </w:pPr>
          </w:p>
          <w:p w:rsidR="00A1311F" w:rsidRDefault="00A1311F" w:rsidP="00783C7D">
            <w:pPr>
              <w:rPr>
                <w:sz w:val="16"/>
                <w:szCs w:val="16"/>
              </w:rPr>
            </w:pPr>
          </w:p>
          <w:p w:rsidR="00A1311F" w:rsidRPr="009C4B20" w:rsidRDefault="00A1311F" w:rsidP="00783C7D">
            <w:pPr>
              <w:rPr>
                <w:sz w:val="16"/>
                <w:szCs w:val="16"/>
              </w:rPr>
            </w:pPr>
          </w:p>
        </w:tc>
      </w:tr>
      <w:tr w:rsidR="00A1311F" w:rsidRPr="00666485" w:rsidTr="004B6111">
        <w:trPr>
          <w:cantSplit/>
          <w:trHeight w:val="20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A1311F" w:rsidRPr="00666485" w:rsidRDefault="00A1311F">
            <w:pPr>
              <w:rPr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311F" w:rsidRDefault="00A13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to be secured for five major transport corridors around the State that will be used to define the limits of acceptable journey time reliability:</w:t>
            </w:r>
          </w:p>
          <w:p w:rsidR="00A1311F" w:rsidRDefault="00A1311F" w:rsidP="00800A2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Tamar Highway, CBD to Legana</w:t>
            </w:r>
          </w:p>
          <w:p w:rsidR="00A1311F" w:rsidRDefault="00A1311F" w:rsidP="00800A2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Launceston Southern Outlet, CBD to Breadalbane</w:t>
            </w:r>
          </w:p>
          <w:p w:rsidR="00A1311F" w:rsidRDefault="00A1311F" w:rsidP="00800A2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Hobart Southern Outlet, CBD to Kingston</w:t>
            </w:r>
          </w:p>
          <w:p w:rsidR="00A1311F" w:rsidRDefault="00A1311F" w:rsidP="00800A2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Tasman Highway, CBD to Sorell</w:t>
            </w:r>
          </w:p>
          <w:p w:rsidR="00A1311F" w:rsidRDefault="00A1311F" w:rsidP="00800A2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Brooker Highway, CBD to Granton</w:t>
            </w:r>
          </w:p>
          <w:p w:rsidR="00A1311F" w:rsidRPr="00800A28" w:rsidRDefault="00A1311F" w:rsidP="00800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to commence on capturing and analysing this data during FY2015/2016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A1311F" w:rsidRPr="009C4B20" w:rsidRDefault="00A1311F" w:rsidP="00783C7D">
            <w:pPr>
              <w:rPr>
                <w:sz w:val="16"/>
                <w:szCs w:val="16"/>
              </w:rPr>
            </w:pPr>
          </w:p>
        </w:tc>
      </w:tr>
    </w:tbl>
    <w:p w:rsidR="001A7963" w:rsidRDefault="001A7963"/>
    <w:p w:rsidR="001A7963" w:rsidRDefault="001A7963"/>
    <w:tbl>
      <w:tblPr>
        <w:tblStyle w:val="TableGrid"/>
        <w:tblW w:w="248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2835"/>
        <w:gridCol w:w="2835"/>
        <w:gridCol w:w="2835"/>
        <w:gridCol w:w="3960"/>
        <w:gridCol w:w="1710"/>
        <w:gridCol w:w="2835"/>
      </w:tblGrid>
      <w:tr w:rsidR="004B6111" w:rsidRPr="00666485" w:rsidTr="004B6111">
        <w:trPr>
          <w:gridAfter w:val="2"/>
          <w:wAfter w:w="4545" w:type="dxa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</w:tcPr>
          <w:p w:rsidR="004B6111" w:rsidRPr="003734DA" w:rsidRDefault="004B6111" w:rsidP="003734DA">
            <w:pPr>
              <w:jc w:val="center"/>
              <w:rPr>
                <w:sz w:val="18"/>
                <w:szCs w:val="18"/>
              </w:rPr>
            </w:pPr>
            <w:r w:rsidRPr="003734DA">
              <w:rPr>
                <w:sz w:val="18"/>
                <w:szCs w:val="18"/>
              </w:rPr>
              <w:t>KEY</w:t>
            </w:r>
          </w:p>
          <w:p w:rsidR="004B6111" w:rsidRPr="00666485" w:rsidRDefault="004B6111" w:rsidP="003734DA">
            <w:pPr>
              <w:rPr>
                <w:sz w:val="16"/>
                <w:szCs w:val="16"/>
              </w:rPr>
            </w:pPr>
            <w:r w:rsidRPr="003734DA">
              <w:rPr>
                <w:sz w:val="18"/>
                <w:szCs w:val="18"/>
              </w:rPr>
              <w:t>CUSTOMER SERVICE OUTCOM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  <w:r w:rsidRPr="00666485">
              <w:rPr>
                <w:sz w:val="18"/>
                <w:szCs w:val="18"/>
              </w:rPr>
              <w:t>CUSTOMER PERFORMANCE MEASURES</w:t>
            </w:r>
          </w:p>
        </w:tc>
        <w:tc>
          <w:tcPr>
            <w:tcW w:w="1162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B6111" w:rsidRDefault="004B6111" w:rsidP="003734DA">
            <w:pPr>
              <w:jc w:val="center"/>
              <w:rPr>
                <w:sz w:val="16"/>
                <w:szCs w:val="16"/>
              </w:rPr>
            </w:pPr>
            <w:r w:rsidRPr="00666485">
              <w:rPr>
                <w:sz w:val="18"/>
                <w:szCs w:val="18"/>
              </w:rPr>
              <w:t>CUSTOMER SERVICE OUTPUT TARGETS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TECHNICAL PERFORMANCE MEASURE</w:t>
            </w:r>
          </w:p>
        </w:tc>
      </w:tr>
      <w:tr w:rsidR="004B6111" w:rsidRPr="00666485" w:rsidTr="004B6111">
        <w:trPr>
          <w:gridAfter w:val="2"/>
          <w:wAfter w:w="4545" w:type="dxa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B0F0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B6111" w:rsidRPr="001026D7" w:rsidRDefault="004B6111" w:rsidP="003B4C27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1</w:t>
            </w:r>
          </w:p>
          <w:p w:rsidR="004B6111" w:rsidRPr="001026D7" w:rsidRDefault="004B6111" w:rsidP="003B4C27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Trunk Road</w:t>
            </w:r>
          </w:p>
          <w:p w:rsidR="004B6111" w:rsidRDefault="004B6111" w:rsidP="00F969D8">
            <w:r w:rsidRPr="001A7963">
              <w:rPr>
                <w:sz w:val="18"/>
                <w:szCs w:val="18"/>
              </w:rPr>
              <w:t xml:space="preserve">1A </w:t>
            </w:r>
            <w:r>
              <w:rPr>
                <w:sz w:val="18"/>
                <w:szCs w:val="18"/>
              </w:rPr>
              <w:t xml:space="preserve">Urban   </w:t>
            </w:r>
            <w:r w:rsidRPr="001A796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1A7963">
              <w:rPr>
                <w:sz w:val="18"/>
                <w:szCs w:val="18"/>
              </w:rPr>
              <w:t xml:space="preserve">         1B </w:t>
            </w:r>
            <w:r>
              <w:rPr>
                <w:sz w:val="18"/>
                <w:szCs w:val="18"/>
              </w:rPr>
              <w:t>Rural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B6111" w:rsidRPr="001026D7" w:rsidRDefault="004B6111" w:rsidP="003B4C27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2</w:t>
            </w:r>
          </w:p>
          <w:p w:rsidR="004B6111" w:rsidRDefault="004B6111" w:rsidP="003B4C27">
            <w:pPr>
              <w:jc w:val="center"/>
            </w:pPr>
            <w:r w:rsidRPr="001026D7">
              <w:rPr>
                <w:sz w:val="18"/>
                <w:szCs w:val="18"/>
              </w:rPr>
              <w:t>Regional Freight Road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B6111" w:rsidRPr="001026D7" w:rsidRDefault="004B6111" w:rsidP="003B4C27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3</w:t>
            </w:r>
          </w:p>
          <w:p w:rsidR="004B6111" w:rsidRDefault="004B6111" w:rsidP="003B4C27">
            <w:pPr>
              <w:jc w:val="center"/>
            </w:pPr>
            <w:r w:rsidRPr="001026D7">
              <w:rPr>
                <w:sz w:val="18"/>
                <w:szCs w:val="18"/>
              </w:rPr>
              <w:t>Regional Access Road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B6111" w:rsidRPr="001026D7" w:rsidRDefault="004B6111" w:rsidP="00AE2E0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ROAD CATEGORY 4</w:t>
            </w:r>
            <w:r>
              <w:rPr>
                <w:sz w:val="18"/>
                <w:szCs w:val="18"/>
              </w:rPr>
              <w:t xml:space="preserve"> &amp; 5</w:t>
            </w:r>
          </w:p>
          <w:p w:rsidR="004B6111" w:rsidRPr="001026D7" w:rsidRDefault="004B6111" w:rsidP="00AE2E00">
            <w:pPr>
              <w:jc w:val="center"/>
              <w:rPr>
                <w:sz w:val="18"/>
                <w:szCs w:val="18"/>
              </w:rPr>
            </w:pPr>
            <w:r w:rsidRPr="001026D7">
              <w:rPr>
                <w:sz w:val="18"/>
                <w:szCs w:val="18"/>
              </w:rPr>
              <w:t>Feeder Road</w:t>
            </w:r>
          </w:p>
          <w:p w:rsidR="004B6111" w:rsidRDefault="004B6111" w:rsidP="00AE2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 </w:t>
            </w:r>
            <w:r w:rsidRPr="001026D7">
              <w:rPr>
                <w:sz w:val="18"/>
                <w:szCs w:val="18"/>
              </w:rPr>
              <w:t xml:space="preserve">Sealed     </w:t>
            </w:r>
            <w:r>
              <w:rPr>
                <w:sz w:val="18"/>
                <w:szCs w:val="18"/>
              </w:rPr>
              <w:t xml:space="preserve"> </w:t>
            </w:r>
            <w:r w:rsidRPr="001026D7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4B </w:t>
            </w:r>
            <w:r w:rsidRPr="001026D7">
              <w:rPr>
                <w:sz w:val="18"/>
                <w:szCs w:val="18"/>
              </w:rPr>
              <w:t>Unsealed</w:t>
            </w:r>
          </w:p>
          <w:p w:rsidR="004B6111" w:rsidRDefault="004B6111" w:rsidP="00AE2E00">
            <w:r>
              <w:rPr>
                <w:sz w:val="18"/>
                <w:szCs w:val="18"/>
              </w:rPr>
              <w:t>5A Sealed                        5B Unsealed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6111" w:rsidRDefault="004B6111" w:rsidP="003B4C27">
            <w:pPr>
              <w:rPr>
                <w:sz w:val="16"/>
                <w:szCs w:val="16"/>
              </w:rPr>
            </w:pPr>
          </w:p>
        </w:tc>
      </w:tr>
      <w:tr w:rsidR="004B6111" w:rsidRPr="00666485" w:rsidTr="004B6111">
        <w:trPr>
          <w:gridAfter w:val="2"/>
          <w:wAfter w:w="4545" w:type="dxa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6B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DA16E9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Maintenance intervention</w:t>
            </w:r>
          </w:p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monitoring of road condition and rapid response to defects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monitoring of road condition and timely response to defect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monitoring of road condition and defects repaired to maintain safety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monitoring of road condition and defects repaired to maintain safety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B6111" w:rsidRPr="00666485" w:rsidRDefault="004B6111" w:rsidP="00DE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road network is maintained efficiently &amp; effectively to deliver LoS outcomes d</w:t>
            </w:r>
            <w:r w:rsidRPr="00666485">
              <w:rPr>
                <w:sz w:val="16"/>
                <w:szCs w:val="16"/>
              </w:rPr>
              <w:t>et</w:t>
            </w:r>
            <w:r>
              <w:rPr>
                <w:sz w:val="16"/>
                <w:szCs w:val="16"/>
              </w:rPr>
              <w:t>ailed in regional road network and bridge maintenance c</w:t>
            </w:r>
            <w:r w:rsidRPr="00666485">
              <w:rPr>
                <w:sz w:val="16"/>
                <w:szCs w:val="16"/>
              </w:rPr>
              <w:t>ontracts</w:t>
            </w:r>
            <w:r>
              <w:rPr>
                <w:sz w:val="16"/>
                <w:szCs w:val="16"/>
              </w:rPr>
              <w:t>.  Includes an emphasis on asset preservation activities such as shoulder grading and drain clearing – proactive activities that reduce the risk of failures and maximise the long-term structural performance of the pavement.</w:t>
            </w:r>
          </w:p>
        </w:tc>
      </w:tr>
      <w:tr w:rsidR="004B6111" w:rsidRPr="00666485" w:rsidTr="004B6111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regional road network maintenance and bridge contracts specify the level of service outcomes across the network using two different approaches, which reflect the nature of each activity (ad-hoc compared to planned/predictable):</w:t>
            </w:r>
          </w:p>
          <w:p w:rsidR="004B6111" w:rsidRPr="002D3856" w:rsidRDefault="004B6111" w:rsidP="003B4C2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D3856">
              <w:rPr>
                <w:sz w:val="16"/>
                <w:szCs w:val="16"/>
              </w:rPr>
              <w:t xml:space="preserve">Intervention Level and Response Time – applies to defects such </w:t>
            </w:r>
            <w:r>
              <w:rPr>
                <w:sz w:val="16"/>
                <w:szCs w:val="16"/>
              </w:rPr>
              <w:t>as</w:t>
            </w:r>
            <w:r w:rsidRPr="002D38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potholes and edge breaks</w:t>
            </w:r>
            <w:r w:rsidRPr="002D3856">
              <w:rPr>
                <w:sz w:val="16"/>
                <w:szCs w:val="16"/>
              </w:rPr>
              <w:t>, where the extent of the de</w:t>
            </w:r>
            <w:r>
              <w:rPr>
                <w:sz w:val="16"/>
                <w:szCs w:val="16"/>
              </w:rPr>
              <w:t>fect triggering action is defined and the</w:t>
            </w:r>
            <w:r w:rsidRPr="002D3856">
              <w:rPr>
                <w:sz w:val="16"/>
                <w:szCs w:val="16"/>
              </w:rPr>
              <w:t xml:space="preserve"> Maintenance Contract specifies how quickly the defect must be repaired</w:t>
            </w:r>
          </w:p>
          <w:p w:rsidR="004B6111" w:rsidRPr="00C2060E" w:rsidRDefault="004B6111" w:rsidP="00DE277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D3856">
              <w:rPr>
                <w:sz w:val="16"/>
                <w:szCs w:val="16"/>
              </w:rPr>
              <w:t>Frequency – applies to activities such as mowing and litter collection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12" w:space="0" w:color="auto"/>
              <w:bottom w:val="nil"/>
            </w:tcBorders>
          </w:tcPr>
          <w:p w:rsidR="004B6111" w:rsidRPr="00666485" w:rsidRDefault="004B6111"/>
        </w:tc>
        <w:tc>
          <w:tcPr>
            <w:tcW w:w="2835" w:type="dxa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</w:p>
        </w:tc>
      </w:tr>
      <w:tr w:rsidR="004B6111" w:rsidRPr="00666485" w:rsidTr="004B6111">
        <w:trPr>
          <w:gridAfter w:val="2"/>
          <w:wAfter w:w="4545" w:type="dxa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FDE9D9" w:themeFill="accent6" w:themeFillTint="33"/>
          </w:tcPr>
          <w:p w:rsidR="004B6111" w:rsidRPr="001F7558" w:rsidRDefault="004B6111" w:rsidP="00860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 condition</w:t>
            </w:r>
          </w:p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Smooth travel and a high level of comfort for road users</w:t>
            </w:r>
          </w:p>
          <w:p w:rsidR="004B6111" w:rsidRPr="00666485" w:rsidRDefault="004B6111" w:rsidP="00C2060E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Proacti</w:t>
            </w:r>
            <w:r>
              <w:rPr>
                <w:sz w:val="16"/>
                <w:szCs w:val="16"/>
              </w:rPr>
              <w:t>ve management of skid resistance and</w:t>
            </w:r>
            <w:r w:rsidRPr="006664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factors influencing road and bridge asset condition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Good level of comfort</w:t>
            </w:r>
            <w:r>
              <w:rPr>
                <w:sz w:val="16"/>
                <w:szCs w:val="16"/>
              </w:rPr>
              <w:t xml:space="preserve"> for road users, with occasional areas of rough or uneven road</w:t>
            </w:r>
          </w:p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Proactive management of skid resistance</w:t>
            </w:r>
          </w:p>
          <w:p w:rsidR="004B6111" w:rsidRPr="00666485" w:rsidRDefault="004B6111" w:rsidP="00C20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Active management of factors influencing road and bridge asset condition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Moderate level of comfort</w:t>
            </w:r>
            <w:r>
              <w:rPr>
                <w:sz w:val="16"/>
                <w:szCs w:val="16"/>
              </w:rPr>
              <w:t xml:space="preserve"> for road users</w:t>
            </w:r>
            <w:r w:rsidRPr="0066648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with longer areas of rough or uneven road</w:t>
            </w:r>
          </w:p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Proactive management of skid resistance</w:t>
            </w:r>
          </w:p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roads</w:t>
            </w:r>
            <w:r w:rsidRPr="00666485">
              <w:rPr>
                <w:sz w:val="16"/>
                <w:szCs w:val="16"/>
              </w:rPr>
              <w:t xml:space="preserve"> maintained</w:t>
            </w:r>
            <w:r>
              <w:rPr>
                <w:sz w:val="16"/>
                <w:szCs w:val="16"/>
              </w:rPr>
              <w:t xml:space="preserve"> as</w:t>
            </w:r>
            <w:r w:rsidRPr="00666485">
              <w:rPr>
                <w:sz w:val="16"/>
                <w:szCs w:val="16"/>
              </w:rPr>
              <w:t xml:space="preserve"> fit fo</w:t>
            </w:r>
            <w:r>
              <w:rPr>
                <w:sz w:val="16"/>
                <w:szCs w:val="16"/>
              </w:rPr>
              <w:t>r purpose</w:t>
            </w:r>
          </w:p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Prioritised renewal programme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Lowest level of comfort</w:t>
            </w:r>
            <w:r>
              <w:rPr>
                <w:sz w:val="16"/>
                <w:szCs w:val="16"/>
              </w:rPr>
              <w:t xml:space="preserve"> for road users,</w:t>
            </w:r>
            <w:r w:rsidRPr="00666485">
              <w:rPr>
                <w:sz w:val="16"/>
                <w:szCs w:val="16"/>
              </w:rPr>
              <w:t xml:space="preserve"> may inc</w:t>
            </w:r>
            <w:r>
              <w:rPr>
                <w:sz w:val="16"/>
                <w:szCs w:val="16"/>
              </w:rPr>
              <w:t>lude extended areas of rough or uneven road</w:t>
            </w:r>
            <w:r w:rsidRPr="00666485">
              <w:rPr>
                <w:sz w:val="16"/>
                <w:szCs w:val="16"/>
              </w:rPr>
              <w:t xml:space="preserve"> and uns</w:t>
            </w:r>
            <w:r>
              <w:rPr>
                <w:sz w:val="16"/>
                <w:szCs w:val="16"/>
              </w:rPr>
              <w:t>ealed surfaces</w:t>
            </w:r>
          </w:p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Proactive management of skid resistance</w:t>
            </w:r>
          </w:p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roads</w:t>
            </w:r>
            <w:r w:rsidRPr="00666485">
              <w:rPr>
                <w:sz w:val="16"/>
                <w:szCs w:val="16"/>
              </w:rPr>
              <w:t xml:space="preserve"> maintained</w:t>
            </w:r>
            <w:r>
              <w:rPr>
                <w:sz w:val="16"/>
                <w:szCs w:val="16"/>
              </w:rPr>
              <w:t xml:space="preserve"> as</w:t>
            </w:r>
            <w:r w:rsidRPr="00666485">
              <w:rPr>
                <w:sz w:val="16"/>
                <w:szCs w:val="16"/>
              </w:rPr>
              <w:t xml:space="preserve"> fit fo</w:t>
            </w:r>
            <w:r>
              <w:rPr>
                <w:sz w:val="16"/>
                <w:szCs w:val="16"/>
              </w:rPr>
              <w:t>r purpose</w:t>
            </w:r>
          </w:p>
        </w:tc>
        <w:tc>
          <w:tcPr>
            <w:tcW w:w="39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B6111" w:rsidRDefault="004B6111" w:rsidP="00C20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are two components to the road condition:</w:t>
            </w:r>
          </w:p>
          <w:p w:rsidR="004B6111" w:rsidRDefault="004B6111" w:rsidP="00C2060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C7157B">
              <w:rPr>
                <w:sz w:val="16"/>
                <w:szCs w:val="16"/>
              </w:rPr>
              <w:t>he level of travel comfo</w:t>
            </w:r>
            <w:r>
              <w:rPr>
                <w:sz w:val="16"/>
                <w:szCs w:val="16"/>
              </w:rPr>
              <w:t>rt experienced by the road user; and</w:t>
            </w:r>
          </w:p>
          <w:p w:rsidR="004B6111" w:rsidRDefault="004B6111" w:rsidP="00C2060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condition of the pavement asset as a whole, made up from the pavement condition index (PCI) and the surface condition index (SCI).</w:t>
            </w:r>
          </w:p>
          <w:p w:rsidR="004B6111" w:rsidRPr="00FA2FBD" w:rsidRDefault="004B6111" w:rsidP="00C2060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Structural health of bridges.</w:t>
            </w:r>
          </w:p>
        </w:tc>
      </w:tr>
      <w:tr w:rsidR="004B6111" w:rsidRPr="00666485" w:rsidTr="004B6111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B6111" w:rsidRPr="00C2060E" w:rsidRDefault="004B6111" w:rsidP="003B4C2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Ride smoothness is calculated in accordance with the National Ride Quality Index</w:t>
            </w:r>
          </w:p>
          <w:p w:rsidR="004B6111" w:rsidRPr="00666485" w:rsidRDefault="004B6111" w:rsidP="00C20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Skid Resistance is managed in accordance with the Department’s Skid Resistance Management Plan, which is not specific to road hierarchy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B6111" w:rsidRPr="00666485" w:rsidRDefault="004B6111"/>
        </w:tc>
        <w:tc>
          <w:tcPr>
            <w:tcW w:w="2835" w:type="dxa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</w:p>
        </w:tc>
      </w:tr>
      <w:tr w:rsidR="004B6111" w:rsidRPr="00666485" w:rsidTr="004B6111">
        <w:trPr>
          <w:gridAfter w:val="2"/>
          <w:wAfter w:w="4545" w:type="dxa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C2060E" w:rsidRDefault="004B6111" w:rsidP="00C2060E">
            <w:pPr>
              <w:rPr>
                <w:sz w:val="16"/>
                <w:szCs w:val="16"/>
              </w:rPr>
            </w:pPr>
            <w:r w:rsidRPr="00C2060E">
              <w:rPr>
                <w:sz w:val="16"/>
                <w:szCs w:val="16"/>
              </w:rPr>
              <w:t xml:space="preserve">Roadside </w:t>
            </w: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 xml:space="preserve">Roadside aesthetics </w:t>
            </w:r>
            <w:r>
              <w:rPr>
                <w:sz w:val="16"/>
                <w:szCs w:val="16"/>
              </w:rPr>
              <w:t xml:space="preserve">reflect the </w:t>
            </w:r>
            <w:r w:rsidRPr="00666485">
              <w:rPr>
                <w:sz w:val="16"/>
                <w:szCs w:val="16"/>
              </w:rPr>
              <w:t>needs of high</w:t>
            </w:r>
            <w:r>
              <w:rPr>
                <w:sz w:val="16"/>
                <w:szCs w:val="16"/>
              </w:rPr>
              <w:t>er</w:t>
            </w:r>
            <w:r w:rsidRPr="00666485">
              <w:rPr>
                <w:sz w:val="16"/>
                <w:szCs w:val="16"/>
              </w:rPr>
              <w:t xml:space="preserve"> traffic </w:t>
            </w:r>
            <w:r>
              <w:rPr>
                <w:sz w:val="16"/>
                <w:szCs w:val="16"/>
              </w:rPr>
              <w:t>volumes and network function</w:t>
            </w:r>
          </w:p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Visual amenity of urban gateways prioritised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of the roadside is consistent with adjacent land use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of the roadside is consistent with adjacent land use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B6111" w:rsidRDefault="004B6111" w:rsidP="003B4C27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Roadside aesthetics strongly refl</w:t>
            </w:r>
            <w:r>
              <w:rPr>
                <w:sz w:val="16"/>
                <w:szCs w:val="16"/>
              </w:rPr>
              <w:t>ect land use and function</w:t>
            </w:r>
          </w:p>
          <w:p w:rsidR="004B6111" w:rsidRPr="00666485" w:rsidRDefault="004B6111" w:rsidP="00FA2FBD">
            <w:pPr>
              <w:rPr>
                <w:sz w:val="16"/>
                <w:szCs w:val="16"/>
              </w:rPr>
            </w:pPr>
            <w:r w:rsidRPr="00666485">
              <w:rPr>
                <w:sz w:val="16"/>
                <w:szCs w:val="16"/>
              </w:rPr>
              <w:t>Character of scenic/tour</w:t>
            </w:r>
            <w:r>
              <w:rPr>
                <w:sz w:val="16"/>
                <w:szCs w:val="16"/>
              </w:rPr>
              <w:t>ist routes protected</w:t>
            </w:r>
          </w:p>
        </w:tc>
        <w:tc>
          <w:tcPr>
            <w:tcW w:w="396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B6111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Measurement of community response to roadside condition.</w:t>
            </w:r>
          </w:p>
          <w:p w:rsidR="004B6111" w:rsidRPr="00666485" w:rsidRDefault="004B6111" w:rsidP="003B4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Roadside aesthetics should reflect the surrounding land use and the transport corridor within that environment.</w:t>
            </w:r>
          </w:p>
        </w:tc>
      </w:tr>
      <w:tr w:rsidR="004B6111" w:rsidRPr="00666485" w:rsidTr="004B6111">
        <w:trPr>
          <w:gridAfter w:val="2"/>
          <w:wAfter w:w="4545" w:type="dxa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B6111" w:rsidRDefault="004B6111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Rubbish removal and mowing prioritised for high volume areas, particularly urban gateways</w:t>
            </w:r>
          </w:p>
          <w:p w:rsidR="004B6111" w:rsidRDefault="004B6111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Prioritised weed management </w:t>
            </w:r>
          </w:p>
          <w:p w:rsidR="004B6111" w:rsidRDefault="004B6111" w:rsidP="00DA1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Proactively limit disturbance of natural and cultural heritage values</w:t>
            </w:r>
          </w:p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B6111" w:rsidRPr="00666485" w:rsidRDefault="004B6111" w:rsidP="00DA16E9">
            <w:pPr>
              <w:rPr>
                <w:sz w:val="16"/>
                <w:szCs w:val="16"/>
              </w:rPr>
            </w:pPr>
          </w:p>
        </w:tc>
      </w:tr>
    </w:tbl>
    <w:p w:rsidR="001A7963" w:rsidRDefault="001A7963" w:rsidP="005E54DE">
      <w:pPr>
        <w:spacing w:after="0" w:line="240" w:lineRule="auto"/>
        <w:rPr>
          <w:color w:val="FF0000"/>
          <w:sz w:val="16"/>
          <w:szCs w:val="16"/>
        </w:rPr>
      </w:pPr>
    </w:p>
    <w:p w:rsidR="001A7963" w:rsidRDefault="001A7963" w:rsidP="005E54DE">
      <w:pPr>
        <w:spacing w:after="0" w:line="240" w:lineRule="auto"/>
        <w:rPr>
          <w:color w:val="FF0000"/>
          <w:sz w:val="16"/>
          <w:szCs w:val="16"/>
        </w:rPr>
      </w:pPr>
    </w:p>
    <w:p w:rsidR="003A47D5" w:rsidRPr="00666485" w:rsidRDefault="005E54DE" w:rsidP="005E54DE">
      <w:pPr>
        <w:spacing w:after="0" w:line="240" w:lineRule="auto"/>
        <w:rPr>
          <w:color w:val="FF0000"/>
          <w:sz w:val="16"/>
          <w:szCs w:val="16"/>
        </w:rPr>
      </w:pPr>
      <w:r w:rsidRPr="00666485">
        <w:rPr>
          <w:color w:val="FF0000"/>
          <w:sz w:val="16"/>
          <w:szCs w:val="16"/>
        </w:rPr>
        <w:t>Principles:</w:t>
      </w:r>
    </w:p>
    <w:p w:rsidR="005E54DE" w:rsidRPr="00666485" w:rsidRDefault="00021093" w:rsidP="005E54DE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16"/>
          <w:szCs w:val="16"/>
        </w:rPr>
      </w:pPr>
      <w:r w:rsidRPr="00666485">
        <w:rPr>
          <w:color w:val="FF0000"/>
          <w:sz w:val="16"/>
          <w:szCs w:val="16"/>
        </w:rPr>
        <w:t xml:space="preserve">Over time, all roads in a particular category should offer an increasingly consistent, fit for purpose customer </w:t>
      </w:r>
      <w:r w:rsidR="004268C2">
        <w:rPr>
          <w:color w:val="FF0000"/>
          <w:sz w:val="16"/>
          <w:szCs w:val="16"/>
        </w:rPr>
        <w:t>Level of Service for road users</w:t>
      </w:r>
    </w:p>
    <w:p w:rsidR="00021093" w:rsidRPr="00666485" w:rsidRDefault="00473D7F" w:rsidP="005E54DE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16"/>
          <w:szCs w:val="16"/>
        </w:rPr>
      </w:pPr>
      <w:r w:rsidRPr="00666485">
        <w:rPr>
          <w:color w:val="FF0000"/>
          <w:sz w:val="16"/>
          <w:szCs w:val="16"/>
        </w:rPr>
        <w:t>Value for money and whole of life cost will be optimised in the delivery of afford</w:t>
      </w:r>
      <w:r w:rsidR="004268C2">
        <w:rPr>
          <w:color w:val="FF0000"/>
          <w:sz w:val="16"/>
          <w:szCs w:val="16"/>
        </w:rPr>
        <w:t>able customer Levels of Service</w:t>
      </w:r>
    </w:p>
    <w:p w:rsidR="00473D7F" w:rsidRPr="00666485" w:rsidRDefault="004268C2" w:rsidP="005E54DE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Customer Levels of S</w:t>
      </w:r>
      <w:r w:rsidR="00473D7F" w:rsidRPr="00666485">
        <w:rPr>
          <w:color w:val="FF0000"/>
          <w:sz w:val="16"/>
          <w:szCs w:val="16"/>
        </w:rPr>
        <w:t xml:space="preserve">ervice will be delivered in the context of an integrated State </w:t>
      </w:r>
      <w:r>
        <w:rPr>
          <w:color w:val="FF0000"/>
          <w:sz w:val="16"/>
          <w:szCs w:val="16"/>
        </w:rPr>
        <w:t>R</w:t>
      </w:r>
      <w:r w:rsidR="007266B0">
        <w:rPr>
          <w:color w:val="FF0000"/>
          <w:sz w:val="16"/>
          <w:szCs w:val="16"/>
        </w:rPr>
        <w:t xml:space="preserve">oad </w:t>
      </w:r>
      <w:r>
        <w:rPr>
          <w:color w:val="FF0000"/>
          <w:sz w:val="16"/>
          <w:szCs w:val="16"/>
        </w:rPr>
        <w:t>N</w:t>
      </w:r>
      <w:r w:rsidR="00473D7F" w:rsidRPr="00666485">
        <w:rPr>
          <w:color w:val="FF0000"/>
          <w:sz w:val="16"/>
          <w:szCs w:val="16"/>
        </w:rPr>
        <w:t>etwork, integrating land use and transport, including all modes</w:t>
      </w:r>
      <w:r>
        <w:rPr>
          <w:color w:val="FF0000"/>
          <w:sz w:val="16"/>
          <w:szCs w:val="16"/>
        </w:rPr>
        <w:t xml:space="preserve"> and both rural and urban areas</w:t>
      </w:r>
    </w:p>
    <w:p w:rsidR="00473D7F" w:rsidRDefault="004268C2" w:rsidP="005E54DE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Customer Levels of S</w:t>
      </w:r>
      <w:r w:rsidR="00473D7F" w:rsidRPr="00666485">
        <w:rPr>
          <w:color w:val="FF0000"/>
          <w:sz w:val="16"/>
          <w:szCs w:val="16"/>
        </w:rPr>
        <w:t xml:space="preserve">ervice will be delivered in the context of a </w:t>
      </w:r>
      <w:r>
        <w:rPr>
          <w:color w:val="FF0000"/>
          <w:sz w:val="16"/>
          <w:szCs w:val="16"/>
        </w:rPr>
        <w:t>Safe S</w:t>
      </w:r>
      <w:r w:rsidR="00473D7F" w:rsidRPr="00666485">
        <w:rPr>
          <w:color w:val="FF0000"/>
          <w:sz w:val="16"/>
          <w:szCs w:val="16"/>
        </w:rPr>
        <w:t>ystem approach that aims to create a forgiving road system, where human error and vulnerability do not re</w:t>
      </w:r>
      <w:r>
        <w:rPr>
          <w:color w:val="FF0000"/>
          <w:sz w:val="16"/>
          <w:szCs w:val="16"/>
        </w:rPr>
        <w:t>sult in death or serious injury</w:t>
      </w:r>
    </w:p>
    <w:p w:rsidR="00860389" w:rsidRDefault="00860389" w:rsidP="00860389">
      <w:pPr>
        <w:spacing w:after="0" w:line="240" w:lineRule="auto"/>
        <w:rPr>
          <w:color w:val="FF0000"/>
          <w:sz w:val="16"/>
          <w:szCs w:val="16"/>
        </w:rPr>
      </w:pPr>
    </w:p>
    <w:p w:rsidR="002C2F9B" w:rsidRDefault="002C2F9B" w:rsidP="00860389">
      <w:pPr>
        <w:spacing w:after="0" w:line="240" w:lineRule="auto"/>
        <w:rPr>
          <w:color w:val="FF0000"/>
          <w:sz w:val="20"/>
          <w:szCs w:val="20"/>
        </w:rPr>
      </w:pPr>
    </w:p>
    <w:p w:rsidR="005015B4" w:rsidRPr="00383CD4" w:rsidRDefault="005015B4" w:rsidP="00860389">
      <w:pPr>
        <w:spacing w:after="0" w:line="240" w:lineRule="auto"/>
        <w:rPr>
          <w:sz w:val="20"/>
          <w:szCs w:val="20"/>
        </w:rPr>
      </w:pPr>
    </w:p>
    <w:sectPr w:rsidR="005015B4" w:rsidRPr="00383CD4" w:rsidSect="00B75E0C">
      <w:pgSz w:w="23814" w:h="16839" w:orient="landscape" w:code="8"/>
      <w:pgMar w:top="180" w:right="425" w:bottom="284" w:left="709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6C" w:rsidRDefault="00E2476C" w:rsidP="00074B5E">
      <w:pPr>
        <w:spacing w:after="0" w:line="240" w:lineRule="auto"/>
      </w:pPr>
      <w:r>
        <w:separator/>
      </w:r>
    </w:p>
  </w:endnote>
  <w:endnote w:type="continuationSeparator" w:id="0">
    <w:p w:rsidR="00E2476C" w:rsidRDefault="00E2476C" w:rsidP="0007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6C" w:rsidRDefault="00E2476C" w:rsidP="00074B5E">
      <w:pPr>
        <w:spacing w:after="0" w:line="240" w:lineRule="auto"/>
      </w:pPr>
      <w:r>
        <w:separator/>
      </w:r>
    </w:p>
  </w:footnote>
  <w:footnote w:type="continuationSeparator" w:id="0">
    <w:p w:rsidR="00E2476C" w:rsidRDefault="00E2476C" w:rsidP="0007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E64"/>
    <w:multiLevelType w:val="hybridMultilevel"/>
    <w:tmpl w:val="15165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14B3"/>
    <w:multiLevelType w:val="hybridMultilevel"/>
    <w:tmpl w:val="7EA60C10"/>
    <w:lvl w:ilvl="0" w:tplc="C98C9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F4D90"/>
    <w:multiLevelType w:val="hybridMultilevel"/>
    <w:tmpl w:val="C90A0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3F0"/>
    <w:multiLevelType w:val="hybridMultilevel"/>
    <w:tmpl w:val="87E24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383"/>
    <w:multiLevelType w:val="hybridMultilevel"/>
    <w:tmpl w:val="A8902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777F"/>
    <w:multiLevelType w:val="hybridMultilevel"/>
    <w:tmpl w:val="17A68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2DC6"/>
    <w:multiLevelType w:val="hybridMultilevel"/>
    <w:tmpl w:val="444EE2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D5"/>
    <w:rsid w:val="00015901"/>
    <w:rsid w:val="00021093"/>
    <w:rsid w:val="000327D8"/>
    <w:rsid w:val="0004366D"/>
    <w:rsid w:val="00074B5E"/>
    <w:rsid w:val="00082F7D"/>
    <w:rsid w:val="0009267B"/>
    <w:rsid w:val="000A10D5"/>
    <w:rsid w:val="000C5473"/>
    <w:rsid w:val="000C7901"/>
    <w:rsid w:val="000E5A6B"/>
    <w:rsid w:val="001026D7"/>
    <w:rsid w:val="00115F57"/>
    <w:rsid w:val="00133D85"/>
    <w:rsid w:val="001359B4"/>
    <w:rsid w:val="0015525D"/>
    <w:rsid w:val="001574B4"/>
    <w:rsid w:val="00165B15"/>
    <w:rsid w:val="0017244B"/>
    <w:rsid w:val="00183754"/>
    <w:rsid w:val="00190B5F"/>
    <w:rsid w:val="00195977"/>
    <w:rsid w:val="001A7963"/>
    <w:rsid w:val="001B5E1E"/>
    <w:rsid w:val="001C58EC"/>
    <w:rsid w:val="001E0B96"/>
    <w:rsid w:val="001E3DBF"/>
    <w:rsid w:val="001F2003"/>
    <w:rsid w:val="002059AE"/>
    <w:rsid w:val="002171DE"/>
    <w:rsid w:val="00237113"/>
    <w:rsid w:val="0024274E"/>
    <w:rsid w:val="00253713"/>
    <w:rsid w:val="00261073"/>
    <w:rsid w:val="00265FA8"/>
    <w:rsid w:val="002703BD"/>
    <w:rsid w:val="002821F8"/>
    <w:rsid w:val="002934E7"/>
    <w:rsid w:val="002C2F9B"/>
    <w:rsid w:val="002E280F"/>
    <w:rsid w:val="002E5ADA"/>
    <w:rsid w:val="00302091"/>
    <w:rsid w:val="00304321"/>
    <w:rsid w:val="003120B8"/>
    <w:rsid w:val="00315D28"/>
    <w:rsid w:val="00370E23"/>
    <w:rsid w:val="00371B35"/>
    <w:rsid w:val="003734DA"/>
    <w:rsid w:val="00383CD4"/>
    <w:rsid w:val="003A47D5"/>
    <w:rsid w:val="003B02EF"/>
    <w:rsid w:val="003B3E6C"/>
    <w:rsid w:val="003C1A29"/>
    <w:rsid w:val="003F0521"/>
    <w:rsid w:val="003F51D5"/>
    <w:rsid w:val="00406684"/>
    <w:rsid w:val="00411690"/>
    <w:rsid w:val="00417A00"/>
    <w:rsid w:val="004268C2"/>
    <w:rsid w:val="0043530B"/>
    <w:rsid w:val="004416FD"/>
    <w:rsid w:val="00455591"/>
    <w:rsid w:val="00471C31"/>
    <w:rsid w:val="00472B76"/>
    <w:rsid w:val="00473D7F"/>
    <w:rsid w:val="004768CF"/>
    <w:rsid w:val="004855D8"/>
    <w:rsid w:val="00497673"/>
    <w:rsid w:val="004A620A"/>
    <w:rsid w:val="004B6111"/>
    <w:rsid w:val="004E6377"/>
    <w:rsid w:val="004F6099"/>
    <w:rsid w:val="005015B4"/>
    <w:rsid w:val="00520507"/>
    <w:rsid w:val="00531EC3"/>
    <w:rsid w:val="0053694F"/>
    <w:rsid w:val="00547CEF"/>
    <w:rsid w:val="005509A8"/>
    <w:rsid w:val="00574378"/>
    <w:rsid w:val="00590020"/>
    <w:rsid w:val="005D6636"/>
    <w:rsid w:val="005D6F3E"/>
    <w:rsid w:val="005E00A4"/>
    <w:rsid w:val="005E54DE"/>
    <w:rsid w:val="0060386D"/>
    <w:rsid w:val="006111C7"/>
    <w:rsid w:val="00611F73"/>
    <w:rsid w:val="00612565"/>
    <w:rsid w:val="00623D01"/>
    <w:rsid w:val="0064107D"/>
    <w:rsid w:val="0064303C"/>
    <w:rsid w:val="00650DED"/>
    <w:rsid w:val="00664065"/>
    <w:rsid w:val="00666485"/>
    <w:rsid w:val="006974A2"/>
    <w:rsid w:val="00697545"/>
    <w:rsid w:val="006B761F"/>
    <w:rsid w:val="006E2C9C"/>
    <w:rsid w:val="006F6306"/>
    <w:rsid w:val="006F671D"/>
    <w:rsid w:val="006F72C2"/>
    <w:rsid w:val="007121A4"/>
    <w:rsid w:val="007224FA"/>
    <w:rsid w:val="007266B0"/>
    <w:rsid w:val="007342A2"/>
    <w:rsid w:val="00740C55"/>
    <w:rsid w:val="00742E12"/>
    <w:rsid w:val="00743BB3"/>
    <w:rsid w:val="007653BB"/>
    <w:rsid w:val="00773A04"/>
    <w:rsid w:val="00783110"/>
    <w:rsid w:val="0079236C"/>
    <w:rsid w:val="007969CE"/>
    <w:rsid w:val="007B3EEB"/>
    <w:rsid w:val="007C4862"/>
    <w:rsid w:val="00800A28"/>
    <w:rsid w:val="008202D0"/>
    <w:rsid w:val="00823501"/>
    <w:rsid w:val="00860389"/>
    <w:rsid w:val="00882A87"/>
    <w:rsid w:val="008A5725"/>
    <w:rsid w:val="008B2759"/>
    <w:rsid w:val="008B578E"/>
    <w:rsid w:val="008E54A2"/>
    <w:rsid w:val="00932629"/>
    <w:rsid w:val="00942F9E"/>
    <w:rsid w:val="009458EE"/>
    <w:rsid w:val="009775A3"/>
    <w:rsid w:val="00984FA9"/>
    <w:rsid w:val="009B4331"/>
    <w:rsid w:val="009C4227"/>
    <w:rsid w:val="009C4B20"/>
    <w:rsid w:val="009D1A83"/>
    <w:rsid w:val="00A03FC1"/>
    <w:rsid w:val="00A04A25"/>
    <w:rsid w:val="00A1311F"/>
    <w:rsid w:val="00A268DB"/>
    <w:rsid w:val="00A61CA2"/>
    <w:rsid w:val="00A6416F"/>
    <w:rsid w:val="00A9170E"/>
    <w:rsid w:val="00AA0EE5"/>
    <w:rsid w:val="00AD2958"/>
    <w:rsid w:val="00AD7AD7"/>
    <w:rsid w:val="00AE2E00"/>
    <w:rsid w:val="00AF1E38"/>
    <w:rsid w:val="00B02797"/>
    <w:rsid w:val="00B649BE"/>
    <w:rsid w:val="00B75E0C"/>
    <w:rsid w:val="00B81A6C"/>
    <w:rsid w:val="00BA2259"/>
    <w:rsid w:val="00BA6A99"/>
    <w:rsid w:val="00BC0E8E"/>
    <w:rsid w:val="00BC41F8"/>
    <w:rsid w:val="00BE5B3C"/>
    <w:rsid w:val="00BE6AB8"/>
    <w:rsid w:val="00C0487D"/>
    <w:rsid w:val="00C07C14"/>
    <w:rsid w:val="00C2060E"/>
    <w:rsid w:val="00C23709"/>
    <w:rsid w:val="00C364F0"/>
    <w:rsid w:val="00C36DA9"/>
    <w:rsid w:val="00C50525"/>
    <w:rsid w:val="00C52004"/>
    <w:rsid w:val="00C55460"/>
    <w:rsid w:val="00C80978"/>
    <w:rsid w:val="00C84F41"/>
    <w:rsid w:val="00C860FF"/>
    <w:rsid w:val="00C87255"/>
    <w:rsid w:val="00C96568"/>
    <w:rsid w:val="00CB0F0B"/>
    <w:rsid w:val="00D047AE"/>
    <w:rsid w:val="00D07ABF"/>
    <w:rsid w:val="00D26970"/>
    <w:rsid w:val="00D426A6"/>
    <w:rsid w:val="00D55320"/>
    <w:rsid w:val="00D67A48"/>
    <w:rsid w:val="00D84935"/>
    <w:rsid w:val="00D94D83"/>
    <w:rsid w:val="00DA566D"/>
    <w:rsid w:val="00DB0841"/>
    <w:rsid w:val="00DB26E4"/>
    <w:rsid w:val="00DE2776"/>
    <w:rsid w:val="00DE6012"/>
    <w:rsid w:val="00DF2988"/>
    <w:rsid w:val="00DF5001"/>
    <w:rsid w:val="00DF7FE3"/>
    <w:rsid w:val="00E05A40"/>
    <w:rsid w:val="00E13D1B"/>
    <w:rsid w:val="00E1547B"/>
    <w:rsid w:val="00E2370B"/>
    <w:rsid w:val="00E2476C"/>
    <w:rsid w:val="00E26742"/>
    <w:rsid w:val="00E42F05"/>
    <w:rsid w:val="00E52CE0"/>
    <w:rsid w:val="00E57797"/>
    <w:rsid w:val="00E8462F"/>
    <w:rsid w:val="00EE60BD"/>
    <w:rsid w:val="00EF2343"/>
    <w:rsid w:val="00EF42A9"/>
    <w:rsid w:val="00F00529"/>
    <w:rsid w:val="00F15076"/>
    <w:rsid w:val="00F244A4"/>
    <w:rsid w:val="00F27AE1"/>
    <w:rsid w:val="00F41593"/>
    <w:rsid w:val="00F635D1"/>
    <w:rsid w:val="00F87C4A"/>
    <w:rsid w:val="00F932BC"/>
    <w:rsid w:val="00F963D4"/>
    <w:rsid w:val="00F969D8"/>
    <w:rsid w:val="00FA2FBD"/>
    <w:rsid w:val="00FA57FD"/>
    <w:rsid w:val="00FA720D"/>
    <w:rsid w:val="00FC610D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0370A-4B9B-4E56-83CF-C459ADE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B5E"/>
  </w:style>
  <w:style w:type="paragraph" w:styleId="Footer">
    <w:name w:val="footer"/>
    <w:basedOn w:val="Normal"/>
    <w:link w:val="FooterChar"/>
    <w:uiPriority w:val="99"/>
    <w:unhideWhenUsed/>
    <w:rsid w:val="0007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B5E"/>
  </w:style>
  <w:style w:type="paragraph" w:styleId="BalloonText">
    <w:name w:val="Balloon Text"/>
    <w:basedOn w:val="Normal"/>
    <w:link w:val="BalloonTextChar"/>
    <w:uiPriority w:val="99"/>
    <w:semiHidden/>
    <w:unhideWhenUsed/>
    <w:rsid w:val="0007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DIER</Company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Given, Bob</dc:creator>
  <cp:keywords/>
  <dc:description/>
  <cp:lastModifiedBy>Blake, Martin</cp:lastModifiedBy>
  <cp:revision>4</cp:revision>
  <cp:lastPrinted>2016-02-26T02:47:00Z</cp:lastPrinted>
  <dcterms:created xsi:type="dcterms:W3CDTF">2016-03-02T00:54:00Z</dcterms:created>
  <dcterms:modified xsi:type="dcterms:W3CDTF">2016-03-15T01:18:00Z</dcterms:modified>
</cp:coreProperties>
</file>