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478ED" w14:textId="73646ED8" w:rsidR="00954531" w:rsidRDefault="001F3D31" w:rsidP="00954531">
      <w:pPr>
        <w:rPr>
          <w:rFonts w:ascii="Gill Sans MT" w:eastAsia="Times New Roman" w:hAnsi="Gill Sans MT" w:cs="Arial"/>
          <w:color w:val="000000"/>
        </w:rPr>
      </w:pPr>
      <w:bookmarkStart w:id="0" w:name="_GoBack"/>
      <w:bookmarkEnd w:id="0"/>
      <w:r>
        <w:rPr>
          <w:rFonts w:ascii="Gill Sans MT" w:eastAsia="Times New Roman" w:hAnsi="Gill Sans MT" w:cs="Arial"/>
          <w:noProof/>
          <w:color w:val="000000"/>
          <w:lang w:eastAsia="en-AU"/>
        </w:rPr>
        <w:drawing>
          <wp:anchor distT="0" distB="0" distL="114300" distR="114300" simplePos="0" relativeHeight="251658240" behindDoc="1" locked="0" layoutInCell="1" allowOverlap="1" wp14:anchorId="77EFCA17" wp14:editId="034EB114">
            <wp:simplePos x="0" y="0"/>
            <wp:positionH relativeFrom="margin">
              <wp:align>center</wp:align>
            </wp:positionH>
            <wp:positionV relativeFrom="paragraph">
              <wp:posOffset>-2966085</wp:posOffset>
            </wp:positionV>
            <wp:extent cx="7540408" cy="10664041"/>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image taxi newslet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0408" cy="10664041"/>
                    </a:xfrm>
                    <a:prstGeom prst="rect">
                      <a:avLst/>
                    </a:prstGeom>
                  </pic:spPr>
                </pic:pic>
              </a:graphicData>
            </a:graphic>
            <wp14:sizeRelH relativeFrom="page">
              <wp14:pctWidth>0</wp14:pctWidth>
            </wp14:sizeRelH>
            <wp14:sizeRelV relativeFrom="page">
              <wp14:pctHeight>0</wp14:pctHeight>
            </wp14:sizeRelV>
          </wp:anchor>
        </w:drawing>
      </w:r>
      <w:r w:rsidR="00954531" w:rsidRPr="00394D53">
        <w:rPr>
          <w:rFonts w:ascii="Gill Sans MT" w:eastAsia="Times New Roman" w:hAnsi="Gill Sans MT" w:cs="Arial"/>
          <w:color w:val="000000"/>
        </w:rPr>
        <w:t xml:space="preserve">Welcome to the </w:t>
      </w:r>
      <w:r w:rsidR="00C72032">
        <w:rPr>
          <w:rFonts w:ascii="Gill Sans MT" w:eastAsia="Times New Roman" w:hAnsi="Gill Sans MT" w:cs="Arial"/>
          <w:color w:val="000000"/>
        </w:rPr>
        <w:t xml:space="preserve">October </w:t>
      </w:r>
      <w:r w:rsidR="00A03FE8">
        <w:rPr>
          <w:rFonts w:ascii="Gill Sans MT" w:eastAsia="Times New Roman" w:hAnsi="Gill Sans MT" w:cs="Arial"/>
          <w:color w:val="000000"/>
        </w:rPr>
        <w:t>2017</w:t>
      </w:r>
      <w:r w:rsidR="00954531" w:rsidRPr="00394D53">
        <w:rPr>
          <w:rFonts w:ascii="Gill Sans MT" w:eastAsia="Times New Roman" w:hAnsi="Gill Sans MT" w:cs="Arial"/>
          <w:color w:val="000000"/>
        </w:rPr>
        <w:t xml:space="preserve"> edition of the Taxi Newsletter.</w:t>
      </w:r>
    </w:p>
    <w:p w14:paraId="0C0804A6" w14:textId="77777777" w:rsidR="00577A67" w:rsidRDefault="00577A67" w:rsidP="00590A61">
      <w:pPr>
        <w:spacing w:after="0"/>
        <w:rPr>
          <w:rFonts w:ascii="Gill Sans MT" w:eastAsiaTheme="majorEastAsia" w:hAnsi="Gill Sans MT" w:cstheme="majorBidi"/>
          <w:color w:val="2E74B5" w:themeColor="accent1" w:themeShade="BF"/>
          <w:sz w:val="32"/>
          <w:szCs w:val="32"/>
        </w:rPr>
      </w:pPr>
    </w:p>
    <w:p w14:paraId="63906D7E" w14:textId="189F7D63" w:rsidR="00590A61" w:rsidRPr="006F2134" w:rsidRDefault="005D7312" w:rsidP="00590A61">
      <w:pPr>
        <w:spacing w:after="0"/>
        <w:rPr>
          <w:rFonts w:ascii="Gill Sans MT" w:eastAsiaTheme="majorEastAsia" w:hAnsi="Gill Sans MT" w:cstheme="majorBidi"/>
          <w:color w:val="2E74B5" w:themeColor="accent1" w:themeShade="BF"/>
          <w:sz w:val="32"/>
          <w:szCs w:val="32"/>
        </w:rPr>
      </w:pPr>
      <w:r>
        <w:rPr>
          <w:rFonts w:ascii="Gill Sans MT" w:eastAsiaTheme="majorEastAsia" w:hAnsi="Gill Sans MT" w:cstheme="majorBidi"/>
          <w:color w:val="2E74B5" w:themeColor="accent1" w:themeShade="BF"/>
          <w:sz w:val="32"/>
          <w:szCs w:val="32"/>
        </w:rPr>
        <w:t>New exemption for ride-sourcing drivers</w:t>
      </w:r>
    </w:p>
    <w:p w14:paraId="2C6EEAC1" w14:textId="4F681C33" w:rsidR="005D7312" w:rsidRPr="005D7312" w:rsidRDefault="005D7312" w:rsidP="005D7312">
      <w:pPr>
        <w:rPr>
          <w:rFonts w:ascii="Gill Sans MT" w:hAnsi="Gill Sans MT"/>
        </w:rPr>
      </w:pPr>
      <w:r w:rsidRPr="005D7312">
        <w:rPr>
          <w:rFonts w:ascii="Gill Sans MT" w:hAnsi="Gill Sans MT"/>
        </w:rPr>
        <w:t xml:space="preserve">The Transport Commission has approved a new exemption for ride-sourcing drivers, replacing the exemption which was due to expire on 31 December 2017.  The new notice is identical to the previous version, with the exception of minor amendments to the definition of ride-sourcing vehicle to reflect what is already occurring (i.e. that the vehicle must only be a light vehicle and must also be registered in Tasmania).  Practically, this new exemption has the effect of extending the current arrangements for ride-sourcing services for up to two years.  This timeframe will provide the taxi and hire vehicle industries with regulatory certainty while the Department continues to undertake the Review.  When legislation is enacted that provides for the formal legislative recognition of ride-sourcing services in Tasmania, the exemption will no longer be necessary. </w:t>
      </w:r>
    </w:p>
    <w:p w14:paraId="0B76F6EF" w14:textId="77777777" w:rsidR="00577A67" w:rsidRDefault="00577A67" w:rsidP="00D925EF">
      <w:pPr>
        <w:spacing w:after="0"/>
        <w:rPr>
          <w:rFonts w:ascii="Gill Sans MT" w:eastAsiaTheme="majorEastAsia" w:hAnsi="Gill Sans MT" w:cstheme="majorBidi"/>
          <w:color w:val="2E74B5" w:themeColor="accent1" w:themeShade="BF"/>
          <w:sz w:val="32"/>
          <w:szCs w:val="32"/>
        </w:rPr>
      </w:pPr>
    </w:p>
    <w:p w14:paraId="435F3E49" w14:textId="6D198574" w:rsidR="00D925EF" w:rsidRPr="006F2134" w:rsidRDefault="00D925EF" w:rsidP="00D925EF">
      <w:pPr>
        <w:spacing w:after="0"/>
        <w:rPr>
          <w:rFonts w:ascii="Gill Sans MT" w:eastAsiaTheme="majorEastAsia" w:hAnsi="Gill Sans MT" w:cstheme="majorBidi"/>
          <w:color w:val="2E74B5" w:themeColor="accent1" w:themeShade="BF"/>
          <w:sz w:val="32"/>
          <w:szCs w:val="32"/>
        </w:rPr>
      </w:pPr>
      <w:r>
        <w:rPr>
          <w:rFonts w:ascii="Gill Sans MT" w:eastAsiaTheme="majorEastAsia" w:hAnsi="Gill Sans MT" w:cstheme="majorBidi"/>
          <w:color w:val="2E74B5" w:themeColor="accent1" w:themeShade="BF"/>
          <w:sz w:val="32"/>
          <w:szCs w:val="32"/>
        </w:rPr>
        <w:t>Uber Advertising</w:t>
      </w:r>
    </w:p>
    <w:p w14:paraId="1D79DE69" w14:textId="651E33B2" w:rsidR="00D925EF" w:rsidRPr="00D925EF" w:rsidRDefault="00D925EF" w:rsidP="00D925EF">
      <w:pPr>
        <w:rPr>
          <w:rFonts w:ascii="Gill Sans MT" w:hAnsi="Gill Sans MT"/>
        </w:rPr>
      </w:pPr>
      <w:r w:rsidRPr="00D925EF">
        <w:rPr>
          <w:rFonts w:ascii="Gill Sans MT" w:hAnsi="Gill Sans MT"/>
        </w:rPr>
        <w:t xml:space="preserve">The Department has recently received some complaints from taxi drivers about individuals in the Hobart CBD and elsewhere handing out advertising material for ride-source platform provider Uber.  The Department understands that these individuals are not themselves engaged in providing ride-sourcing services but have been employed to pass out pamphlets. The Department would like to re-emphasise that it is indeed unlawful for Uber drivers to use taxi ranks, accept jobs from passengers ‘hailing’ in the street, and to solicit for passenger trade on a public street (for example, by parking their vehicles and calling out to people). However, the distribution of pamphlets or other advertising material to the public does not constitute ‘touting’ or solicitation for the purposes of the relevant passenger transport legislation. </w:t>
      </w:r>
    </w:p>
    <w:p w14:paraId="6DEBD99B" w14:textId="77777777" w:rsidR="00577A67" w:rsidRDefault="00577A67" w:rsidP="00D925EF">
      <w:pPr>
        <w:spacing w:after="0"/>
        <w:rPr>
          <w:rFonts w:ascii="Gill Sans MT" w:eastAsiaTheme="majorEastAsia" w:hAnsi="Gill Sans MT" w:cstheme="majorBidi"/>
          <w:color w:val="2E74B5" w:themeColor="accent1" w:themeShade="BF"/>
          <w:sz w:val="32"/>
          <w:szCs w:val="32"/>
        </w:rPr>
      </w:pPr>
    </w:p>
    <w:p w14:paraId="4FE3A636" w14:textId="5BAC5B4A" w:rsidR="00D925EF" w:rsidRPr="006F2134" w:rsidRDefault="00D925EF" w:rsidP="00D925EF">
      <w:pPr>
        <w:spacing w:after="0"/>
        <w:rPr>
          <w:rFonts w:ascii="Gill Sans MT" w:eastAsiaTheme="majorEastAsia" w:hAnsi="Gill Sans MT" w:cstheme="majorBidi"/>
          <w:color w:val="2E74B5" w:themeColor="accent1" w:themeShade="BF"/>
          <w:sz w:val="32"/>
          <w:szCs w:val="32"/>
        </w:rPr>
      </w:pPr>
      <w:r>
        <w:rPr>
          <w:rFonts w:ascii="Gill Sans MT" w:eastAsiaTheme="majorEastAsia" w:hAnsi="Gill Sans MT" w:cstheme="majorBidi"/>
          <w:color w:val="2E74B5" w:themeColor="accent1" w:themeShade="BF"/>
          <w:sz w:val="32"/>
          <w:szCs w:val="32"/>
        </w:rPr>
        <w:t>Taxi and Hire Vehicle Industries Regulatory Review – Market Research</w:t>
      </w:r>
    </w:p>
    <w:p w14:paraId="21BAC561" w14:textId="17299818" w:rsidR="00D925EF" w:rsidRPr="00D925EF" w:rsidRDefault="00D925EF" w:rsidP="00D925EF">
      <w:pPr>
        <w:rPr>
          <w:rFonts w:ascii="Gill Sans MT" w:hAnsi="Gill Sans MT"/>
        </w:rPr>
      </w:pPr>
      <w:r w:rsidRPr="00D925EF">
        <w:rPr>
          <w:rFonts w:ascii="Gill Sans MT" w:hAnsi="Gill Sans MT"/>
        </w:rPr>
        <w:t>As part of the ongoing consultation process informing the Taxi and Hire Vehicle Industries Regulatory Review, the Department has engaged a consultant to undertake research to better understand the views, expectations and choices of Tasmanians who use taxi and hire vehicle services. The market research will involve a series of focus group sessions and a state-wide telephone and online survey.  The aim of connecting directly with consumers via market research is to ensure that the Department has a balanced understanding of the issues on both the demand and supply sides of the industry when formulating potential regulatory reform options.</w:t>
      </w:r>
    </w:p>
    <w:p w14:paraId="1D56C07A" w14:textId="77777777" w:rsidR="00615B49" w:rsidRDefault="00615B49" w:rsidP="00615B49"/>
    <w:p w14:paraId="5BB4A9B9" w14:textId="77777777" w:rsidR="00CF5AB0" w:rsidRPr="00394D53" w:rsidRDefault="00CF5AB0" w:rsidP="007E7FF9">
      <w:pPr>
        <w:spacing w:after="0"/>
        <w:rPr>
          <w:rFonts w:ascii="Gill Sans MT" w:hAnsi="Gill Sans MT" w:cs="Arial"/>
        </w:rPr>
      </w:pPr>
    </w:p>
    <w:p w14:paraId="4C8111AC" w14:textId="77777777" w:rsidR="00394D53" w:rsidRDefault="00394D53" w:rsidP="003C2D64">
      <w:pPr>
        <w:jc w:val="both"/>
        <w:rPr>
          <w:rFonts w:ascii="Gill Sans MT" w:hAnsi="Gill Sans MT" w:cs="Arial"/>
          <w:b/>
          <w:u w:val="single"/>
        </w:rPr>
        <w:sectPr w:rsidR="00394D53" w:rsidSect="000D3133">
          <w:pgSz w:w="11906" w:h="16838"/>
          <w:pgMar w:top="4678" w:right="707" w:bottom="1440" w:left="851" w:header="708" w:footer="708" w:gutter="0"/>
          <w:cols w:space="708"/>
          <w:docGrid w:linePitch="360"/>
        </w:sectPr>
      </w:pPr>
    </w:p>
    <w:p w14:paraId="200BF292" w14:textId="246B0055" w:rsidR="00F16A1F" w:rsidRDefault="00F16A1F" w:rsidP="00311714">
      <w:pPr>
        <w:pStyle w:val="Heading1"/>
        <w:rPr>
          <w:rFonts w:ascii="Gill Sans MT" w:hAnsi="Gill Sans MT"/>
        </w:rPr>
      </w:pPr>
      <w:r>
        <w:rPr>
          <w:rFonts w:ascii="Gill Sans MT" w:hAnsi="Gill Sans MT"/>
        </w:rPr>
        <w:lastRenderedPageBreak/>
        <w:t>Cruise ship season 2017/18</w:t>
      </w:r>
    </w:p>
    <w:p w14:paraId="056590A7" w14:textId="040E459F" w:rsidR="00F16A1F" w:rsidRPr="00A94C19" w:rsidRDefault="00F16A1F" w:rsidP="00F16A1F">
      <w:pPr>
        <w:rPr>
          <w:rFonts w:ascii="Gill Sans MT" w:hAnsi="Gill Sans MT"/>
        </w:rPr>
      </w:pPr>
      <w:r w:rsidRPr="00A94C19">
        <w:rPr>
          <w:rFonts w:ascii="Gill Sans MT" w:hAnsi="Gill Sans MT"/>
        </w:rPr>
        <w:t xml:space="preserve">The Hobart cruise ship season will be between 10 October 2017 and 21 June 2018 with 60 cruise ships scheduled to dock at the Port of Hobart.  The Transport Commission has approved and issued an authorisation for six parking spots in Hunter Street (adjacent to Victoria Dock) to be used by specifically authorised restricted hire vehicle (RHV) and luxury hire car (LHC) operators who have been issued with a permit from Destination Southern Tasmania </w:t>
      </w:r>
      <w:r w:rsidR="00C72032">
        <w:rPr>
          <w:rFonts w:ascii="Gill Sans MT" w:hAnsi="Gill Sans MT"/>
        </w:rPr>
        <w:t>to</w:t>
      </w:r>
      <w:r w:rsidR="00C72032" w:rsidRPr="00A94C19">
        <w:rPr>
          <w:rFonts w:ascii="Gill Sans MT" w:hAnsi="Gill Sans MT"/>
        </w:rPr>
        <w:t xml:space="preserve"> </w:t>
      </w:r>
      <w:r w:rsidRPr="00A94C19">
        <w:rPr>
          <w:rFonts w:ascii="Gill Sans MT" w:hAnsi="Gill Sans MT"/>
        </w:rPr>
        <w:t>offer and accept walk-up bookings from cruise ship passengers on relevant days.  No other operators are permitted to use this area.  See Attachment 1 for a map of the approved parking spots.  Standing for hire in any other place is not permitted unless the vehicle is a taxi and is standing on a taxi rank</w:t>
      </w:r>
      <w:r w:rsidR="00200110" w:rsidRPr="00A94C19">
        <w:rPr>
          <w:rFonts w:ascii="Gill Sans MT" w:hAnsi="Gill Sans MT"/>
        </w:rPr>
        <w:t>.</w:t>
      </w:r>
    </w:p>
    <w:p w14:paraId="00C70183" w14:textId="3A95B035" w:rsidR="00311714" w:rsidRDefault="00E41B73" w:rsidP="00311714">
      <w:pPr>
        <w:pStyle w:val="Heading1"/>
        <w:rPr>
          <w:rFonts w:ascii="Gill Sans MT" w:hAnsi="Gill Sans MT"/>
        </w:rPr>
      </w:pPr>
      <w:r>
        <w:rPr>
          <w:rFonts w:ascii="Gill Sans MT" w:hAnsi="Gill Sans MT"/>
        </w:rPr>
        <w:t>National Police Certificate (NPC)</w:t>
      </w:r>
      <w:r w:rsidR="007D127C">
        <w:rPr>
          <w:rFonts w:ascii="Gill Sans MT" w:hAnsi="Gill Sans MT"/>
        </w:rPr>
        <w:t xml:space="preserve"> for accreditation</w:t>
      </w:r>
    </w:p>
    <w:p w14:paraId="563AFB87" w14:textId="77777777" w:rsidR="007D127C" w:rsidRPr="008D3DDE" w:rsidRDefault="007D127C" w:rsidP="007D127C">
      <w:pPr>
        <w:rPr>
          <w:rFonts w:ascii="Gill Sans MT" w:hAnsi="Gill Sans MT"/>
          <w:b/>
        </w:rPr>
      </w:pPr>
      <w:r>
        <w:rPr>
          <w:rFonts w:ascii="Gill Sans MT" w:hAnsi="Gill Sans MT"/>
          <w:b/>
        </w:rPr>
        <w:t>Why do I need to provide a current</w:t>
      </w:r>
      <w:r w:rsidRPr="008D3DDE">
        <w:rPr>
          <w:rFonts w:ascii="Gill Sans MT" w:hAnsi="Gill Sans MT"/>
          <w:b/>
        </w:rPr>
        <w:t xml:space="preserve"> NPC?</w:t>
      </w:r>
    </w:p>
    <w:p w14:paraId="66D403B9" w14:textId="2AA7192A" w:rsidR="007D127C" w:rsidRDefault="007D127C" w:rsidP="007D127C">
      <w:pPr>
        <w:rPr>
          <w:rFonts w:ascii="Gill Sans MT" w:hAnsi="Gill Sans MT"/>
        </w:rPr>
      </w:pPr>
      <w:r>
        <w:rPr>
          <w:rFonts w:ascii="Gill Sans MT" w:hAnsi="Gill Sans MT"/>
        </w:rPr>
        <w:t xml:space="preserve">An accredited operator or nominated responsible person must be a </w:t>
      </w:r>
      <w:r w:rsidRPr="00285F4A">
        <w:rPr>
          <w:rFonts w:ascii="Gill Sans MT" w:hAnsi="Gill Sans MT"/>
          <w:i/>
        </w:rPr>
        <w:t>fit and proper</w:t>
      </w:r>
      <w:r>
        <w:rPr>
          <w:rFonts w:ascii="Gill Sans MT" w:hAnsi="Gill Sans MT"/>
        </w:rPr>
        <w:t xml:space="preserve"> person.  Any convictions for offences or crimes (in particular offences which are considered serious offences under the </w:t>
      </w:r>
      <w:r w:rsidRPr="00285F4A">
        <w:rPr>
          <w:rFonts w:ascii="Gill Sans MT" w:hAnsi="Gill Sans MT"/>
          <w:i/>
        </w:rPr>
        <w:t>Passenger Transport Services Act 2011</w:t>
      </w:r>
      <w:r>
        <w:rPr>
          <w:rFonts w:ascii="Gill Sans MT" w:hAnsi="Gill Sans MT"/>
        </w:rPr>
        <w:t xml:space="preserve"> [the Act]) are considered when making a determination about whether a person is a </w:t>
      </w:r>
      <w:r w:rsidRPr="00285F4A">
        <w:rPr>
          <w:rFonts w:ascii="Gill Sans MT" w:hAnsi="Gill Sans MT"/>
          <w:i/>
        </w:rPr>
        <w:t xml:space="preserve">fit and proper </w:t>
      </w:r>
      <w:r w:rsidRPr="00577A67">
        <w:rPr>
          <w:rFonts w:ascii="Gill Sans MT" w:hAnsi="Gill Sans MT"/>
        </w:rPr>
        <w:t>person.</w:t>
      </w:r>
      <w:r>
        <w:rPr>
          <w:rFonts w:ascii="Gill Sans MT" w:hAnsi="Gill Sans MT"/>
        </w:rPr>
        <w:t xml:space="preserve">  An NPC provides a record of all disclosable prior convictions and findings of guilt and is used</w:t>
      </w:r>
      <w:r w:rsidR="00577A67">
        <w:rPr>
          <w:rFonts w:ascii="Gill Sans MT" w:hAnsi="Gill Sans MT"/>
        </w:rPr>
        <w:t>, along with other information</w:t>
      </w:r>
      <w:r>
        <w:rPr>
          <w:rFonts w:ascii="Gill Sans MT" w:hAnsi="Gill Sans MT"/>
        </w:rPr>
        <w:t xml:space="preserve"> to make a determination about whether or not a person is a </w:t>
      </w:r>
      <w:r w:rsidRPr="001D207B">
        <w:rPr>
          <w:rFonts w:ascii="Gill Sans MT" w:hAnsi="Gill Sans MT"/>
          <w:i/>
        </w:rPr>
        <w:t>fit and proper</w:t>
      </w:r>
      <w:r>
        <w:rPr>
          <w:rFonts w:ascii="Gill Sans MT" w:hAnsi="Gill Sans MT"/>
          <w:i/>
        </w:rPr>
        <w:t xml:space="preserve"> </w:t>
      </w:r>
      <w:r>
        <w:rPr>
          <w:rFonts w:ascii="Gill Sans MT" w:hAnsi="Gill Sans MT"/>
        </w:rPr>
        <w:t xml:space="preserve">person to hold accreditation or be nominated as a responsible person for the accreditation.   </w:t>
      </w:r>
    </w:p>
    <w:p w14:paraId="6E9FCBB0" w14:textId="77777777" w:rsidR="007D127C" w:rsidRPr="00947A34" w:rsidRDefault="007D127C" w:rsidP="007D127C">
      <w:pPr>
        <w:rPr>
          <w:rFonts w:ascii="Gill Sans MT" w:hAnsi="Gill Sans MT"/>
          <w:b/>
        </w:rPr>
      </w:pPr>
      <w:r w:rsidRPr="00947A34">
        <w:rPr>
          <w:rFonts w:ascii="Gill Sans MT" w:hAnsi="Gill Sans MT"/>
          <w:b/>
        </w:rPr>
        <w:t>What type of NPC is required for accreditation?</w:t>
      </w:r>
    </w:p>
    <w:p w14:paraId="035605F8" w14:textId="77777777" w:rsidR="007D127C" w:rsidRDefault="007D127C" w:rsidP="007D127C">
      <w:pPr>
        <w:rPr>
          <w:rFonts w:ascii="Gill Sans MT" w:hAnsi="Gill Sans MT"/>
        </w:rPr>
      </w:pPr>
      <w:r>
        <w:rPr>
          <w:rFonts w:ascii="Gill Sans MT" w:hAnsi="Gill Sans MT"/>
        </w:rPr>
        <w:t xml:space="preserve">The </w:t>
      </w:r>
      <w:r w:rsidRPr="000B3A38">
        <w:rPr>
          <w:rFonts w:ascii="Gill Sans MT" w:hAnsi="Gill Sans MT"/>
          <w:b/>
        </w:rPr>
        <w:t>only type of NPC</w:t>
      </w:r>
      <w:r>
        <w:rPr>
          <w:rFonts w:ascii="Gill Sans MT" w:hAnsi="Gill Sans MT"/>
        </w:rPr>
        <w:t xml:space="preserve"> that is acceptable for accreditation is an NPC obtained through </w:t>
      </w:r>
      <w:r w:rsidRPr="00577A67">
        <w:rPr>
          <w:rFonts w:ascii="Gill Sans MT" w:hAnsi="Gill Sans MT"/>
        </w:rPr>
        <w:t xml:space="preserve">Tasmania Police </w:t>
      </w:r>
      <w:r w:rsidRPr="006B23F6">
        <w:rPr>
          <w:rFonts w:ascii="Gill Sans MT" w:hAnsi="Gill Sans MT"/>
          <w:i/>
        </w:rPr>
        <w:t>that is issued for the purpose of a Schedule 1 record</w:t>
      </w:r>
      <w:r w:rsidRPr="00577A67">
        <w:rPr>
          <w:rFonts w:ascii="Gill Sans MT" w:hAnsi="Gill Sans MT"/>
        </w:rPr>
        <w:t>.  Ther</w:t>
      </w:r>
      <w:r>
        <w:rPr>
          <w:rFonts w:ascii="Gill Sans MT" w:hAnsi="Gill Sans MT"/>
        </w:rPr>
        <w:t xml:space="preserve">e are different types of NPCs available.  It is important that you supply the correct type of NPC or it may not be accepted and you will need to get the correct one.  </w:t>
      </w:r>
    </w:p>
    <w:p w14:paraId="162FA548" w14:textId="77777777" w:rsidR="007D127C" w:rsidRPr="00D55BB8" w:rsidRDefault="007D127C" w:rsidP="007D127C">
      <w:pPr>
        <w:rPr>
          <w:rFonts w:ascii="Gill Sans MT" w:hAnsi="Gill Sans MT"/>
          <w:b/>
        </w:rPr>
      </w:pPr>
      <w:r w:rsidRPr="00D55BB8">
        <w:rPr>
          <w:rFonts w:ascii="Gill Sans MT" w:hAnsi="Gill Sans MT"/>
          <w:b/>
        </w:rPr>
        <w:t>How do I get an NPC?</w:t>
      </w:r>
    </w:p>
    <w:p w14:paraId="3CE478BF" w14:textId="77777777" w:rsidR="007D127C" w:rsidRDefault="007D127C" w:rsidP="007D127C">
      <w:pPr>
        <w:rPr>
          <w:rFonts w:ascii="Gill Sans MT" w:hAnsi="Gill Sans MT"/>
        </w:rPr>
      </w:pPr>
      <w:r>
        <w:rPr>
          <w:rFonts w:ascii="Gill Sans MT" w:hAnsi="Gill Sans MT"/>
        </w:rPr>
        <w:t xml:space="preserve">You can get an application form for an NPC from a Service Tasmania shop, police station or download it from the Tasmania Police website at </w:t>
      </w:r>
      <w:hyperlink r:id="rId9" w:history="1">
        <w:r w:rsidRPr="00265FD6">
          <w:rPr>
            <w:rStyle w:val="Hyperlink"/>
            <w:rFonts w:ascii="Gill Sans MT" w:hAnsi="Gill Sans MT"/>
          </w:rPr>
          <w:t>http://www.police.tas.gov.au/services-online/police-history-record-checks/</w:t>
        </w:r>
      </w:hyperlink>
      <w:r>
        <w:rPr>
          <w:rFonts w:ascii="Gill Sans MT" w:hAnsi="Gill Sans MT"/>
        </w:rPr>
        <w:t xml:space="preserve">   The form is called a ‘Consent to Check and Release a National Police Certificate’.  For accreditation, the purpose of the record check is </w:t>
      </w:r>
      <w:r w:rsidRPr="00766F8A">
        <w:rPr>
          <w:rFonts w:ascii="Gill Sans MT" w:hAnsi="Gill Sans MT"/>
          <w:i/>
        </w:rPr>
        <w:t>Option 1 – Employment/Privilege under Schedule 1 - Driver / Public Passenger Licence</w:t>
      </w:r>
      <w:r>
        <w:rPr>
          <w:rFonts w:ascii="Gill Sans MT" w:hAnsi="Gill Sans MT"/>
        </w:rPr>
        <w:t>.</w:t>
      </w:r>
    </w:p>
    <w:p w14:paraId="23F91D11" w14:textId="77777777" w:rsidR="007D127C" w:rsidRPr="00D55BB8" w:rsidRDefault="007D127C" w:rsidP="007D127C">
      <w:pPr>
        <w:rPr>
          <w:rFonts w:ascii="Gill Sans MT" w:hAnsi="Gill Sans MT"/>
          <w:b/>
        </w:rPr>
      </w:pPr>
      <w:r w:rsidRPr="00D55BB8">
        <w:rPr>
          <w:rFonts w:ascii="Gill Sans MT" w:hAnsi="Gill Sans MT"/>
          <w:b/>
        </w:rPr>
        <w:t>Does it cost to get an NPC?</w:t>
      </w:r>
    </w:p>
    <w:p w14:paraId="26DCDB4F" w14:textId="77777777" w:rsidR="007D127C" w:rsidRDefault="007D127C" w:rsidP="007D127C">
      <w:pPr>
        <w:rPr>
          <w:rFonts w:ascii="Gill Sans MT" w:hAnsi="Gill Sans MT"/>
        </w:rPr>
      </w:pPr>
      <w:r>
        <w:rPr>
          <w:rFonts w:ascii="Gill Sans MT" w:hAnsi="Gill Sans MT"/>
        </w:rPr>
        <w:t>You will need to pay a fee for the NPC.</w:t>
      </w:r>
    </w:p>
    <w:p w14:paraId="3220E1EC" w14:textId="4503D04E" w:rsidR="007D127C" w:rsidRPr="00D55BB8" w:rsidRDefault="00D55BB8" w:rsidP="007D127C">
      <w:pPr>
        <w:rPr>
          <w:rFonts w:ascii="Gill Sans MT" w:hAnsi="Gill Sans MT"/>
          <w:b/>
        </w:rPr>
      </w:pPr>
      <w:r w:rsidRPr="006B23F6">
        <w:rPr>
          <w:rFonts w:ascii="Gill Sans MT" w:hAnsi="Gill Sans MT"/>
          <w:b/>
        </w:rPr>
        <w:t xml:space="preserve">Do </w:t>
      </w:r>
      <w:r w:rsidR="007D127C" w:rsidRPr="00D55BB8">
        <w:rPr>
          <w:rFonts w:ascii="Gill Sans MT" w:hAnsi="Gill Sans MT"/>
          <w:b/>
        </w:rPr>
        <w:t>I need an NPC because I am maintaining an existing accreditation</w:t>
      </w:r>
      <w:r w:rsidRPr="006B23F6">
        <w:rPr>
          <w:rFonts w:ascii="Gill Sans MT" w:hAnsi="Gill Sans MT"/>
          <w:b/>
        </w:rPr>
        <w:t>?</w:t>
      </w:r>
    </w:p>
    <w:p w14:paraId="3287E79D" w14:textId="70D80C5A" w:rsidR="007D127C" w:rsidRDefault="007D127C" w:rsidP="007D127C">
      <w:pPr>
        <w:rPr>
          <w:rFonts w:ascii="Gill Sans MT" w:hAnsi="Gill Sans MT"/>
        </w:rPr>
      </w:pPr>
      <w:r>
        <w:rPr>
          <w:rFonts w:ascii="Gill Sans MT" w:hAnsi="Gill Sans MT"/>
        </w:rPr>
        <w:t>A standard condition of accreditation requires the holder of the accreditation or nominated responsible person to supply a current NPC to the Commission every three years.  The date by which the NPC must be provided is printed on the accreditation certificate.</w:t>
      </w:r>
      <w:r w:rsidR="00D55BB8">
        <w:rPr>
          <w:rFonts w:ascii="Gill Sans MT" w:hAnsi="Gill Sans MT"/>
        </w:rPr>
        <w:t xml:space="preserve">  If it is not supplied then </w:t>
      </w:r>
      <w:r w:rsidR="006B23F6">
        <w:rPr>
          <w:rFonts w:ascii="Gill Sans MT" w:hAnsi="Gill Sans MT"/>
        </w:rPr>
        <w:t>a condition of the accreditation will be contravened</w:t>
      </w:r>
      <w:r w:rsidR="00D55BB8">
        <w:rPr>
          <w:rFonts w:ascii="Gill Sans MT" w:hAnsi="Gill Sans MT"/>
        </w:rPr>
        <w:t xml:space="preserve"> and the accredited operator (</w:t>
      </w:r>
      <w:r w:rsidR="006B23F6">
        <w:rPr>
          <w:rFonts w:ascii="Gill Sans MT" w:hAnsi="Gill Sans MT"/>
        </w:rPr>
        <w:t>or</w:t>
      </w:r>
      <w:r w:rsidR="00D55BB8">
        <w:rPr>
          <w:rFonts w:ascii="Gill Sans MT" w:hAnsi="Gill Sans MT"/>
        </w:rPr>
        <w:t xml:space="preserve"> responsible person) is committing an offence.</w:t>
      </w:r>
    </w:p>
    <w:p w14:paraId="22CD41D6" w14:textId="77777777" w:rsidR="007D127C" w:rsidRPr="00947A34" w:rsidRDefault="007D127C" w:rsidP="007D127C">
      <w:pPr>
        <w:rPr>
          <w:rFonts w:ascii="Gill Sans MT" w:hAnsi="Gill Sans MT"/>
          <w:b/>
        </w:rPr>
      </w:pPr>
      <w:r w:rsidRPr="00947A34">
        <w:rPr>
          <w:rFonts w:ascii="Gill Sans MT" w:hAnsi="Gill Sans MT"/>
          <w:b/>
        </w:rPr>
        <w:t>Where do I send the NPC?</w:t>
      </w:r>
    </w:p>
    <w:p w14:paraId="37637361" w14:textId="77777777" w:rsidR="007D127C" w:rsidRDefault="007D127C" w:rsidP="007D127C">
      <w:pPr>
        <w:rPr>
          <w:rFonts w:ascii="Gill Sans MT" w:hAnsi="Gill Sans MT"/>
        </w:rPr>
      </w:pPr>
      <w:r>
        <w:rPr>
          <w:rFonts w:ascii="Gill Sans MT" w:hAnsi="Gill Sans MT"/>
        </w:rPr>
        <w:t xml:space="preserve">Have a copy of the NPC certified and send </w:t>
      </w:r>
      <w:r w:rsidRPr="009952B2">
        <w:rPr>
          <w:rFonts w:ascii="Gill Sans MT" w:hAnsi="Gill Sans MT"/>
          <w:b/>
        </w:rPr>
        <w:t>the certified copy</w:t>
      </w:r>
      <w:r>
        <w:rPr>
          <w:rFonts w:ascii="Gill Sans MT" w:hAnsi="Gill Sans MT"/>
        </w:rPr>
        <w:t xml:space="preserve"> of the certificate to the Commission by:</w:t>
      </w:r>
    </w:p>
    <w:p w14:paraId="7D4E1266" w14:textId="77777777" w:rsidR="007D127C" w:rsidRDefault="007D127C" w:rsidP="007D127C">
      <w:pPr>
        <w:pStyle w:val="ListParagraph"/>
        <w:numPr>
          <w:ilvl w:val="0"/>
          <w:numId w:val="25"/>
        </w:numPr>
        <w:spacing w:after="0" w:line="240" w:lineRule="auto"/>
        <w:rPr>
          <w:rFonts w:ascii="Gill Sans MT" w:hAnsi="Gill Sans MT"/>
        </w:rPr>
      </w:pPr>
      <w:r w:rsidRPr="000F16E6">
        <w:rPr>
          <w:rFonts w:ascii="Gill Sans MT" w:hAnsi="Gill Sans MT"/>
        </w:rPr>
        <w:t>posting to: Regulations and Concessions</w:t>
      </w:r>
      <w:r>
        <w:rPr>
          <w:rFonts w:ascii="Gill Sans MT" w:hAnsi="Gill Sans MT"/>
        </w:rPr>
        <w:t xml:space="preserve"> Unit, GPO Box 536, Hobart TAS 7001; or</w:t>
      </w:r>
    </w:p>
    <w:p w14:paraId="3724BBCE" w14:textId="77777777" w:rsidR="007D127C" w:rsidRDefault="007D127C" w:rsidP="007D127C">
      <w:pPr>
        <w:pStyle w:val="ListParagraph"/>
        <w:numPr>
          <w:ilvl w:val="0"/>
          <w:numId w:val="25"/>
        </w:numPr>
        <w:spacing w:after="240" w:line="240" w:lineRule="auto"/>
        <w:rPr>
          <w:rFonts w:ascii="Gill Sans MT" w:hAnsi="Gill Sans MT"/>
        </w:rPr>
      </w:pPr>
      <w:r>
        <w:rPr>
          <w:rFonts w:ascii="Gill Sans MT" w:hAnsi="Gill Sans MT"/>
        </w:rPr>
        <w:t>scanning and emailing to: operator.accreditation@stategrowth.tas.gov.au</w:t>
      </w:r>
    </w:p>
    <w:p w14:paraId="2BE92E48" w14:textId="24A5B124" w:rsidR="00A94C19" w:rsidRDefault="00D55BB8" w:rsidP="007D127C">
      <w:pPr>
        <w:rPr>
          <w:rFonts w:ascii="Gill Sans MT" w:hAnsi="Gill Sans MT"/>
          <w:b/>
        </w:rPr>
      </w:pPr>
      <w:r>
        <w:rPr>
          <w:rFonts w:ascii="Gill Sans MT" w:hAnsi="Gill Sans MT"/>
          <w:b/>
        </w:rPr>
        <w:t>What c</w:t>
      </w:r>
      <w:r w:rsidR="007D127C" w:rsidRPr="006F2AED">
        <w:rPr>
          <w:rFonts w:ascii="Gill Sans MT" w:hAnsi="Gill Sans MT"/>
          <w:b/>
        </w:rPr>
        <w:t>ertificates won’t be accepted</w:t>
      </w:r>
      <w:r>
        <w:rPr>
          <w:rFonts w:ascii="Gill Sans MT" w:hAnsi="Gill Sans MT"/>
          <w:b/>
        </w:rPr>
        <w:t>?</w:t>
      </w:r>
    </w:p>
    <w:p w14:paraId="65E26DA8" w14:textId="1FDEF6C9" w:rsidR="007D127C" w:rsidRDefault="007D127C" w:rsidP="007D127C">
      <w:pPr>
        <w:rPr>
          <w:rFonts w:ascii="Gill Sans MT" w:hAnsi="Gill Sans MT"/>
        </w:rPr>
      </w:pPr>
      <w:r>
        <w:rPr>
          <w:rFonts w:ascii="Gill Sans MT" w:hAnsi="Gill Sans MT"/>
        </w:rPr>
        <w:t xml:space="preserve">Only current NPCs will be accepted.  </w:t>
      </w:r>
      <w:r w:rsidR="00D55BB8">
        <w:rPr>
          <w:rFonts w:ascii="Gill Sans MT" w:hAnsi="Gill Sans MT"/>
        </w:rPr>
        <w:t xml:space="preserve">NPCs </w:t>
      </w:r>
      <w:r>
        <w:rPr>
          <w:rFonts w:ascii="Gill Sans MT" w:hAnsi="Gill Sans MT"/>
        </w:rPr>
        <w:t xml:space="preserve">older than 90 days, </w:t>
      </w:r>
      <w:r w:rsidR="00D55BB8">
        <w:rPr>
          <w:rFonts w:ascii="Gill Sans MT" w:hAnsi="Gill Sans MT"/>
        </w:rPr>
        <w:t>or</w:t>
      </w:r>
      <w:r>
        <w:rPr>
          <w:rFonts w:ascii="Gill Sans MT" w:hAnsi="Gill Sans MT"/>
        </w:rPr>
        <w:t xml:space="preserve"> National Police Checks or certificates obtained from an internet-based facility or website (other than downloaded from the Tasmania Police website above) </w:t>
      </w:r>
      <w:r w:rsidR="006B23F6">
        <w:rPr>
          <w:rFonts w:ascii="Gill Sans MT" w:hAnsi="Gill Sans MT"/>
        </w:rPr>
        <w:t>are not satisfactory.</w:t>
      </w:r>
    </w:p>
    <w:p w14:paraId="2283031B" w14:textId="0E0A7336" w:rsidR="00ED64DB" w:rsidRDefault="00B3056E" w:rsidP="00ED64DB">
      <w:pPr>
        <w:pStyle w:val="Heading1"/>
        <w:rPr>
          <w:rFonts w:ascii="Gill Sans MT" w:hAnsi="Gill Sans MT"/>
        </w:rPr>
      </w:pPr>
      <w:r>
        <w:rPr>
          <w:rFonts w:ascii="Gill Sans MT" w:hAnsi="Gill Sans MT"/>
        </w:rPr>
        <w:lastRenderedPageBreak/>
        <w:t xml:space="preserve">Pre-departure inspections </w:t>
      </w:r>
    </w:p>
    <w:p w14:paraId="268781FE" w14:textId="39B86DD9" w:rsidR="004403F3" w:rsidRDefault="00E8339F" w:rsidP="00952493">
      <w:pPr>
        <w:rPr>
          <w:rFonts w:ascii="Gill Sans MT" w:hAnsi="Gill Sans MT" w:cs="Arial"/>
        </w:rPr>
      </w:pPr>
      <w:r w:rsidRPr="007D127C">
        <w:rPr>
          <w:rFonts w:ascii="Gill Sans MT" w:hAnsi="Gill Sans MT" w:cs="Arial"/>
        </w:rPr>
        <w:t>The purpose of a</w:t>
      </w:r>
      <w:r w:rsidR="00952493" w:rsidRPr="007D127C">
        <w:rPr>
          <w:rFonts w:ascii="Gill Sans MT" w:hAnsi="Gill Sans MT" w:cs="Arial"/>
        </w:rPr>
        <w:t xml:space="preserve">ccreditation is </w:t>
      </w:r>
      <w:r w:rsidRPr="007D127C">
        <w:rPr>
          <w:rFonts w:ascii="Gill Sans MT" w:hAnsi="Gill Sans MT" w:cs="Arial"/>
        </w:rPr>
        <w:t>to ensure</w:t>
      </w:r>
      <w:r w:rsidR="00952493" w:rsidRPr="007D127C">
        <w:rPr>
          <w:rFonts w:ascii="Gill Sans MT" w:hAnsi="Gill Sans MT" w:cs="Arial"/>
        </w:rPr>
        <w:t xml:space="preserve"> passenger transport services are safe.  </w:t>
      </w:r>
      <w:r w:rsidRPr="007D127C">
        <w:rPr>
          <w:rFonts w:ascii="Gill Sans MT" w:hAnsi="Gill Sans MT" w:cs="Arial"/>
        </w:rPr>
        <w:t xml:space="preserve">As a taxi operator you are </w:t>
      </w:r>
      <w:r w:rsidR="00A64982">
        <w:rPr>
          <w:rFonts w:ascii="Gill Sans MT" w:hAnsi="Gill Sans MT" w:cs="Arial"/>
        </w:rPr>
        <w:t xml:space="preserve">legally </w:t>
      </w:r>
      <w:r w:rsidRPr="007D127C">
        <w:rPr>
          <w:rFonts w:ascii="Gill Sans MT" w:hAnsi="Gill Sans MT" w:cs="Arial"/>
        </w:rPr>
        <w:t>required to have systems in place for your service so that your vehicles, drivers and passengers are safe</w:t>
      </w:r>
      <w:r w:rsidR="004403F3">
        <w:rPr>
          <w:rFonts w:ascii="Gill Sans MT" w:hAnsi="Gill Sans MT" w:cs="Arial"/>
        </w:rPr>
        <w:t xml:space="preserve">.  </w:t>
      </w:r>
      <w:r w:rsidR="000466FF" w:rsidRPr="007D127C">
        <w:rPr>
          <w:rFonts w:ascii="Gill Sans MT" w:hAnsi="Gill Sans MT" w:cs="Arial"/>
        </w:rPr>
        <w:t xml:space="preserve"> </w:t>
      </w:r>
    </w:p>
    <w:p w14:paraId="1DC2819B" w14:textId="3A820172" w:rsidR="00952493" w:rsidRPr="007D127C" w:rsidRDefault="00A64982" w:rsidP="00952493">
      <w:pPr>
        <w:rPr>
          <w:rFonts w:ascii="Gill Sans MT" w:hAnsi="Gill Sans MT" w:cs="Arial"/>
        </w:rPr>
      </w:pPr>
      <w:r>
        <w:rPr>
          <w:rFonts w:ascii="Gill Sans MT" w:hAnsi="Gill Sans MT" w:cs="Arial"/>
        </w:rPr>
        <w:t xml:space="preserve">There are a range of tasks that a taxi operator must do so that </w:t>
      </w:r>
      <w:r w:rsidR="006B23F6">
        <w:rPr>
          <w:rFonts w:ascii="Gill Sans MT" w:hAnsi="Gill Sans MT" w:cs="Arial"/>
        </w:rPr>
        <w:t xml:space="preserve">their </w:t>
      </w:r>
      <w:r>
        <w:rPr>
          <w:rFonts w:ascii="Gill Sans MT" w:hAnsi="Gill Sans MT" w:cs="Arial"/>
        </w:rPr>
        <w:t>taxi service is safe</w:t>
      </w:r>
      <w:r w:rsidR="006B23F6">
        <w:rPr>
          <w:rFonts w:ascii="Gill Sans MT" w:hAnsi="Gill Sans MT" w:cs="Arial"/>
        </w:rPr>
        <w:t xml:space="preserve"> which includes inspecting</w:t>
      </w:r>
      <w:r w:rsidR="00EA4EBA">
        <w:rPr>
          <w:rFonts w:ascii="Gill Sans MT" w:hAnsi="Gill Sans MT" w:cs="Arial"/>
        </w:rPr>
        <w:t xml:space="preserve"> each of your</w:t>
      </w:r>
      <w:r w:rsidR="006B23F6">
        <w:rPr>
          <w:rFonts w:ascii="Gill Sans MT" w:hAnsi="Gill Sans MT" w:cs="Arial"/>
        </w:rPr>
        <w:t xml:space="preserve"> taxi</w:t>
      </w:r>
      <w:r w:rsidR="00EA4EBA">
        <w:rPr>
          <w:rFonts w:ascii="Gill Sans MT" w:hAnsi="Gill Sans MT" w:cs="Arial"/>
        </w:rPr>
        <w:t>s</w:t>
      </w:r>
      <w:r w:rsidR="004403F3">
        <w:rPr>
          <w:rFonts w:ascii="Gill Sans MT" w:hAnsi="Gill Sans MT" w:cs="Arial"/>
        </w:rPr>
        <w:t xml:space="preserve"> every day before </w:t>
      </w:r>
      <w:r w:rsidR="00EA4EBA">
        <w:rPr>
          <w:rFonts w:ascii="Gill Sans MT" w:hAnsi="Gill Sans MT" w:cs="Arial"/>
        </w:rPr>
        <w:t>they are</w:t>
      </w:r>
      <w:r w:rsidR="004403F3">
        <w:rPr>
          <w:rFonts w:ascii="Gill Sans MT" w:hAnsi="Gill Sans MT" w:cs="Arial"/>
        </w:rPr>
        <w:t xml:space="preserve"> used to provide a taxi service to ensure </w:t>
      </w:r>
      <w:r w:rsidR="00EA4EBA">
        <w:rPr>
          <w:rFonts w:ascii="Gill Sans MT" w:hAnsi="Gill Sans MT" w:cs="Arial"/>
        </w:rPr>
        <w:t>they are</w:t>
      </w:r>
      <w:r w:rsidR="004403F3">
        <w:rPr>
          <w:rFonts w:ascii="Gill Sans MT" w:hAnsi="Gill Sans MT" w:cs="Arial"/>
        </w:rPr>
        <w:t xml:space="preserve"> safe and free from defects and faults.  </w:t>
      </w:r>
      <w:r>
        <w:rPr>
          <w:rFonts w:ascii="Gill Sans MT" w:hAnsi="Gill Sans MT" w:cs="Arial"/>
        </w:rPr>
        <w:t>This is the pre-departure inspection</w:t>
      </w:r>
      <w:r w:rsidR="004403F3">
        <w:rPr>
          <w:rFonts w:ascii="Gill Sans MT" w:hAnsi="Gill Sans MT" w:cs="Arial"/>
        </w:rPr>
        <w:t xml:space="preserve"> under the Accreditation Standards which</w:t>
      </w:r>
      <w:r w:rsidR="00E8339F" w:rsidRPr="007D127C">
        <w:rPr>
          <w:rFonts w:ascii="Gill Sans MT" w:hAnsi="Gill Sans MT" w:cs="Arial"/>
        </w:rPr>
        <w:t xml:space="preserve"> are set out in the Passenger Transport Operator Accreditation Manual (Taxi Services) </w:t>
      </w:r>
      <w:r w:rsidR="004403F3">
        <w:rPr>
          <w:rFonts w:ascii="Gill Sans MT" w:hAnsi="Gill Sans MT" w:cs="Arial"/>
        </w:rPr>
        <w:t>available</w:t>
      </w:r>
      <w:r w:rsidR="00E8339F" w:rsidRPr="007D127C">
        <w:rPr>
          <w:rFonts w:ascii="Gill Sans MT" w:hAnsi="Gill Sans MT" w:cs="Arial"/>
        </w:rPr>
        <w:t xml:space="preserve"> on the internet at: </w:t>
      </w:r>
      <w:hyperlink r:id="rId10" w:history="1">
        <w:r w:rsidR="00E8339F" w:rsidRPr="007D127C">
          <w:rPr>
            <w:rStyle w:val="Hyperlink"/>
          </w:rPr>
          <w:t>http://www.transport.tas.gov.au/passenger/operators</w:t>
        </w:r>
      </w:hyperlink>
    </w:p>
    <w:p w14:paraId="0084A215" w14:textId="329186DB" w:rsidR="000466FF" w:rsidRPr="007D127C" w:rsidRDefault="00242997" w:rsidP="00952493">
      <w:pPr>
        <w:rPr>
          <w:rFonts w:ascii="Gill Sans MT" w:hAnsi="Gill Sans MT" w:cs="Arial"/>
        </w:rPr>
      </w:pPr>
      <w:r w:rsidRPr="007D127C">
        <w:rPr>
          <w:rFonts w:ascii="Gill Sans MT" w:hAnsi="Gill Sans MT" w:cs="Arial"/>
        </w:rPr>
        <w:t xml:space="preserve">The manual provides a minimum checklist that includes lights, wheels, tyres, brakes and taxi equipment.   As the accredited operator or responsible person, it is your responsibility to ensure that the inspections are done correctly. </w:t>
      </w:r>
      <w:r w:rsidR="004403F3">
        <w:rPr>
          <w:rFonts w:ascii="Gill Sans MT" w:hAnsi="Gill Sans MT" w:cs="Arial"/>
        </w:rPr>
        <w:t xml:space="preserve"> Any</w:t>
      </w:r>
      <w:r w:rsidR="000466FF" w:rsidRPr="007D127C">
        <w:rPr>
          <w:rFonts w:ascii="Gill Sans MT" w:hAnsi="Gill Sans MT" w:cs="Arial"/>
        </w:rPr>
        <w:t xml:space="preserve"> faults identified must be reported and cleared</w:t>
      </w:r>
      <w:r w:rsidR="004403F3">
        <w:rPr>
          <w:rFonts w:ascii="Gill Sans MT" w:hAnsi="Gill Sans MT" w:cs="Arial"/>
        </w:rPr>
        <w:t xml:space="preserve"> and you must take appro</w:t>
      </w:r>
      <w:r w:rsidR="000466FF" w:rsidRPr="007D127C">
        <w:rPr>
          <w:rFonts w:ascii="Gill Sans MT" w:hAnsi="Gill Sans MT" w:cs="Arial"/>
        </w:rPr>
        <w:t>priate</w:t>
      </w:r>
      <w:r w:rsidR="00C35F11" w:rsidRPr="007D127C">
        <w:rPr>
          <w:rFonts w:ascii="Gill Sans MT" w:hAnsi="Gill Sans MT" w:cs="Arial"/>
        </w:rPr>
        <w:t xml:space="preserve"> action at the time which may include taking the taxi off the road if the fault could compromise safety.</w:t>
      </w:r>
    </w:p>
    <w:p w14:paraId="6CBE0EAF" w14:textId="7129A6BE" w:rsidR="00242997" w:rsidRDefault="00242997" w:rsidP="00952493">
      <w:pPr>
        <w:rPr>
          <w:rFonts w:ascii="Gill Sans MT" w:hAnsi="Gill Sans MT" w:cs="Arial"/>
        </w:rPr>
      </w:pPr>
      <w:r w:rsidRPr="007D127C">
        <w:rPr>
          <w:rFonts w:ascii="Gill Sans MT" w:hAnsi="Gill Sans MT" w:cs="Arial"/>
        </w:rPr>
        <w:t xml:space="preserve">State Growth’s Transport Inspectors carry out regular </w:t>
      </w:r>
      <w:r w:rsidR="000466FF" w:rsidRPr="007D127C">
        <w:rPr>
          <w:rFonts w:ascii="Gill Sans MT" w:hAnsi="Gill Sans MT" w:cs="Arial"/>
        </w:rPr>
        <w:t xml:space="preserve">on-road </w:t>
      </w:r>
      <w:r w:rsidRPr="007D127C">
        <w:rPr>
          <w:rFonts w:ascii="Gill Sans MT" w:hAnsi="Gill Sans MT" w:cs="Arial"/>
        </w:rPr>
        <w:t>checks</w:t>
      </w:r>
      <w:r w:rsidR="00C60973" w:rsidRPr="007D127C">
        <w:rPr>
          <w:rFonts w:ascii="Gill Sans MT" w:hAnsi="Gill Sans MT" w:cs="Arial"/>
        </w:rPr>
        <w:t xml:space="preserve"> of taxis and </w:t>
      </w:r>
      <w:r w:rsidR="007D127C">
        <w:rPr>
          <w:rFonts w:ascii="Gill Sans MT" w:hAnsi="Gill Sans MT" w:cs="Arial"/>
        </w:rPr>
        <w:t>will</w:t>
      </w:r>
      <w:r w:rsidR="00C60973" w:rsidRPr="007D127C">
        <w:rPr>
          <w:rFonts w:ascii="Gill Sans MT" w:hAnsi="Gill Sans MT" w:cs="Arial"/>
        </w:rPr>
        <w:t xml:space="preserve"> issue a defect notice when a taxi does not conform to Vehicle Standards.  </w:t>
      </w:r>
      <w:r w:rsidR="004403F3">
        <w:rPr>
          <w:rFonts w:ascii="Gill Sans MT" w:hAnsi="Gill Sans MT" w:cs="Arial"/>
        </w:rPr>
        <w:t>A defect notice may be considered evidence that a pre-departure check was not conducted and may lead to</w:t>
      </w:r>
      <w:r w:rsidR="007D127C">
        <w:rPr>
          <w:rFonts w:ascii="Gill Sans MT" w:hAnsi="Gill Sans MT" w:cs="Arial"/>
        </w:rPr>
        <w:t xml:space="preserve"> </w:t>
      </w:r>
      <w:r w:rsidR="004403F3">
        <w:rPr>
          <w:rFonts w:ascii="Gill Sans MT" w:hAnsi="Gill Sans MT" w:cs="Arial"/>
        </w:rPr>
        <w:t>your</w:t>
      </w:r>
      <w:r w:rsidR="000466FF" w:rsidRPr="007D127C">
        <w:rPr>
          <w:rFonts w:ascii="Gill Sans MT" w:hAnsi="Gill Sans MT" w:cs="Arial"/>
        </w:rPr>
        <w:t xml:space="preserve"> accreditation </w:t>
      </w:r>
      <w:r w:rsidR="007D127C">
        <w:rPr>
          <w:rFonts w:ascii="Gill Sans MT" w:hAnsi="Gill Sans MT" w:cs="Arial"/>
        </w:rPr>
        <w:t>being</w:t>
      </w:r>
      <w:r w:rsidR="000466FF" w:rsidRPr="007D127C">
        <w:rPr>
          <w:rFonts w:ascii="Gill Sans MT" w:hAnsi="Gill Sans MT" w:cs="Arial"/>
        </w:rPr>
        <w:t xml:space="preserve"> reviewed.   If an accredited operator is found to have contravened Standards</w:t>
      </w:r>
      <w:r w:rsidR="004403F3">
        <w:rPr>
          <w:rFonts w:ascii="Gill Sans MT" w:hAnsi="Gill Sans MT" w:cs="Arial"/>
        </w:rPr>
        <w:t xml:space="preserve"> or not complied with the Regulatory Framework</w:t>
      </w:r>
      <w:r w:rsidR="000466FF" w:rsidRPr="007D127C">
        <w:rPr>
          <w:rFonts w:ascii="Gill Sans MT" w:hAnsi="Gill Sans MT" w:cs="Arial"/>
        </w:rPr>
        <w:t xml:space="preserve"> the</w:t>
      </w:r>
      <w:r w:rsidR="004403F3">
        <w:rPr>
          <w:rFonts w:ascii="Gill Sans MT" w:hAnsi="Gill Sans MT" w:cs="Arial"/>
        </w:rPr>
        <w:t>n</w:t>
      </w:r>
      <w:r w:rsidR="000466FF" w:rsidRPr="007D127C">
        <w:rPr>
          <w:rFonts w:ascii="Gill Sans MT" w:hAnsi="Gill Sans MT" w:cs="Arial"/>
        </w:rPr>
        <w:t xml:space="preserve"> </w:t>
      </w:r>
      <w:r w:rsidR="004403F3">
        <w:rPr>
          <w:rFonts w:ascii="Gill Sans MT" w:hAnsi="Gill Sans MT" w:cs="Arial"/>
        </w:rPr>
        <w:t>action may be taken</w:t>
      </w:r>
      <w:r w:rsidR="000466FF" w:rsidRPr="007D127C">
        <w:rPr>
          <w:rFonts w:ascii="Gill Sans MT" w:hAnsi="Gill Sans MT" w:cs="Arial"/>
        </w:rPr>
        <w:t xml:space="preserve"> against the accreditation which may result in the suspension or cancellation of the accreditation or the imposition of special conditions, restrictions or probationary status.</w:t>
      </w:r>
    </w:p>
    <w:p w14:paraId="677D3753" w14:textId="77777777" w:rsidR="00577A67" w:rsidRDefault="00577A67" w:rsidP="00952493">
      <w:pPr>
        <w:rPr>
          <w:rFonts w:ascii="Gill Sans MT" w:hAnsi="Gill Sans MT" w:cs="Arial"/>
        </w:rPr>
      </w:pPr>
    </w:p>
    <w:p w14:paraId="49C0478A" w14:textId="67B61DFF" w:rsidR="00577A67" w:rsidRPr="00577A67" w:rsidRDefault="00577A67" w:rsidP="00952493">
      <w:pPr>
        <w:rPr>
          <w:rFonts w:ascii="Gill Sans MT" w:eastAsia="Times New Roman" w:hAnsi="Gill Sans MT" w:cstheme="majorBidi"/>
          <w:color w:val="2E74B5" w:themeColor="accent1" w:themeShade="BF"/>
          <w:sz w:val="32"/>
          <w:szCs w:val="32"/>
        </w:rPr>
      </w:pPr>
      <w:r>
        <w:rPr>
          <w:rFonts w:ascii="Gill Sans MT" w:eastAsia="Times New Roman" w:hAnsi="Gill Sans MT" w:cstheme="majorBidi"/>
          <w:color w:val="2E74B5" w:themeColor="accent1" w:themeShade="BF"/>
          <w:sz w:val="32"/>
          <w:szCs w:val="32"/>
        </w:rPr>
        <w:t>Tasmanian Taxi Council</w:t>
      </w:r>
    </w:p>
    <w:p w14:paraId="007E6E22" w14:textId="77777777" w:rsidR="00D13D36" w:rsidRDefault="00D13D36" w:rsidP="00D13D36">
      <w:pPr>
        <w:spacing w:after="0"/>
        <w:rPr>
          <w:rFonts w:ascii="Gill Sans MT" w:eastAsia="Times New Roman" w:hAnsi="Gill Sans MT" w:cs="Arial"/>
          <w:color w:val="000000"/>
        </w:rPr>
      </w:pPr>
      <w:r w:rsidRPr="003612F4">
        <w:rPr>
          <w:rFonts w:ascii="Gill Sans MT" w:eastAsia="Times New Roman" w:hAnsi="Gill Sans MT" w:cs="Arial"/>
          <w:noProof/>
          <w:color w:val="000000"/>
          <w:lang w:eastAsia="en-AU"/>
        </w:rPr>
        <w:drawing>
          <wp:inline distT="0" distB="0" distL="0" distR="0" wp14:anchorId="247176C5" wp14:editId="2FE63936">
            <wp:extent cx="1300304"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0415" cy="696407"/>
                    </a:xfrm>
                    <a:prstGeom prst="rect">
                      <a:avLst/>
                    </a:prstGeom>
                    <a:noFill/>
                    <a:ln>
                      <a:noFill/>
                    </a:ln>
                  </pic:spPr>
                </pic:pic>
              </a:graphicData>
            </a:graphic>
          </wp:inline>
        </w:drawing>
      </w:r>
    </w:p>
    <w:p w14:paraId="0D53CFD8" w14:textId="77777777" w:rsidR="00D13D36" w:rsidRDefault="00D13D36" w:rsidP="00D13D36">
      <w:pPr>
        <w:autoSpaceDE w:val="0"/>
        <w:autoSpaceDN w:val="0"/>
        <w:adjustRightInd w:val="0"/>
        <w:spacing w:after="0" w:line="240" w:lineRule="auto"/>
        <w:rPr>
          <w:rFonts w:ascii="Gill Sans MT" w:eastAsia="Times New Roman" w:hAnsi="Gill Sans MT" w:cs="Arial"/>
          <w:color w:val="000000"/>
        </w:rPr>
      </w:pPr>
      <w:r w:rsidRPr="003612F4">
        <w:rPr>
          <w:rFonts w:ascii="Gill Sans MT" w:eastAsia="Times New Roman" w:hAnsi="Gill Sans MT" w:cs="Arial"/>
          <w:color w:val="000000"/>
        </w:rPr>
        <w:t xml:space="preserve">If you wish to discuss the industry or the Council further please contact: </w:t>
      </w:r>
    </w:p>
    <w:p w14:paraId="50A9B87F" w14:textId="77777777" w:rsidR="00577A67" w:rsidRPr="003612F4" w:rsidRDefault="00577A67" w:rsidP="00D13D36">
      <w:pPr>
        <w:autoSpaceDE w:val="0"/>
        <w:autoSpaceDN w:val="0"/>
        <w:adjustRightInd w:val="0"/>
        <w:spacing w:after="0" w:line="240" w:lineRule="auto"/>
        <w:rPr>
          <w:rFonts w:ascii="Gill Sans MT" w:eastAsia="Times New Roman" w:hAnsi="Gill Sans MT" w:cs="Arial"/>
          <w:color w:val="000000"/>
        </w:rPr>
      </w:pPr>
    </w:p>
    <w:p w14:paraId="63593B81" w14:textId="77777777" w:rsidR="00D13D36" w:rsidRPr="003612F4" w:rsidRDefault="00D13D36" w:rsidP="00D13D36">
      <w:pPr>
        <w:autoSpaceDE w:val="0"/>
        <w:autoSpaceDN w:val="0"/>
        <w:adjustRightInd w:val="0"/>
        <w:spacing w:after="0" w:line="240" w:lineRule="auto"/>
        <w:rPr>
          <w:rFonts w:ascii="Gill Sans MT" w:eastAsia="Times New Roman" w:hAnsi="Gill Sans MT" w:cs="Arial"/>
          <w:color w:val="000000"/>
        </w:rPr>
      </w:pPr>
      <w:r w:rsidRPr="003612F4">
        <w:rPr>
          <w:rFonts w:ascii="Gill Sans MT" w:eastAsia="Times New Roman" w:hAnsi="Gill Sans MT" w:cs="Arial"/>
          <w:color w:val="000000"/>
        </w:rPr>
        <w:t xml:space="preserve">President Mr. Roger Burdon (South) 0418 125 768 or via email </w:t>
      </w:r>
      <w:hyperlink r:id="rId12" w:history="1">
        <w:r w:rsidRPr="00601004">
          <w:rPr>
            <w:rStyle w:val="Hyperlink"/>
            <w:rFonts w:ascii="Gill Sans MT" w:eastAsia="Times New Roman" w:hAnsi="Gill Sans MT" w:cs="Arial"/>
          </w:rPr>
          <w:t>roger.burdon@13cabs.com.au</w:t>
        </w:r>
      </w:hyperlink>
      <w:r w:rsidRPr="003612F4">
        <w:rPr>
          <w:rFonts w:ascii="Gill Sans MT" w:eastAsia="Times New Roman" w:hAnsi="Gill Sans MT" w:cs="Arial"/>
          <w:color w:val="000000"/>
        </w:rPr>
        <w:t xml:space="preserve"> </w:t>
      </w:r>
    </w:p>
    <w:p w14:paraId="714CA561" w14:textId="77777777" w:rsidR="00D13D36" w:rsidRDefault="00D13D36" w:rsidP="00D13D36">
      <w:pPr>
        <w:spacing w:after="0"/>
        <w:rPr>
          <w:rStyle w:val="Hyperlink"/>
          <w:rFonts w:ascii="Gill Sans MT" w:eastAsia="Times New Roman" w:hAnsi="Gill Sans MT" w:cs="Arial"/>
        </w:rPr>
      </w:pPr>
      <w:r w:rsidRPr="003612F4">
        <w:rPr>
          <w:rFonts w:ascii="Gill Sans MT" w:eastAsia="Times New Roman" w:hAnsi="Gill Sans MT" w:cs="Arial"/>
          <w:color w:val="000000"/>
        </w:rPr>
        <w:t xml:space="preserve">Secretary Mr. Tony Dilger (North) 0417 036 090 or via email </w:t>
      </w:r>
      <w:hyperlink r:id="rId13" w:history="1">
        <w:r w:rsidRPr="00601004">
          <w:rPr>
            <w:rStyle w:val="Hyperlink"/>
            <w:rFonts w:ascii="Gill Sans MT" w:eastAsia="Times New Roman" w:hAnsi="Gill Sans MT" w:cs="Arial"/>
          </w:rPr>
          <w:t>manager@taxicombined.com.au</w:t>
        </w:r>
      </w:hyperlink>
    </w:p>
    <w:p w14:paraId="46D3656F" w14:textId="77777777" w:rsidR="00577A67" w:rsidRDefault="00577A67" w:rsidP="002E1C22">
      <w:pPr>
        <w:pStyle w:val="Heading1"/>
        <w:rPr>
          <w:rFonts w:ascii="Gill Sans MT" w:eastAsia="Times New Roman" w:hAnsi="Gill Sans MT"/>
        </w:rPr>
      </w:pPr>
    </w:p>
    <w:p w14:paraId="61C249D0" w14:textId="1C857482" w:rsidR="002E1C22" w:rsidRPr="00394D53" w:rsidRDefault="002E1C22" w:rsidP="002E1C22">
      <w:pPr>
        <w:pStyle w:val="Heading1"/>
        <w:rPr>
          <w:rFonts w:ascii="Gill Sans MT" w:eastAsia="Times New Roman" w:hAnsi="Gill Sans MT"/>
        </w:rPr>
      </w:pPr>
      <w:r w:rsidRPr="00394D53">
        <w:rPr>
          <w:rFonts w:ascii="Gill Sans MT" w:eastAsia="Times New Roman" w:hAnsi="Gill Sans MT"/>
        </w:rPr>
        <w:t xml:space="preserve">Regulations and Concessions </w:t>
      </w:r>
      <w:r w:rsidR="00577A67">
        <w:rPr>
          <w:rFonts w:ascii="Gill Sans MT" w:eastAsia="Times New Roman" w:hAnsi="Gill Sans MT"/>
        </w:rPr>
        <w:t>Unit</w:t>
      </w:r>
      <w:r w:rsidRPr="00394D53">
        <w:rPr>
          <w:rFonts w:ascii="Gill Sans MT" w:eastAsia="Times New Roman" w:hAnsi="Gill Sans MT"/>
        </w:rPr>
        <w:t xml:space="preserve"> </w:t>
      </w:r>
    </w:p>
    <w:p w14:paraId="2FB7D002" w14:textId="717675F3" w:rsidR="002E1C22" w:rsidRPr="00394D53" w:rsidRDefault="002E1C22" w:rsidP="002E1C22">
      <w:pPr>
        <w:spacing w:after="0"/>
        <w:rPr>
          <w:rFonts w:ascii="Gill Sans MT" w:eastAsia="Times New Roman" w:hAnsi="Gill Sans MT" w:cs="Arial"/>
          <w:color w:val="000000"/>
        </w:rPr>
      </w:pPr>
      <w:r w:rsidRPr="00394D53">
        <w:rPr>
          <w:rFonts w:ascii="Gill Sans MT" w:eastAsia="Times New Roman" w:hAnsi="Gill Sans MT" w:cs="Arial"/>
          <w:color w:val="000000"/>
        </w:rPr>
        <w:t>For operator accreditation or taxi licence enquiries:</w:t>
      </w:r>
    </w:p>
    <w:p w14:paraId="39B3A5A2" w14:textId="77777777" w:rsidR="002E1C22" w:rsidRDefault="002E1C22" w:rsidP="002E1C22">
      <w:pPr>
        <w:spacing w:after="0"/>
        <w:rPr>
          <w:rFonts w:ascii="Gill Sans MT" w:eastAsia="Times New Roman" w:hAnsi="Gill Sans MT" w:cs="Arial"/>
          <w:color w:val="000000"/>
        </w:rPr>
      </w:pPr>
      <w:r w:rsidRPr="00394D53">
        <w:rPr>
          <w:rFonts w:ascii="Gill Sans MT" w:eastAsia="Times New Roman" w:hAnsi="Gill Sans MT" w:cs="Arial"/>
          <w:color w:val="000000"/>
        </w:rPr>
        <w:t xml:space="preserve">Email: </w:t>
      </w:r>
      <w:r w:rsidRPr="00394D53">
        <w:rPr>
          <w:rFonts w:ascii="Gill Sans MT" w:eastAsia="Times New Roman" w:hAnsi="Gill Sans MT" w:cs="Arial"/>
          <w:color w:val="000000"/>
        </w:rPr>
        <w:tab/>
      </w:r>
      <w:hyperlink r:id="rId14" w:history="1">
        <w:r w:rsidRPr="00394D53">
          <w:rPr>
            <w:rStyle w:val="Hyperlink"/>
            <w:rFonts w:ascii="Gill Sans MT" w:eastAsia="Times New Roman" w:hAnsi="Gill Sans MT" w:cs="Arial"/>
          </w:rPr>
          <w:t>operator.accreditation@stategrowth.tas.gov.au</w:t>
        </w:r>
      </w:hyperlink>
    </w:p>
    <w:p w14:paraId="19DFC070" w14:textId="0FAB36EF" w:rsidR="00D13D36" w:rsidRDefault="002E1C22" w:rsidP="0003591A">
      <w:pPr>
        <w:spacing w:after="0"/>
        <w:rPr>
          <w:rFonts w:ascii="Gill Sans MT" w:eastAsia="Times New Roman" w:hAnsi="Gill Sans MT" w:cs="Arial"/>
          <w:color w:val="000000"/>
        </w:rPr>
      </w:pPr>
      <w:r w:rsidRPr="00394D53">
        <w:rPr>
          <w:rFonts w:ascii="Gill Sans MT" w:eastAsia="Times New Roman" w:hAnsi="Gill Sans MT" w:cs="Arial"/>
          <w:color w:val="000000"/>
        </w:rPr>
        <w:t>Phone:  6166 3269</w:t>
      </w:r>
    </w:p>
    <w:p w14:paraId="27664D1C" w14:textId="77777777" w:rsidR="00200110" w:rsidRDefault="00200110" w:rsidP="0003591A">
      <w:pPr>
        <w:spacing w:after="0"/>
        <w:rPr>
          <w:rFonts w:ascii="Gill Sans MT" w:eastAsia="Times New Roman" w:hAnsi="Gill Sans MT" w:cs="Arial"/>
          <w:color w:val="000000"/>
        </w:rPr>
      </w:pPr>
    </w:p>
    <w:p w14:paraId="1AA8F9C6" w14:textId="77777777" w:rsidR="00200110" w:rsidRDefault="00200110" w:rsidP="0003591A">
      <w:pPr>
        <w:spacing w:after="0"/>
        <w:rPr>
          <w:rFonts w:ascii="Gill Sans MT" w:eastAsia="Times New Roman" w:hAnsi="Gill Sans MT" w:cs="Arial"/>
          <w:color w:val="000000"/>
        </w:rPr>
      </w:pPr>
    </w:p>
    <w:p w14:paraId="5F82E929" w14:textId="77777777" w:rsidR="00200110" w:rsidRDefault="00200110" w:rsidP="0003591A">
      <w:pPr>
        <w:spacing w:after="0"/>
        <w:rPr>
          <w:rFonts w:ascii="Gill Sans MT" w:eastAsia="Times New Roman" w:hAnsi="Gill Sans MT" w:cs="Arial"/>
          <w:color w:val="000000"/>
        </w:rPr>
      </w:pPr>
    </w:p>
    <w:p w14:paraId="3C37A7A1" w14:textId="77777777" w:rsidR="00200110" w:rsidRDefault="00200110" w:rsidP="0003591A">
      <w:pPr>
        <w:spacing w:after="0"/>
        <w:rPr>
          <w:rFonts w:ascii="Gill Sans MT" w:eastAsia="Times New Roman" w:hAnsi="Gill Sans MT" w:cs="Arial"/>
          <w:color w:val="000000"/>
        </w:rPr>
      </w:pPr>
    </w:p>
    <w:p w14:paraId="3E26AE3F" w14:textId="77777777" w:rsidR="00200110" w:rsidRDefault="00200110" w:rsidP="0003591A">
      <w:pPr>
        <w:spacing w:after="0"/>
        <w:rPr>
          <w:rFonts w:ascii="Gill Sans MT" w:eastAsia="Times New Roman" w:hAnsi="Gill Sans MT" w:cs="Arial"/>
          <w:color w:val="000000"/>
        </w:rPr>
      </w:pPr>
    </w:p>
    <w:p w14:paraId="6CF769CC" w14:textId="77777777" w:rsidR="00200110" w:rsidRDefault="00200110" w:rsidP="0003591A">
      <w:pPr>
        <w:spacing w:after="0"/>
        <w:rPr>
          <w:rFonts w:ascii="Gill Sans MT" w:eastAsia="Times New Roman" w:hAnsi="Gill Sans MT" w:cs="Arial"/>
          <w:color w:val="000000"/>
        </w:rPr>
      </w:pPr>
    </w:p>
    <w:p w14:paraId="6AA298D0" w14:textId="77777777" w:rsidR="00200110" w:rsidRDefault="00200110" w:rsidP="0003591A">
      <w:pPr>
        <w:spacing w:after="0"/>
        <w:rPr>
          <w:rFonts w:ascii="Gill Sans MT" w:eastAsia="Times New Roman" w:hAnsi="Gill Sans MT" w:cs="Arial"/>
          <w:color w:val="000000"/>
        </w:rPr>
      </w:pPr>
    </w:p>
    <w:p w14:paraId="7ACD5E5E" w14:textId="77777777" w:rsidR="00200110" w:rsidRDefault="00200110" w:rsidP="0003591A">
      <w:pPr>
        <w:spacing w:after="0"/>
        <w:rPr>
          <w:rFonts w:ascii="Gill Sans MT" w:eastAsia="Times New Roman" w:hAnsi="Gill Sans MT" w:cs="Arial"/>
          <w:color w:val="000000"/>
        </w:rPr>
      </w:pPr>
    </w:p>
    <w:p w14:paraId="33AA3130" w14:textId="77777777" w:rsidR="00200110" w:rsidRDefault="00200110" w:rsidP="0003591A">
      <w:pPr>
        <w:spacing w:after="0"/>
        <w:rPr>
          <w:rFonts w:ascii="Gill Sans MT" w:eastAsia="Times New Roman" w:hAnsi="Gill Sans MT" w:cs="Arial"/>
          <w:color w:val="000000"/>
        </w:rPr>
      </w:pPr>
    </w:p>
    <w:p w14:paraId="232DCDCA" w14:textId="77777777" w:rsidR="00200110" w:rsidRDefault="00200110" w:rsidP="0003591A">
      <w:pPr>
        <w:spacing w:after="0"/>
        <w:rPr>
          <w:rFonts w:ascii="Gill Sans MT" w:eastAsia="Times New Roman" w:hAnsi="Gill Sans MT" w:cs="Arial"/>
          <w:color w:val="000000"/>
        </w:rPr>
      </w:pPr>
    </w:p>
    <w:p w14:paraId="64882E43" w14:textId="77777777" w:rsidR="00A94C19" w:rsidRDefault="00A94C19" w:rsidP="00200110">
      <w:pPr>
        <w:spacing w:after="0"/>
        <w:jc w:val="center"/>
        <w:rPr>
          <w:rFonts w:ascii="Gill Sans MT" w:eastAsia="Times New Roman" w:hAnsi="Gill Sans MT" w:cs="Arial"/>
          <w:b/>
          <w:color w:val="000000"/>
        </w:rPr>
      </w:pPr>
    </w:p>
    <w:p w14:paraId="02B391E7" w14:textId="77777777" w:rsidR="00577A67" w:rsidRDefault="00200110" w:rsidP="00200110">
      <w:pPr>
        <w:spacing w:after="0"/>
        <w:jc w:val="center"/>
        <w:rPr>
          <w:rFonts w:ascii="Gill Sans MT" w:eastAsia="Times New Roman" w:hAnsi="Gill Sans MT" w:cs="Arial"/>
          <w:b/>
          <w:color w:val="000000"/>
        </w:rPr>
      </w:pPr>
      <w:r w:rsidRPr="00200110">
        <w:rPr>
          <w:rFonts w:ascii="Gill Sans MT" w:eastAsia="Times New Roman" w:hAnsi="Gill Sans MT" w:cs="Arial"/>
          <w:b/>
          <w:color w:val="000000"/>
        </w:rPr>
        <w:t>Attachment 1</w:t>
      </w:r>
      <w:r>
        <w:rPr>
          <w:rFonts w:ascii="Gill Sans MT" w:eastAsia="Times New Roman" w:hAnsi="Gill Sans MT" w:cs="Arial"/>
          <w:b/>
          <w:color w:val="000000"/>
        </w:rPr>
        <w:t xml:space="preserve"> </w:t>
      </w:r>
    </w:p>
    <w:p w14:paraId="045A2C74" w14:textId="77777777" w:rsidR="00577A67" w:rsidRDefault="00577A67" w:rsidP="00200110">
      <w:pPr>
        <w:spacing w:after="0"/>
        <w:jc w:val="center"/>
        <w:rPr>
          <w:rFonts w:ascii="Gill Sans MT" w:eastAsia="Times New Roman" w:hAnsi="Gill Sans MT" w:cs="Arial"/>
          <w:b/>
          <w:color w:val="000000"/>
        </w:rPr>
      </w:pPr>
    </w:p>
    <w:p w14:paraId="3EF6DEED" w14:textId="126812F8" w:rsidR="00200110" w:rsidRPr="00577A67" w:rsidRDefault="00200110" w:rsidP="00200110">
      <w:pPr>
        <w:spacing w:after="0"/>
        <w:jc w:val="center"/>
        <w:rPr>
          <w:rFonts w:ascii="Gill Sans MT" w:eastAsia="Times New Roman" w:hAnsi="Gill Sans MT" w:cs="Arial"/>
          <w:color w:val="000000"/>
        </w:rPr>
      </w:pPr>
      <w:r>
        <w:rPr>
          <w:rFonts w:ascii="Gill Sans MT" w:eastAsia="Times New Roman" w:hAnsi="Gill Sans MT" w:cs="Arial"/>
          <w:b/>
          <w:color w:val="000000"/>
        </w:rPr>
        <w:t xml:space="preserve"> </w:t>
      </w:r>
      <w:r w:rsidRPr="00577A67">
        <w:rPr>
          <w:rFonts w:ascii="Gill Sans MT" w:eastAsia="Times New Roman" w:hAnsi="Gill Sans MT" w:cs="Arial"/>
          <w:color w:val="000000"/>
        </w:rPr>
        <w:t>Approved parking spots</w:t>
      </w:r>
      <w:r w:rsidR="00577A67" w:rsidRPr="00577A67">
        <w:rPr>
          <w:rFonts w:ascii="Gill Sans MT" w:eastAsia="Times New Roman" w:hAnsi="Gill Sans MT" w:cs="Arial"/>
          <w:color w:val="000000"/>
        </w:rPr>
        <w:t xml:space="preserve"> for </w:t>
      </w:r>
      <w:r w:rsidR="00577A67" w:rsidRPr="00577A67">
        <w:rPr>
          <w:rFonts w:ascii="Gill Sans MT" w:hAnsi="Gill Sans MT"/>
        </w:rPr>
        <w:t>operators who have been issued with a permit from Destination Southern Tasmania</w:t>
      </w:r>
      <w:r w:rsidR="00577A67">
        <w:rPr>
          <w:rFonts w:ascii="Gill Sans MT" w:hAnsi="Gill Sans MT"/>
        </w:rPr>
        <w:t>.</w:t>
      </w:r>
    </w:p>
    <w:p w14:paraId="1922BE82" w14:textId="77777777" w:rsidR="00200110" w:rsidRDefault="00200110" w:rsidP="0003591A">
      <w:pPr>
        <w:spacing w:after="0"/>
        <w:rPr>
          <w:rFonts w:ascii="Gill Sans MT" w:eastAsia="Times New Roman" w:hAnsi="Gill Sans MT" w:cs="Arial"/>
          <w:b/>
          <w:color w:val="000000"/>
        </w:rPr>
      </w:pPr>
    </w:p>
    <w:p w14:paraId="64F34D80" w14:textId="77777777" w:rsidR="00200110" w:rsidRDefault="00200110" w:rsidP="0003591A">
      <w:pPr>
        <w:spacing w:after="0"/>
        <w:rPr>
          <w:rFonts w:ascii="Gill Sans MT" w:eastAsia="Times New Roman" w:hAnsi="Gill Sans MT" w:cs="Arial"/>
          <w:b/>
          <w:color w:val="000000"/>
        </w:rPr>
      </w:pPr>
    </w:p>
    <w:p w14:paraId="64F12441" w14:textId="77777777" w:rsidR="00200110" w:rsidRDefault="00200110" w:rsidP="0003591A">
      <w:pPr>
        <w:spacing w:after="0"/>
        <w:rPr>
          <w:rFonts w:ascii="Gill Sans MT" w:eastAsia="Times New Roman" w:hAnsi="Gill Sans MT" w:cs="Arial"/>
          <w:b/>
          <w:color w:val="000000"/>
        </w:rPr>
      </w:pPr>
    </w:p>
    <w:p w14:paraId="7F30AA00" w14:textId="77777777" w:rsidR="00200110" w:rsidRDefault="00200110" w:rsidP="00200110">
      <w:pPr>
        <w:spacing w:after="0"/>
        <w:jc w:val="center"/>
        <w:rPr>
          <w:rFonts w:ascii="Gill Sans MT" w:eastAsia="Times New Roman" w:hAnsi="Gill Sans MT" w:cs="Arial"/>
          <w:b/>
          <w:color w:val="000000"/>
        </w:rPr>
      </w:pPr>
    </w:p>
    <w:p w14:paraId="08F6BBD6" w14:textId="7A900B1D" w:rsidR="00200110" w:rsidRPr="00200110" w:rsidRDefault="00200110" w:rsidP="00200110">
      <w:pPr>
        <w:spacing w:after="0"/>
        <w:jc w:val="center"/>
        <w:rPr>
          <w:rFonts w:ascii="Gill Sans MT" w:eastAsia="Times New Roman" w:hAnsi="Gill Sans MT" w:cs="Arial"/>
          <w:b/>
          <w:color w:val="000000"/>
        </w:rPr>
      </w:pPr>
      <w:r>
        <w:rPr>
          <w:noProof/>
          <w:lang w:eastAsia="en-AU"/>
        </w:rPr>
        <mc:AlternateContent>
          <mc:Choice Requires="wps">
            <w:drawing>
              <wp:anchor distT="0" distB="0" distL="114300" distR="114300" simplePos="0" relativeHeight="251662336" behindDoc="0" locked="0" layoutInCell="1" allowOverlap="1" wp14:anchorId="03074143" wp14:editId="684473D3">
                <wp:simplePos x="0" y="0"/>
                <wp:positionH relativeFrom="column">
                  <wp:posOffset>1866900</wp:posOffset>
                </wp:positionH>
                <wp:positionV relativeFrom="paragraph">
                  <wp:posOffset>2047240</wp:posOffset>
                </wp:positionV>
                <wp:extent cx="867807" cy="221320"/>
                <wp:effectExtent l="19050" t="19050" r="27940" b="83820"/>
                <wp:wrapNone/>
                <wp:docPr id="5" name="Straight Arrow Connector 5"/>
                <wp:cNvGraphicFramePr/>
                <a:graphic xmlns:a="http://schemas.openxmlformats.org/drawingml/2006/main">
                  <a:graphicData uri="http://schemas.microsoft.com/office/word/2010/wordprocessingShape">
                    <wps:wsp>
                      <wps:cNvCnPr/>
                      <wps:spPr>
                        <a:xfrm>
                          <a:off x="0" y="0"/>
                          <a:ext cx="867807" cy="22132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53F4D5" id="_x0000_t32" coordsize="21600,21600" o:spt="32" o:oned="t" path="m,l21600,21600e" filled="f">
                <v:path arrowok="t" fillok="f" o:connecttype="none"/>
                <o:lock v:ext="edit" shapetype="t"/>
              </v:shapetype>
              <v:shape id="Straight Arrow Connector 5" o:spid="_x0000_s1026" type="#_x0000_t32" style="position:absolute;margin-left:147pt;margin-top:161.2pt;width:68.35pt;height:1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" strokecolor="black [3213]" strokeweight="2.25pt">
                <v:stroke endarrow="block" joinstyle="miter"/>
              </v:shape>
            </w:pict>
          </mc:Fallback>
        </mc:AlternateContent>
      </w:r>
      <w:r>
        <w:rPr>
          <w:noProof/>
          <w:lang w:eastAsia="en-AU"/>
        </w:rPr>
        <mc:AlternateContent>
          <mc:Choice Requires="wps">
            <w:drawing>
              <wp:anchor distT="0" distB="0" distL="114300" distR="114300" simplePos="0" relativeHeight="251660288" behindDoc="0" locked="0" layoutInCell="1" allowOverlap="1" wp14:anchorId="49A37A83" wp14:editId="76935E40">
                <wp:simplePos x="0" y="0"/>
                <wp:positionH relativeFrom="column">
                  <wp:posOffset>133350</wp:posOffset>
                </wp:positionH>
                <wp:positionV relativeFrom="paragraph">
                  <wp:posOffset>1790065</wp:posOffset>
                </wp:positionV>
                <wp:extent cx="1747261" cy="687256"/>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1747261" cy="687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2BE148" w14:textId="77777777" w:rsidR="00200110" w:rsidRPr="002C0B0E" w:rsidRDefault="00200110" w:rsidP="00200110">
                            <w:pPr>
                              <w:rPr>
                                <w:rFonts w:ascii="Gill Sans MT" w:hAnsi="Gill Sans MT"/>
                              </w:rPr>
                            </w:pPr>
                            <w:r w:rsidRPr="002C0B0E">
                              <w:rPr>
                                <w:rFonts w:ascii="Gill Sans MT" w:hAnsi="Gill Sans MT"/>
                              </w:rPr>
                              <w:t>Independent tour operator parking spaces (6 spaces)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37A83" id="_x0000_t202" coordsize="21600,21600" o:spt="202" path="m,l,21600r21600,l21600,xe">
                <v:stroke joinstyle="miter"/>
                <v:path gradientshapeok="t" o:connecttype="rect"/>
              </v:shapetype>
              <v:shape id="Text Box 4" o:spid="_x0000_s1026" type="#_x0000_t202" style="position:absolute;left:0;text-align:left;margin-left:10.5pt;margin-top:140.95pt;width:137.6pt;height:54.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" fillcolor="white [3201]" stroked="f" strokeweight=".5pt">
                <v:textbox>
                  <w:txbxContent>
                    <w:p w14:paraId="0F2BE148" w14:textId="77777777" w:rsidR="00200110" w:rsidRPr="002C0B0E" w:rsidRDefault="00200110" w:rsidP="00200110">
                      <w:pPr>
                        <w:rPr>
                          <w:rFonts w:ascii="Gill Sans MT" w:hAnsi="Gill Sans MT"/>
                        </w:rPr>
                      </w:pPr>
                      <w:r w:rsidRPr="002C0B0E">
                        <w:rPr>
                          <w:rFonts w:ascii="Gill Sans MT" w:hAnsi="Gill Sans MT"/>
                        </w:rPr>
                        <w:t>Independent tour operator parking spaces (6 spaces)</w:t>
                      </w:r>
                    </w:p>
                  </w:txbxContent>
                </v:textbox>
              </v:shape>
            </w:pict>
          </mc:Fallback>
        </mc:AlternateContent>
      </w:r>
      <w:r>
        <w:rPr>
          <w:noProof/>
          <w:lang w:eastAsia="en-AU"/>
        </w:rPr>
        <w:drawing>
          <wp:inline distT="0" distB="0" distL="0" distR="0" wp14:anchorId="586402BC" wp14:editId="0FC9D951">
            <wp:extent cx="2324100" cy="4848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24100" cy="4848225"/>
                    </a:xfrm>
                    <a:prstGeom prst="rect">
                      <a:avLst/>
                    </a:prstGeom>
                  </pic:spPr>
                </pic:pic>
              </a:graphicData>
            </a:graphic>
          </wp:inline>
        </w:drawing>
      </w:r>
    </w:p>
    <w:sectPr w:rsidR="00200110" w:rsidRPr="00200110" w:rsidSect="00595EC5">
      <w:pgSz w:w="11906" w:h="16838"/>
      <w:pgMar w:top="1418" w:right="707"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AA316" w14:textId="77777777" w:rsidR="007828D5" w:rsidRDefault="007828D5" w:rsidP="00884DC0">
      <w:pPr>
        <w:spacing w:after="0" w:line="240" w:lineRule="auto"/>
      </w:pPr>
      <w:r>
        <w:separator/>
      </w:r>
    </w:p>
  </w:endnote>
  <w:endnote w:type="continuationSeparator" w:id="0">
    <w:p w14:paraId="0FFC854E" w14:textId="77777777" w:rsidR="007828D5" w:rsidRDefault="007828D5" w:rsidP="0088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EDCE3" w14:textId="77777777" w:rsidR="007828D5" w:rsidRDefault="007828D5" w:rsidP="00884DC0">
      <w:pPr>
        <w:spacing w:after="0" w:line="240" w:lineRule="auto"/>
      </w:pPr>
      <w:r>
        <w:separator/>
      </w:r>
    </w:p>
  </w:footnote>
  <w:footnote w:type="continuationSeparator" w:id="0">
    <w:p w14:paraId="3283F482" w14:textId="77777777" w:rsidR="007828D5" w:rsidRDefault="007828D5" w:rsidP="00884D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F3"/>
    <w:multiLevelType w:val="hybridMultilevel"/>
    <w:tmpl w:val="6A281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F7B17"/>
    <w:multiLevelType w:val="hybridMultilevel"/>
    <w:tmpl w:val="DA22F3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0A3684D"/>
    <w:multiLevelType w:val="hybridMultilevel"/>
    <w:tmpl w:val="36387EBE"/>
    <w:lvl w:ilvl="0" w:tplc="CADCD4C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B7DF6"/>
    <w:multiLevelType w:val="hybridMultilevel"/>
    <w:tmpl w:val="59B87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807FF5"/>
    <w:multiLevelType w:val="hybridMultilevel"/>
    <w:tmpl w:val="3018687E"/>
    <w:lvl w:ilvl="0" w:tplc="77D6C376">
      <w:numFmt w:val="bullet"/>
      <w:lvlText w:val="-"/>
      <w:lvlJc w:val="left"/>
      <w:pPr>
        <w:ind w:left="720" w:hanging="36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3D0C25"/>
    <w:multiLevelType w:val="hybridMultilevel"/>
    <w:tmpl w:val="52621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396522"/>
    <w:multiLevelType w:val="hybridMultilevel"/>
    <w:tmpl w:val="8FF083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B31655"/>
    <w:multiLevelType w:val="hybridMultilevel"/>
    <w:tmpl w:val="6264F7F0"/>
    <w:lvl w:ilvl="0" w:tplc="01EE508C">
      <w:start w:val="1"/>
      <w:numFmt w:val="bullet"/>
      <w:lvlText w:val="-"/>
      <w:lvlJc w:val="left"/>
      <w:pPr>
        <w:ind w:left="720" w:hanging="360"/>
      </w:pPr>
      <w:rPr>
        <w:rFonts w:ascii="Gill Sans MT" w:eastAsia="Times New Roman"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3E0636"/>
    <w:multiLevelType w:val="hybridMultilevel"/>
    <w:tmpl w:val="016C0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89193F"/>
    <w:multiLevelType w:val="hybridMultilevel"/>
    <w:tmpl w:val="7B9EF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442479"/>
    <w:multiLevelType w:val="hybridMultilevel"/>
    <w:tmpl w:val="F31AC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4D140F"/>
    <w:multiLevelType w:val="hybridMultilevel"/>
    <w:tmpl w:val="5C14C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576D8B"/>
    <w:multiLevelType w:val="hybridMultilevel"/>
    <w:tmpl w:val="7D3256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339525D"/>
    <w:multiLevelType w:val="hybridMultilevel"/>
    <w:tmpl w:val="D10684D4"/>
    <w:lvl w:ilvl="0" w:tplc="40FC5672">
      <w:numFmt w:val="bullet"/>
      <w:lvlText w:val="-"/>
      <w:lvlJc w:val="left"/>
      <w:pPr>
        <w:ind w:left="720" w:hanging="360"/>
      </w:pPr>
      <w:rPr>
        <w:rFonts w:ascii="Helvetica" w:eastAsia="Times New Roman" w:hAnsi="Helvetic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9C011B"/>
    <w:multiLevelType w:val="hybridMultilevel"/>
    <w:tmpl w:val="3866F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8854E4"/>
    <w:multiLevelType w:val="hybridMultilevel"/>
    <w:tmpl w:val="0E2AE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FD021B"/>
    <w:multiLevelType w:val="hybridMultilevel"/>
    <w:tmpl w:val="DE341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822650"/>
    <w:multiLevelType w:val="hybridMultilevel"/>
    <w:tmpl w:val="3A8ECA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8A2672"/>
    <w:multiLevelType w:val="hybridMultilevel"/>
    <w:tmpl w:val="1D06E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11380D"/>
    <w:multiLevelType w:val="hybridMultilevel"/>
    <w:tmpl w:val="2CAC2A30"/>
    <w:lvl w:ilvl="0" w:tplc="8A2E730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E3207D"/>
    <w:multiLevelType w:val="hybridMultilevel"/>
    <w:tmpl w:val="0FFA4CD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0665508"/>
    <w:multiLevelType w:val="hybridMultilevel"/>
    <w:tmpl w:val="AB74286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2" w15:restartNumberingAfterBreak="0">
    <w:nsid w:val="70AD61E2"/>
    <w:multiLevelType w:val="hybridMultilevel"/>
    <w:tmpl w:val="45067090"/>
    <w:lvl w:ilvl="0" w:tplc="10D2C72A">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6322FC5"/>
    <w:multiLevelType w:val="hybridMultilevel"/>
    <w:tmpl w:val="B3EA9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2F5CB1"/>
    <w:multiLevelType w:val="hybridMultilevel"/>
    <w:tmpl w:val="52B67A1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7"/>
  </w:num>
  <w:num w:numId="3">
    <w:abstractNumId w:val="11"/>
  </w:num>
  <w:num w:numId="4">
    <w:abstractNumId w:val="15"/>
  </w:num>
  <w:num w:numId="5">
    <w:abstractNumId w:val="4"/>
  </w:num>
  <w:num w:numId="6">
    <w:abstractNumId w:val="7"/>
  </w:num>
  <w:num w:numId="7">
    <w:abstractNumId w:val="1"/>
  </w:num>
  <w:num w:numId="8">
    <w:abstractNumId w:val="3"/>
  </w:num>
  <w:num w:numId="9">
    <w:abstractNumId w:val="2"/>
  </w:num>
  <w:num w:numId="10">
    <w:abstractNumId w:val="8"/>
  </w:num>
  <w:num w:numId="11">
    <w:abstractNumId w:val="19"/>
  </w:num>
  <w:num w:numId="12">
    <w:abstractNumId w:val="22"/>
  </w:num>
  <w:num w:numId="13">
    <w:abstractNumId w:val="24"/>
  </w:num>
  <w:num w:numId="14">
    <w:abstractNumId w:val="21"/>
  </w:num>
  <w:num w:numId="15">
    <w:abstractNumId w:val="16"/>
  </w:num>
  <w:num w:numId="16">
    <w:abstractNumId w:val="6"/>
  </w:num>
  <w:num w:numId="17">
    <w:abstractNumId w:val="18"/>
  </w:num>
  <w:num w:numId="18">
    <w:abstractNumId w:val="5"/>
  </w:num>
  <w:num w:numId="19">
    <w:abstractNumId w:val="12"/>
  </w:num>
  <w:num w:numId="20">
    <w:abstractNumId w:val="14"/>
  </w:num>
  <w:num w:numId="21">
    <w:abstractNumId w:val="9"/>
  </w:num>
  <w:num w:numId="22">
    <w:abstractNumId w:val="23"/>
  </w:num>
  <w:num w:numId="23">
    <w:abstractNumId w:val="20"/>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7B"/>
    <w:rsid w:val="00001528"/>
    <w:rsid w:val="00002EB4"/>
    <w:rsid w:val="000034D4"/>
    <w:rsid w:val="00007328"/>
    <w:rsid w:val="00007C31"/>
    <w:rsid w:val="0002260C"/>
    <w:rsid w:val="0003591A"/>
    <w:rsid w:val="00037DC4"/>
    <w:rsid w:val="000405FE"/>
    <w:rsid w:val="00042178"/>
    <w:rsid w:val="000466FF"/>
    <w:rsid w:val="00050A69"/>
    <w:rsid w:val="00051B19"/>
    <w:rsid w:val="0005328B"/>
    <w:rsid w:val="00056798"/>
    <w:rsid w:val="00064F10"/>
    <w:rsid w:val="00070267"/>
    <w:rsid w:val="0007082E"/>
    <w:rsid w:val="00073904"/>
    <w:rsid w:val="000A3A4C"/>
    <w:rsid w:val="000B3B7F"/>
    <w:rsid w:val="000D1AAD"/>
    <w:rsid w:val="000D3133"/>
    <w:rsid w:val="000E4FDD"/>
    <w:rsid w:val="000E6570"/>
    <w:rsid w:val="000F62BF"/>
    <w:rsid w:val="00100F25"/>
    <w:rsid w:val="001019ED"/>
    <w:rsid w:val="00104664"/>
    <w:rsid w:val="00107647"/>
    <w:rsid w:val="001111E8"/>
    <w:rsid w:val="00113AEE"/>
    <w:rsid w:val="00114C56"/>
    <w:rsid w:val="00125ADD"/>
    <w:rsid w:val="00126A9B"/>
    <w:rsid w:val="00130998"/>
    <w:rsid w:val="001315C6"/>
    <w:rsid w:val="001443B6"/>
    <w:rsid w:val="00157D2E"/>
    <w:rsid w:val="00161FB9"/>
    <w:rsid w:val="001714B9"/>
    <w:rsid w:val="00186CDC"/>
    <w:rsid w:val="0019020A"/>
    <w:rsid w:val="00193A5C"/>
    <w:rsid w:val="00197EE7"/>
    <w:rsid w:val="001A1BAC"/>
    <w:rsid w:val="001A50E1"/>
    <w:rsid w:val="001A6A8B"/>
    <w:rsid w:val="001B2CC6"/>
    <w:rsid w:val="001C3333"/>
    <w:rsid w:val="001D207B"/>
    <w:rsid w:val="001E083C"/>
    <w:rsid w:val="001E31AE"/>
    <w:rsid w:val="001F3D31"/>
    <w:rsid w:val="00200110"/>
    <w:rsid w:val="00211421"/>
    <w:rsid w:val="002132C3"/>
    <w:rsid w:val="002277A0"/>
    <w:rsid w:val="002278DD"/>
    <w:rsid w:val="002338C6"/>
    <w:rsid w:val="00242997"/>
    <w:rsid w:val="002503DB"/>
    <w:rsid w:val="00253A62"/>
    <w:rsid w:val="00260A39"/>
    <w:rsid w:val="00261894"/>
    <w:rsid w:val="00267DD3"/>
    <w:rsid w:val="0027437B"/>
    <w:rsid w:val="002769B2"/>
    <w:rsid w:val="002A60AC"/>
    <w:rsid w:val="002B071F"/>
    <w:rsid w:val="002C2D32"/>
    <w:rsid w:val="002C54CF"/>
    <w:rsid w:val="002C5C39"/>
    <w:rsid w:val="002D6E69"/>
    <w:rsid w:val="002E1C22"/>
    <w:rsid w:val="002E3BA1"/>
    <w:rsid w:val="00311714"/>
    <w:rsid w:val="003356DD"/>
    <w:rsid w:val="00350E5B"/>
    <w:rsid w:val="00353A16"/>
    <w:rsid w:val="003612F4"/>
    <w:rsid w:val="00370DBE"/>
    <w:rsid w:val="00370EE3"/>
    <w:rsid w:val="003830B2"/>
    <w:rsid w:val="00383C30"/>
    <w:rsid w:val="00383CD8"/>
    <w:rsid w:val="003945D7"/>
    <w:rsid w:val="00394D53"/>
    <w:rsid w:val="00397566"/>
    <w:rsid w:val="003A16DF"/>
    <w:rsid w:val="003A3689"/>
    <w:rsid w:val="003A5356"/>
    <w:rsid w:val="003A5ACC"/>
    <w:rsid w:val="003B2DE8"/>
    <w:rsid w:val="003B4A83"/>
    <w:rsid w:val="003B546D"/>
    <w:rsid w:val="003C1B09"/>
    <w:rsid w:val="003C2D64"/>
    <w:rsid w:val="003D62EA"/>
    <w:rsid w:val="003E0838"/>
    <w:rsid w:val="003E50CF"/>
    <w:rsid w:val="003F541F"/>
    <w:rsid w:val="004125E8"/>
    <w:rsid w:val="00420F90"/>
    <w:rsid w:val="004337A5"/>
    <w:rsid w:val="004403F3"/>
    <w:rsid w:val="00442E84"/>
    <w:rsid w:val="00460435"/>
    <w:rsid w:val="0047507C"/>
    <w:rsid w:val="004A5B44"/>
    <w:rsid w:val="004B4E46"/>
    <w:rsid w:val="004B62AF"/>
    <w:rsid w:val="004C1ED3"/>
    <w:rsid w:val="004D32B0"/>
    <w:rsid w:val="004D794E"/>
    <w:rsid w:val="004E0FCC"/>
    <w:rsid w:val="004E49C8"/>
    <w:rsid w:val="004E6F7C"/>
    <w:rsid w:val="004F15BD"/>
    <w:rsid w:val="004F6DC0"/>
    <w:rsid w:val="00504966"/>
    <w:rsid w:val="00516CE9"/>
    <w:rsid w:val="00531475"/>
    <w:rsid w:val="00532C71"/>
    <w:rsid w:val="005347FB"/>
    <w:rsid w:val="0053589C"/>
    <w:rsid w:val="00537A10"/>
    <w:rsid w:val="00556AFD"/>
    <w:rsid w:val="00557B12"/>
    <w:rsid w:val="00573E2E"/>
    <w:rsid w:val="00577A67"/>
    <w:rsid w:val="005865F5"/>
    <w:rsid w:val="00590A61"/>
    <w:rsid w:val="00590CCD"/>
    <w:rsid w:val="005920AB"/>
    <w:rsid w:val="00592AE0"/>
    <w:rsid w:val="00595EC5"/>
    <w:rsid w:val="005A4604"/>
    <w:rsid w:val="005A7D4C"/>
    <w:rsid w:val="005B2506"/>
    <w:rsid w:val="005B48D7"/>
    <w:rsid w:val="005B62EC"/>
    <w:rsid w:val="005C07AE"/>
    <w:rsid w:val="005C7AD5"/>
    <w:rsid w:val="005D1DF7"/>
    <w:rsid w:val="005D5E87"/>
    <w:rsid w:val="005D7312"/>
    <w:rsid w:val="005E718B"/>
    <w:rsid w:val="005F5156"/>
    <w:rsid w:val="005F79BB"/>
    <w:rsid w:val="005F7AC3"/>
    <w:rsid w:val="00603208"/>
    <w:rsid w:val="006035AE"/>
    <w:rsid w:val="00614489"/>
    <w:rsid w:val="00615B49"/>
    <w:rsid w:val="00622AB2"/>
    <w:rsid w:val="006502AE"/>
    <w:rsid w:val="006515B1"/>
    <w:rsid w:val="00654B6B"/>
    <w:rsid w:val="0065644A"/>
    <w:rsid w:val="00671582"/>
    <w:rsid w:val="00680ADA"/>
    <w:rsid w:val="00691ED0"/>
    <w:rsid w:val="00697B90"/>
    <w:rsid w:val="006B23F6"/>
    <w:rsid w:val="006C41E1"/>
    <w:rsid w:val="006D55DD"/>
    <w:rsid w:val="006E252F"/>
    <w:rsid w:val="006E7B26"/>
    <w:rsid w:val="006F2134"/>
    <w:rsid w:val="006F2AB4"/>
    <w:rsid w:val="006F642E"/>
    <w:rsid w:val="00743391"/>
    <w:rsid w:val="007513B6"/>
    <w:rsid w:val="00752557"/>
    <w:rsid w:val="00762A36"/>
    <w:rsid w:val="007828D5"/>
    <w:rsid w:val="0079156A"/>
    <w:rsid w:val="007A1A25"/>
    <w:rsid w:val="007A4372"/>
    <w:rsid w:val="007A60D1"/>
    <w:rsid w:val="007B05EA"/>
    <w:rsid w:val="007C5384"/>
    <w:rsid w:val="007C6312"/>
    <w:rsid w:val="007C7A53"/>
    <w:rsid w:val="007D127C"/>
    <w:rsid w:val="007E1FD3"/>
    <w:rsid w:val="007E2F9F"/>
    <w:rsid w:val="007E4AB8"/>
    <w:rsid w:val="007E6F23"/>
    <w:rsid w:val="007E7FF9"/>
    <w:rsid w:val="007F126E"/>
    <w:rsid w:val="007F2E35"/>
    <w:rsid w:val="00804733"/>
    <w:rsid w:val="00806B4B"/>
    <w:rsid w:val="00811F70"/>
    <w:rsid w:val="008258B7"/>
    <w:rsid w:val="00836F34"/>
    <w:rsid w:val="0084542F"/>
    <w:rsid w:val="00855FCF"/>
    <w:rsid w:val="008648B6"/>
    <w:rsid w:val="00884DC0"/>
    <w:rsid w:val="0089234A"/>
    <w:rsid w:val="0089386B"/>
    <w:rsid w:val="008A28B5"/>
    <w:rsid w:val="008C1EFF"/>
    <w:rsid w:val="008E0767"/>
    <w:rsid w:val="008F046B"/>
    <w:rsid w:val="008F0E33"/>
    <w:rsid w:val="008F1D0D"/>
    <w:rsid w:val="008F4A58"/>
    <w:rsid w:val="00905C4F"/>
    <w:rsid w:val="0092272F"/>
    <w:rsid w:val="00927A35"/>
    <w:rsid w:val="009323E9"/>
    <w:rsid w:val="0094074B"/>
    <w:rsid w:val="00952493"/>
    <w:rsid w:val="00954531"/>
    <w:rsid w:val="00954810"/>
    <w:rsid w:val="0095560D"/>
    <w:rsid w:val="00955D82"/>
    <w:rsid w:val="00956FCD"/>
    <w:rsid w:val="009635DE"/>
    <w:rsid w:val="00965A43"/>
    <w:rsid w:val="0096664F"/>
    <w:rsid w:val="00966E02"/>
    <w:rsid w:val="0097469F"/>
    <w:rsid w:val="0097525A"/>
    <w:rsid w:val="00983746"/>
    <w:rsid w:val="00990EE0"/>
    <w:rsid w:val="0099379D"/>
    <w:rsid w:val="0099630E"/>
    <w:rsid w:val="00997E04"/>
    <w:rsid w:val="009A5C8A"/>
    <w:rsid w:val="009B0465"/>
    <w:rsid w:val="009B1EC1"/>
    <w:rsid w:val="009B7D17"/>
    <w:rsid w:val="009C6195"/>
    <w:rsid w:val="009C74D5"/>
    <w:rsid w:val="009C7B67"/>
    <w:rsid w:val="00A0129C"/>
    <w:rsid w:val="00A03FE8"/>
    <w:rsid w:val="00A04737"/>
    <w:rsid w:val="00A054F5"/>
    <w:rsid w:val="00A5790F"/>
    <w:rsid w:val="00A60C57"/>
    <w:rsid w:val="00A64982"/>
    <w:rsid w:val="00A73FAA"/>
    <w:rsid w:val="00A756B5"/>
    <w:rsid w:val="00A815A7"/>
    <w:rsid w:val="00A850E3"/>
    <w:rsid w:val="00A87589"/>
    <w:rsid w:val="00A94C19"/>
    <w:rsid w:val="00A95CAF"/>
    <w:rsid w:val="00AB088E"/>
    <w:rsid w:val="00AB2435"/>
    <w:rsid w:val="00AB3192"/>
    <w:rsid w:val="00AB3EED"/>
    <w:rsid w:val="00AD0B72"/>
    <w:rsid w:val="00AD346E"/>
    <w:rsid w:val="00AD3FCE"/>
    <w:rsid w:val="00AF57A1"/>
    <w:rsid w:val="00B04C6A"/>
    <w:rsid w:val="00B3056E"/>
    <w:rsid w:val="00B4584B"/>
    <w:rsid w:val="00B549DE"/>
    <w:rsid w:val="00B6079F"/>
    <w:rsid w:val="00B659DC"/>
    <w:rsid w:val="00B806C6"/>
    <w:rsid w:val="00B81135"/>
    <w:rsid w:val="00B919A8"/>
    <w:rsid w:val="00BA2F10"/>
    <w:rsid w:val="00BA5DFD"/>
    <w:rsid w:val="00BB10A2"/>
    <w:rsid w:val="00BC008A"/>
    <w:rsid w:val="00BC5105"/>
    <w:rsid w:val="00BC7103"/>
    <w:rsid w:val="00BE05D7"/>
    <w:rsid w:val="00BE1B9D"/>
    <w:rsid w:val="00BE2420"/>
    <w:rsid w:val="00BE34F6"/>
    <w:rsid w:val="00BE7830"/>
    <w:rsid w:val="00BE7B52"/>
    <w:rsid w:val="00C06B5B"/>
    <w:rsid w:val="00C12747"/>
    <w:rsid w:val="00C13523"/>
    <w:rsid w:val="00C1352B"/>
    <w:rsid w:val="00C136AF"/>
    <w:rsid w:val="00C15859"/>
    <w:rsid w:val="00C20E61"/>
    <w:rsid w:val="00C2139E"/>
    <w:rsid w:val="00C315FF"/>
    <w:rsid w:val="00C32EA8"/>
    <w:rsid w:val="00C35F11"/>
    <w:rsid w:val="00C43C56"/>
    <w:rsid w:val="00C51D70"/>
    <w:rsid w:val="00C525A5"/>
    <w:rsid w:val="00C57E1D"/>
    <w:rsid w:val="00C57EFE"/>
    <w:rsid w:val="00C60973"/>
    <w:rsid w:val="00C71506"/>
    <w:rsid w:val="00C72032"/>
    <w:rsid w:val="00C94F95"/>
    <w:rsid w:val="00CD5C76"/>
    <w:rsid w:val="00CE0708"/>
    <w:rsid w:val="00CE1EE9"/>
    <w:rsid w:val="00CE21A1"/>
    <w:rsid w:val="00CE79B1"/>
    <w:rsid w:val="00CF26E8"/>
    <w:rsid w:val="00CF5AB0"/>
    <w:rsid w:val="00D007E8"/>
    <w:rsid w:val="00D00E8F"/>
    <w:rsid w:val="00D01AD5"/>
    <w:rsid w:val="00D02F5A"/>
    <w:rsid w:val="00D11E0A"/>
    <w:rsid w:val="00D13D36"/>
    <w:rsid w:val="00D41CCA"/>
    <w:rsid w:val="00D55BB8"/>
    <w:rsid w:val="00D56B05"/>
    <w:rsid w:val="00D617A9"/>
    <w:rsid w:val="00D77F94"/>
    <w:rsid w:val="00D8109D"/>
    <w:rsid w:val="00D8659B"/>
    <w:rsid w:val="00D9174F"/>
    <w:rsid w:val="00D925EF"/>
    <w:rsid w:val="00D96169"/>
    <w:rsid w:val="00DA2B7A"/>
    <w:rsid w:val="00DA6B97"/>
    <w:rsid w:val="00DB09E6"/>
    <w:rsid w:val="00DC679B"/>
    <w:rsid w:val="00DD2112"/>
    <w:rsid w:val="00E065A8"/>
    <w:rsid w:val="00E078F7"/>
    <w:rsid w:val="00E10892"/>
    <w:rsid w:val="00E11CBC"/>
    <w:rsid w:val="00E273F4"/>
    <w:rsid w:val="00E3433F"/>
    <w:rsid w:val="00E35E89"/>
    <w:rsid w:val="00E4179F"/>
    <w:rsid w:val="00E41B73"/>
    <w:rsid w:val="00E4496F"/>
    <w:rsid w:val="00E515D9"/>
    <w:rsid w:val="00E52764"/>
    <w:rsid w:val="00E71D44"/>
    <w:rsid w:val="00E81E3F"/>
    <w:rsid w:val="00E822E8"/>
    <w:rsid w:val="00E8339F"/>
    <w:rsid w:val="00E87735"/>
    <w:rsid w:val="00EA4EBA"/>
    <w:rsid w:val="00EB0ABF"/>
    <w:rsid w:val="00EC0467"/>
    <w:rsid w:val="00EC2430"/>
    <w:rsid w:val="00EC28FD"/>
    <w:rsid w:val="00ED64DB"/>
    <w:rsid w:val="00ED7E0A"/>
    <w:rsid w:val="00EE2285"/>
    <w:rsid w:val="00EE5BF9"/>
    <w:rsid w:val="00EE5E41"/>
    <w:rsid w:val="00EF3092"/>
    <w:rsid w:val="00F16A1F"/>
    <w:rsid w:val="00F2208D"/>
    <w:rsid w:val="00F2397D"/>
    <w:rsid w:val="00F307B1"/>
    <w:rsid w:val="00F36F10"/>
    <w:rsid w:val="00F44930"/>
    <w:rsid w:val="00F526C0"/>
    <w:rsid w:val="00F5498A"/>
    <w:rsid w:val="00F63BC9"/>
    <w:rsid w:val="00F663B4"/>
    <w:rsid w:val="00F67C13"/>
    <w:rsid w:val="00F75986"/>
    <w:rsid w:val="00F83864"/>
    <w:rsid w:val="00F943C0"/>
    <w:rsid w:val="00F97788"/>
    <w:rsid w:val="00FB36F0"/>
    <w:rsid w:val="00FB72DE"/>
    <w:rsid w:val="00FD5A3A"/>
    <w:rsid w:val="00FD6725"/>
    <w:rsid w:val="00FE4D86"/>
    <w:rsid w:val="00FF128E"/>
    <w:rsid w:val="00FF2905"/>
    <w:rsid w:val="00FF66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48B18"/>
  <w15:chartTrackingRefBased/>
  <w15:docId w15:val="{241E8EDD-6D15-4B51-A2D1-38239E4F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46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3E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07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37B"/>
    <w:rPr>
      <w:color w:val="0077CC"/>
      <w:u w:val="single"/>
    </w:rPr>
  </w:style>
  <w:style w:type="paragraph" w:styleId="ListParagraph">
    <w:name w:val="List Paragraph"/>
    <w:basedOn w:val="Normal"/>
    <w:uiPriority w:val="34"/>
    <w:qFormat/>
    <w:rsid w:val="001111E8"/>
    <w:pPr>
      <w:ind w:left="720"/>
      <w:contextualSpacing/>
    </w:pPr>
  </w:style>
  <w:style w:type="table" w:styleId="TableGrid">
    <w:name w:val="Table Grid"/>
    <w:basedOn w:val="TableNormal"/>
    <w:uiPriority w:val="59"/>
    <w:rsid w:val="00F75986"/>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B3EED"/>
    <w:rPr>
      <w:rFonts w:asciiTheme="majorHAnsi" w:eastAsiaTheme="majorEastAsia" w:hAnsiTheme="majorHAnsi" w:cstheme="majorBidi"/>
      <w:color w:val="2E74B5" w:themeColor="accent1" w:themeShade="BF"/>
      <w:sz w:val="26"/>
      <w:szCs w:val="26"/>
    </w:rPr>
  </w:style>
  <w:style w:type="paragraph" w:customStyle="1" w:styleId="Default">
    <w:name w:val="Default"/>
    <w:rsid w:val="006502AE"/>
    <w:pPr>
      <w:autoSpaceDE w:val="0"/>
      <w:autoSpaceDN w:val="0"/>
      <w:adjustRightInd w:val="0"/>
      <w:spacing w:after="0" w:line="240" w:lineRule="auto"/>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3C2D64"/>
    <w:rPr>
      <w:sz w:val="16"/>
      <w:szCs w:val="16"/>
    </w:rPr>
  </w:style>
  <w:style w:type="paragraph" w:styleId="CommentText">
    <w:name w:val="annotation text"/>
    <w:basedOn w:val="Normal"/>
    <w:link w:val="CommentTextChar"/>
    <w:uiPriority w:val="99"/>
    <w:semiHidden/>
    <w:unhideWhenUsed/>
    <w:rsid w:val="003C2D6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C2D64"/>
    <w:rPr>
      <w:sz w:val="20"/>
      <w:szCs w:val="20"/>
    </w:rPr>
  </w:style>
  <w:style w:type="paragraph" w:styleId="BalloonText">
    <w:name w:val="Balloon Text"/>
    <w:basedOn w:val="Normal"/>
    <w:link w:val="BalloonTextChar"/>
    <w:uiPriority w:val="99"/>
    <w:semiHidden/>
    <w:unhideWhenUsed/>
    <w:rsid w:val="003C2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D64"/>
    <w:rPr>
      <w:rFonts w:ascii="Segoe UI" w:hAnsi="Segoe UI" w:cs="Segoe UI"/>
      <w:sz w:val="18"/>
      <w:szCs w:val="18"/>
    </w:rPr>
  </w:style>
  <w:style w:type="paragraph" w:styleId="NormalWeb">
    <w:name w:val="Normal (Web)"/>
    <w:basedOn w:val="Normal"/>
    <w:uiPriority w:val="99"/>
    <w:semiHidden/>
    <w:unhideWhenUsed/>
    <w:rsid w:val="00D02F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97469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04737"/>
    <w:pPr>
      <w:outlineLvl w:val="9"/>
    </w:pPr>
    <w:rPr>
      <w:lang w:val="en-US"/>
    </w:rPr>
  </w:style>
  <w:style w:type="paragraph" w:styleId="TOC2">
    <w:name w:val="toc 2"/>
    <w:basedOn w:val="Normal"/>
    <w:next w:val="Normal"/>
    <w:autoRedefine/>
    <w:uiPriority w:val="39"/>
    <w:unhideWhenUsed/>
    <w:rsid w:val="00A04737"/>
    <w:pPr>
      <w:spacing w:after="100"/>
      <w:ind w:left="220"/>
    </w:pPr>
  </w:style>
  <w:style w:type="paragraph" w:styleId="Header">
    <w:name w:val="header"/>
    <w:basedOn w:val="Normal"/>
    <w:link w:val="HeaderChar"/>
    <w:uiPriority w:val="99"/>
    <w:unhideWhenUsed/>
    <w:rsid w:val="00884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DC0"/>
  </w:style>
  <w:style w:type="paragraph" w:styleId="Footer">
    <w:name w:val="footer"/>
    <w:basedOn w:val="Normal"/>
    <w:link w:val="FooterChar"/>
    <w:uiPriority w:val="99"/>
    <w:unhideWhenUsed/>
    <w:rsid w:val="00884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DC0"/>
  </w:style>
  <w:style w:type="paragraph" w:styleId="CommentSubject">
    <w:name w:val="annotation subject"/>
    <w:basedOn w:val="CommentText"/>
    <w:next w:val="CommentText"/>
    <w:link w:val="CommentSubjectChar"/>
    <w:uiPriority w:val="99"/>
    <w:semiHidden/>
    <w:unhideWhenUsed/>
    <w:rsid w:val="00884DC0"/>
    <w:pPr>
      <w:spacing w:after="160"/>
    </w:pPr>
    <w:rPr>
      <w:b/>
      <w:bCs/>
    </w:rPr>
  </w:style>
  <w:style w:type="character" w:customStyle="1" w:styleId="CommentSubjectChar">
    <w:name w:val="Comment Subject Char"/>
    <w:basedOn w:val="CommentTextChar"/>
    <w:link w:val="CommentSubject"/>
    <w:uiPriority w:val="99"/>
    <w:semiHidden/>
    <w:rsid w:val="00884DC0"/>
    <w:rPr>
      <w:b/>
      <w:bCs/>
      <w:sz w:val="20"/>
      <w:szCs w:val="20"/>
    </w:rPr>
  </w:style>
  <w:style w:type="character" w:styleId="FollowedHyperlink">
    <w:name w:val="FollowedHyperlink"/>
    <w:basedOn w:val="DefaultParagraphFont"/>
    <w:uiPriority w:val="99"/>
    <w:semiHidden/>
    <w:unhideWhenUsed/>
    <w:rsid w:val="004C1ED3"/>
    <w:rPr>
      <w:color w:val="954F72" w:themeColor="followedHyperlink"/>
      <w:u w:val="single"/>
    </w:rPr>
  </w:style>
  <w:style w:type="character" w:customStyle="1" w:styleId="Heading3Char">
    <w:name w:val="Heading 3 Char"/>
    <w:basedOn w:val="DefaultParagraphFont"/>
    <w:link w:val="Heading3"/>
    <w:uiPriority w:val="9"/>
    <w:rsid w:val="0094074B"/>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CF5AB0"/>
    <w:pPr>
      <w:spacing w:after="0" w:line="240" w:lineRule="auto"/>
    </w:pPr>
  </w:style>
  <w:style w:type="paragraph" w:styleId="PlainText">
    <w:name w:val="Plain Text"/>
    <w:basedOn w:val="Normal"/>
    <w:link w:val="PlainTextChar"/>
    <w:uiPriority w:val="99"/>
    <w:semiHidden/>
    <w:unhideWhenUsed/>
    <w:rsid w:val="009C7B6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9C7B6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6362">
      <w:bodyDiv w:val="1"/>
      <w:marLeft w:val="0"/>
      <w:marRight w:val="0"/>
      <w:marTop w:val="0"/>
      <w:marBottom w:val="0"/>
      <w:divBdr>
        <w:top w:val="none" w:sz="0" w:space="0" w:color="auto"/>
        <w:left w:val="none" w:sz="0" w:space="0" w:color="auto"/>
        <w:bottom w:val="none" w:sz="0" w:space="0" w:color="auto"/>
        <w:right w:val="none" w:sz="0" w:space="0" w:color="auto"/>
      </w:divBdr>
      <w:divsChild>
        <w:div w:id="1566532094">
          <w:marLeft w:val="0"/>
          <w:marRight w:val="0"/>
          <w:marTop w:val="0"/>
          <w:marBottom w:val="0"/>
          <w:divBdr>
            <w:top w:val="none" w:sz="0" w:space="0" w:color="auto"/>
            <w:left w:val="none" w:sz="0" w:space="0" w:color="auto"/>
            <w:bottom w:val="none" w:sz="0" w:space="0" w:color="auto"/>
            <w:right w:val="none" w:sz="0" w:space="0" w:color="auto"/>
          </w:divBdr>
          <w:divsChild>
            <w:div w:id="506674036">
              <w:marLeft w:val="0"/>
              <w:marRight w:val="0"/>
              <w:marTop w:val="0"/>
              <w:marBottom w:val="0"/>
              <w:divBdr>
                <w:top w:val="none" w:sz="0" w:space="0" w:color="auto"/>
                <w:left w:val="none" w:sz="0" w:space="0" w:color="auto"/>
                <w:bottom w:val="none" w:sz="0" w:space="0" w:color="auto"/>
                <w:right w:val="none" w:sz="0" w:space="0" w:color="auto"/>
              </w:divBdr>
              <w:divsChild>
                <w:div w:id="396897951">
                  <w:marLeft w:val="0"/>
                  <w:marRight w:val="0"/>
                  <w:marTop w:val="0"/>
                  <w:marBottom w:val="0"/>
                  <w:divBdr>
                    <w:top w:val="none" w:sz="0" w:space="0" w:color="auto"/>
                    <w:left w:val="none" w:sz="0" w:space="0" w:color="auto"/>
                    <w:bottom w:val="none" w:sz="0" w:space="0" w:color="auto"/>
                    <w:right w:val="none" w:sz="0" w:space="0" w:color="auto"/>
                  </w:divBdr>
                  <w:divsChild>
                    <w:div w:id="13282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6767">
      <w:bodyDiv w:val="1"/>
      <w:marLeft w:val="0"/>
      <w:marRight w:val="0"/>
      <w:marTop w:val="0"/>
      <w:marBottom w:val="0"/>
      <w:divBdr>
        <w:top w:val="none" w:sz="0" w:space="0" w:color="auto"/>
        <w:left w:val="none" w:sz="0" w:space="0" w:color="auto"/>
        <w:bottom w:val="none" w:sz="0" w:space="0" w:color="auto"/>
        <w:right w:val="none" w:sz="0" w:space="0" w:color="auto"/>
      </w:divBdr>
    </w:div>
    <w:div w:id="339164936">
      <w:bodyDiv w:val="1"/>
      <w:marLeft w:val="0"/>
      <w:marRight w:val="0"/>
      <w:marTop w:val="0"/>
      <w:marBottom w:val="0"/>
      <w:divBdr>
        <w:top w:val="none" w:sz="0" w:space="0" w:color="auto"/>
        <w:left w:val="none" w:sz="0" w:space="0" w:color="auto"/>
        <w:bottom w:val="none" w:sz="0" w:space="0" w:color="auto"/>
        <w:right w:val="none" w:sz="0" w:space="0" w:color="auto"/>
      </w:divBdr>
    </w:div>
    <w:div w:id="342897626">
      <w:bodyDiv w:val="1"/>
      <w:marLeft w:val="0"/>
      <w:marRight w:val="0"/>
      <w:marTop w:val="0"/>
      <w:marBottom w:val="0"/>
      <w:divBdr>
        <w:top w:val="none" w:sz="0" w:space="0" w:color="auto"/>
        <w:left w:val="none" w:sz="0" w:space="0" w:color="auto"/>
        <w:bottom w:val="none" w:sz="0" w:space="0" w:color="auto"/>
        <w:right w:val="none" w:sz="0" w:space="0" w:color="auto"/>
      </w:divBdr>
    </w:div>
    <w:div w:id="360058733">
      <w:bodyDiv w:val="1"/>
      <w:marLeft w:val="0"/>
      <w:marRight w:val="0"/>
      <w:marTop w:val="0"/>
      <w:marBottom w:val="0"/>
      <w:divBdr>
        <w:top w:val="none" w:sz="0" w:space="0" w:color="auto"/>
        <w:left w:val="none" w:sz="0" w:space="0" w:color="auto"/>
        <w:bottom w:val="none" w:sz="0" w:space="0" w:color="auto"/>
        <w:right w:val="none" w:sz="0" w:space="0" w:color="auto"/>
      </w:divBdr>
    </w:div>
    <w:div w:id="391008329">
      <w:bodyDiv w:val="1"/>
      <w:marLeft w:val="0"/>
      <w:marRight w:val="0"/>
      <w:marTop w:val="0"/>
      <w:marBottom w:val="0"/>
      <w:divBdr>
        <w:top w:val="none" w:sz="0" w:space="0" w:color="auto"/>
        <w:left w:val="none" w:sz="0" w:space="0" w:color="auto"/>
        <w:bottom w:val="none" w:sz="0" w:space="0" w:color="auto"/>
        <w:right w:val="none" w:sz="0" w:space="0" w:color="auto"/>
      </w:divBdr>
    </w:div>
    <w:div w:id="755787968">
      <w:bodyDiv w:val="1"/>
      <w:marLeft w:val="0"/>
      <w:marRight w:val="0"/>
      <w:marTop w:val="0"/>
      <w:marBottom w:val="0"/>
      <w:divBdr>
        <w:top w:val="none" w:sz="0" w:space="0" w:color="auto"/>
        <w:left w:val="none" w:sz="0" w:space="0" w:color="auto"/>
        <w:bottom w:val="none" w:sz="0" w:space="0" w:color="auto"/>
        <w:right w:val="none" w:sz="0" w:space="0" w:color="auto"/>
      </w:divBdr>
    </w:div>
    <w:div w:id="894465749">
      <w:bodyDiv w:val="1"/>
      <w:marLeft w:val="0"/>
      <w:marRight w:val="0"/>
      <w:marTop w:val="0"/>
      <w:marBottom w:val="0"/>
      <w:divBdr>
        <w:top w:val="none" w:sz="0" w:space="0" w:color="auto"/>
        <w:left w:val="none" w:sz="0" w:space="0" w:color="auto"/>
        <w:bottom w:val="none" w:sz="0" w:space="0" w:color="auto"/>
        <w:right w:val="none" w:sz="0" w:space="0" w:color="auto"/>
      </w:divBdr>
    </w:div>
    <w:div w:id="947002254">
      <w:bodyDiv w:val="1"/>
      <w:marLeft w:val="0"/>
      <w:marRight w:val="0"/>
      <w:marTop w:val="0"/>
      <w:marBottom w:val="0"/>
      <w:divBdr>
        <w:top w:val="none" w:sz="0" w:space="0" w:color="auto"/>
        <w:left w:val="none" w:sz="0" w:space="0" w:color="auto"/>
        <w:bottom w:val="none" w:sz="0" w:space="0" w:color="auto"/>
        <w:right w:val="none" w:sz="0" w:space="0" w:color="auto"/>
      </w:divBdr>
    </w:div>
    <w:div w:id="951088237">
      <w:bodyDiv w:val="1"/>
      <w:marLeft w:val="0"/>
      <w:marRight w:val="0"/>
      <w:marTop w:val="0"/>
      <w:marBottom w:val="0"/>
      <w:divBdr>
        <w:top w:val="none" w:sz="0" w:space="0" w:color="auto"/>
        <w:left w:val="none" w:sz="0" w:space="0" w:color="auto"/>
        <w:bottom w:val="none" w:sz="0" w:space="0" w:color="auto"/>
        <w:right w:val="none" w:sz="0" w:space="0" w:color="auto"/>
      </w:divBdr>
    </w:div>
    <w:div w:id="1009135372">
      <w:bodyDiv w:val="1"/>
      <w:marLeft w:val="0"/>
      <w:marRight w:val="0"/>
      <w:marTop w:val="0"/>
      <w:marBottom w:val="0"/>
      <w:divBdr>
        <w:top w:val="none" w:sz="0" w:space="0" w:color="auto"/>
        <w:left w:val="none" w:sz="0" w:space="0" w:color="auto"/>
        <w:bottom w:val="none" w:sz="0" w:space="0" w:color="auto"/>
        <w:right w:val="none" w:sz="0" w:space="0" w:color="auto"/>
      </w:divBdr>
    </w:div>
    <w:div w:id="1090007564">
      <w:bodyDiv w:val="1"/>
      <w:marLeft w:val="0"/>
      <w:marRight w:val="0"/>
      <w:marTop w:val="0"/>
      <w:marBottom w:val="0"/>
      <w:divBdr>
        <w:top w:val="none" w:sz="0" w:space="0" w:color="auto"/>
        <w:left w:val="none" w:sz="0" w:space="0" w:color="auto"/>
        <w:bottom w:val="none" w:sz="0" w:space="0" w:color="auto"/>
        <w:right w:val="none" w:sz="0" w:space="0" w:color="auto"/>
      </w:divBdr>
    </w:div>
    <w:div w:id="1181704103">
      <w:bodyDiv w:val="1"/>
      <w:marLeft w:val="0"/>
      <w:marRight w:val="0"/>
      <w:marTop w:val="0"/>
      <w:marBottom w:val="0"/>
      <w:divBdr>
        <w:top w:val="none" w:sz="0" w:space="0" w:color="auto"/>
        <w:left w:val="none" w:sz="0" w:space="0" w:color="auto"/>
        <w:bottom w:val="none" w:sz="0" w:space="0" w:color="auto"/>
        <w:right w:val="none" w:sz="0" w:space="0" w:color="auto"/>
      </w:divBdr>
    </w:div>
    <w:div w:id="1430420128">
      <w:bodyDiv w:val="1"/>
      <w:marLeft w:val="0"/>
      <w:marRight w:val="0"/>
      <w:marTop w:val="0"/>
      <w:marBottom w:val="0"/>
      <w:divBdr>
        <w:top w:val="none" w:sz="0" w:space="0" w:color="auto"/>
        <w:left w:val="none" w:sz="0" w:space="0" w:color="auto"/>
        <w:bottom w:val="none" w:sz="0" w:space="0" w:color="auto"/>
        <w:right w:val="none" w:sz="0" w:space="0" w:color="auto"/>
      </w:divBdr>
    </w:div>
    <w:div w:id="1580406500">
      <w:bodyDiv w:val="1"/>
      <w:marLeft w:val="0"/>
      <w:marRight w:val="0"/>
      <w:marTop w:val="0"/>
      <w:marBottom w:val="0"/>
      <w:divBdr>
        <w:top w:val="none" w:sz="0" w:space="0" w:color="auto"/>
        <w:left w:val="none" w:sz="0" w:space="0" w:color="auto"/>
        <w:bottom w:val="none" w:sz="0" w:space="0" w:color="auto"/>
        <w:right w:val="none" w:sz="0" w:space="0" w:color="auto"/>
      </w:divBdr>
    </w:div>
    <w:div w:id="1677492163">
      <w:bodyDiv w:val="1"/>
      <w:marLeft w:val="0"/>
      <w:marRight w:val="0"/>
      <w:marTop w:val="0"/>
      <w:marBottom w:val="0"/>
      <w:divBdr>
        <w:top w:val="none" w:sz="0" w:space="0" w:color="auto"/>
        <w:left w:val="none" w:sz="0" w:space="0" w:color="auto"/>
        <w:bottom w:val="none" w:sz="0" w:space="0" w:color="auto"/>
        <w:right w:val="none" w:sz="0" w:space="0" w:color="auto"/>
      </w:divBdr>
    </w:div>
    <w:div w:id="1785925287">
      <w:bodyDiv w:val="1"/>
      <w:marLeft w:val="0"/>
      <w:marRight w:val="0"/>
      <w:marTop w:val="0"/>
      <w:marBottom w:val="0"/>
      <w:divBdr>
        <w:top w:val="none" w:sz="0" w:space="0" w:color="auto"/>
        <w:left w:val="none" w:sz="0" w:space="0" w:color="auto"/>
        <w:bottom w:val="none" w:sz="0" w:space="0" w:color="auto"/>
        <w:right w:val="none" w:sz="0" w:space="0" w:color="auto"/>
      </w:divBdr>
    </w:div>
    <w:div w:id="1891108471">
      <w:bodyDiv w:val="1"/>
      <w:marLeft w:val="0"/>
      <w:marRight w:val="0"/>
      <w:marTop w:val="0"/>
      <w:marBottom w:val="0"/>
      <w:divBdr>
        <w:top w:val="none" w:sz="0" w:space="0" w:color="auto"/>
        <w:left w:val="none" w:sz="0" w:space="0" w:color="auto"/>
        <w:bottom w:val="none" w:sz="0" w:space="0" w:color="auto"/>
        <w:right w:val="none" w:sz="0" w:space="0" w:color="auto"/>
      </w:divBdr>
    </w:div>
    <w:div w:id="1949696790">
      <w:bodyDiv w:val="1"/>
      <w:marLeft w:val="0"/>
      <w:marRight w:val="0"/>
      <w:marTop w:val="0"/>
      <w:marBottom w:val="0"/>
      <w:divBdr>
        <w:top w:val="none" w:sz="0" w:space="0" w:color="auto"/>
        <w:left w:val="none" w:sz="0" w:space="0" w:color="auto"/>
        <w:bottom w:val="none" w:sz="0" w:space="0" w:color="auto"/>
        <w:right w:val="none" w:sz="0" w:space="0" w:color="auto"/>
      </w:divBdr>
    </w:div>
    <w:div w:id="2024940436">
      <w:bodyDiv w:val="1"/>
      <w:marLeft w:val="0"/>
      <w:marRight w:val="0"/>
      <w:marTop w:val="0"/>
      <w:marBottom w:val="0"/>
      <w:divBdr>
        <w:top w:val="none" w:sz="0" w:space="0" w:color="auto"/>
        <w:left w:val="none" w:sz="0" w:space="0" w:color="auto"/>
        <w:bottom w:val="none" w:sz="0" w:space="0" w:color="auto"/>
        <w:right w:val="none" w:sz="0" w:space="0" w:color="auto"/>
      </w:divBdr>
    </w:div>
    <w:div w:id="2053143510">
      <w:bodyDiv w:val="1"/>
      <w:marLeft w:val="0"/>
      <w:marRight w:val="0"/>
      <w:marTop w:val="0"/>
      <w:marBottom w:val="0"/>
      <w:divBdr>
        <w:top w:val="none" w:sz="0" w:space="0" w:color="auto"/>
        <w:left w:val="none" w:sz="0" w:space="0" w:color="auto"/>
        <w:bottom w:val="none" w:sz="0" w:space="0" w:color="auto"/>
        <w:right w:val="none" w:sz="0" w:space="0" w:color="auto"/>
      </w:divBdr>
    </w:div>
    <w:div w:id="20819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nager@taxicombined.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ger.burdon@13cabs.com.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transport.tas.gov.au/passenger/operators" TargetMode="External"/><Relationship Id="rId4" Type="http://schemas.openxmlformats.org/officeDocument/2006/relationships/settings" Target="settings.xml"/><Relationship Id="rId9" Type="http://schemas.openxmlformats.org/officeDocument/2006/relationships/hyperlink" Target="http://www.police.tas.gov.au/services-online/police-history-record-checks/" TargetMode="External"/><Relationship Id="rId14" Type="http://schemas.openxmlformats.org/officeDocument/2006/relationships/hyperlink" Target="mailto:operator.accreditation@stategrowth.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C6DEA-3A72-4B60-AD12-979E3488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Anne-Maree</dc:creator>
  <cp:keywords/>
  <dc:description/>
  <cp:lastModifiedBy>Kearsley, Alan</cp:lastModifiedBy>
  <cp:revision>2</cp:revision>
  <cp:lastPrinted>2017-09-25T01:43:00Z</cp:lastPrinted>
  <dcterms:created xsi:type="dcterms:W3CDTF">2017-10-24T00:00:00Z</dcterms:created>
  <dcterms:modified xsi:type="dcterms:W3CDTF">2017-10-24T00:00:00Z</dcterms:modified>
</cp:coreProperties>
</file>