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12550" w14:textId="77777777" w:rsidR="006E7989" w:rsidRPr="00E84C08" w:rsidRDefault="004032CC" w:rsidP="00FD7296">
      <w:pPr>
        <w:spacing w:after="120"/>
        <w:ind w:right="424"/>
        <w:jc w:val="right"/>
        <w:rPr>
          <w:sz w:val="80"/>
          <w:szCs w:val="80"/>
        </w:rPr>
      </w:pPr>
      <w:bookmarkStart w:id="0" w:name="_GoBack"/>
      <w:bookmarkEnd w:id="0"/>
      <w:r w:rsidRPr="004957A3">
        <w:rPr>
          <w:b/>
          <w:noProof/>
          <w:sz w:val="80"/>
          <w:szCs w:val="80"/>
          <w:lang w:eastAsia="en-AU"/>
        </w:rPr>
        <w:drawing>
          <wp:anchor distT="0" distB="0" distL="114300" distR="114300" simplePos="0" relativeHeight="251653120" behindDoc="1" locked="0" layoutInCell="1" allowOverlap="1" wp14:anchorId="067DFA60" wp14:editId="29FAFB3C">
            <wp:simplePos x="0" y="0"/>
            <wp:positionH relativeFrom="page">
              <wp:posOffset>0</wp:posOffset>
            </wp:positionH>
            <wp:positionV relativeFrom="paragraph">
              <wp:posOffset>-785256</wp:posOffset>
            </wp:positionV>
            <wp:extent cx="7591646" cy="10736341"/>
            <wp:effectExtent l="0" t="0" r="0" b="8255"/>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4 image fact shee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91646" cy="10736341"/>
                    </a:xfrm>
                    <a:prstGeom prst="rect">
                      <a:avLst/>
                    </a:prstGeom>
                  </pic:spPr>
                </pic:pic>
              </a:graphicData>
            </a:graphic>
            <wp14:sizeRelH relativeFrom="page">
              <wp14:pctWidth>0</wp14:pctWidth>
            </wp14:sizeRelH>
            <wp14:sizeRelV relativeFrom="page">
              <wp14:pctHeight>0</wp14:pctHeight>
            </wp14:sizeRelV>
          </wp:anchor>
        </w:drawing>
      </w:r>
      <w:r w:rsidR="006D3E7E" w:rsidRPr="006D3E7E">
        <w:rPr>
          <w:sz w:val="80"/>
          <w:szCs w:val="80"/>
        </w:rPr>
        <w:t>Transporter</w:t>
      </w:r>
    </w:p>
    <w:p w14:paraId="3A81322C" w14:textId="77777777" w:rsidR="00E84C08" w:rsidRPr="006E7989" w:rsidRDefault="00E84C08" w:rsidP="00FD7296">
      <w:pPr>
        <w:ind w:right="424"/>
      </w:pPr>
    </w:p>
    <w:p w14:paraId="096EA019" w14:textId="77777777" w:rsidR="006E7989" w:rsidRPr="006E7989" w:rsidRDefault="006E7989" w:rsidP="00FD7296">
      <w:pPr>
        <w:ind w:right="424"/>
      </w:pPr>
    </w:p>
    <w:p w14:paraId="740097F3" w14:textId="77777777" w:rsidR="006E7989" w:rsidRPr="006E7989" w:rsidRDefault="006E7989" w:rsidP="00FD7296">
      <w:pPr>
        <w:ind w:right="424"/>
      </w:pPr>
    </w:p>
    <w:p w14:paraId="55D2404F" w14:textId="77777777" w:rsidR="006E7989" w:rsidRPr="006E7989" w:rsidRDefault="006E7989" w:rsidP="00FD7296">
      <w:pPr>
        <w:ind w:right="424"/>
      </w:pPr>
    </w:p>
    <w:p w14:paraId="7DF9FA6D" w14:textId="77777777" w:rsidR="006E7989" w:rsidRPr="00144AD4" w:rsidRDefault="006E7989" w:rsidP="00FD7296">
      <w:pPr>
        <w:spacing w:after="0"/>
        <w:ind w:right="424"/>
      </w:pPr>
    </w:p>
    <w:p w14:paraId="7A091EBB" w14:textId="29F6958F" w:rsidR="00E84C08" w:rsidRPr="00534224" w:rsidRDefault="00E84C08" w:rsidP="00FD7296">
      <w:pPr>
        <w:pStyle w:val="Heading1"/>
        <w:tabs>
          <w:tab w:val="right" w:pos="10773"/>
        </w:tabs>
        <w:ind w:right="424"/>
        <w:jc w:val="both"/>
        <w:rPr>
          <w:color w:val="auto"/>
          <w:sz w:val="32"/>
        </w:rPr>
      </w:pPr>
      <w:r>
        <w:rPr>
          <w:color w:val="auto"/>
          <w:sz w:val="28"/>
        </w:rPr>
        <w:tab/>
      </w:r>
      <w:r w:rsidR="00852E2C" w:rsidRPr="00852E2C">
        <w:rPr>
          <w:color w:val="auto"/>
          <w:sz w:val="32"/>
        </w:rPr>
        <w:t>August</w:t>
      </w:r>
      <w:r w:rsidR="00B60DC8" w:rsidRPr="00144AD4">
        <w:rPr>
          <w:color w:val="auto"/>
          <w:sz w:val="32"/>
        </w:rPr>
        <w:t xml:space="preserve"> </w:t>
      </w:r>
      <w:r w:rsidR="00B60DC8">
        <w:rPr>
          <w:color w:val="auto"/>
          <w:sz w:val="32"/>
        </w:rPr>
        <w:t>201</w:t>
      </w:r>
      <w:r w:rsidR="009E7D51">
        <w:rPr>
          <w:color w:val="auto"/>
          <w:sz w:val="32"/>
        </w:rPr>
        <w:t>8</w:t>
      </w:r>
    </w:p>
    <w:p w14:paraId="4AECE4F1" w14:textId="77777777" w:rsidR="0083367A" w:rsidRPr="0083367A" w:rsidRDefault="009344B3" w:rsidP="0083367A">
      <w:pPr>
        <w:pStyle w:val="Heading1"/>
        <w:spacing w:before="0" w:after="120"/>
        <w:ind w:right="424"/>
        <w:jc w:val="both"/>
        <w:rPr>
          <w:color w:val="009999"/>
        </w:rPr>
      </w:pPr>
      <w:r>
        <w:rPr>
          <w:color w:val="009999"/>
        </w:rPr>
        <w:t>Time ticks on</w:t>
      </w:r>
    </w:p>
    <w:p w14:paraId="7D17D8E0" w14:textId="77777777" w:rsidR="00EF73A9" w:rsidRDefault="001F1436" w:rsidP="00457C39">
      <w:pPr>
        <w:spacing w:after="120"/>
        <w:ind w:right="424"/>
        <w:jc w:val="both"/>
        <w:rPr>
          <w:lang w:val="en-GB"/>
        </w:rPr>
      </w:pPr>
      <w:r>
        <w:rPr>
          <w:lang w:val="en-GB"/>
        </w:rPr>
        <w:t xml:space="preserve">Winter </w:t>
      </w:r>
      <w:r w:rsidR="00F6543F">
        <w:rPr>
          <w:lang w:val="en-GB"/>
        </w:rPr>
        <w:t>is nearly over, although if feels like it has just begun give</w:t>
      </w:r>
      <w:r w:rsidR="00360130">
        <w:rPr>
          <w:lang w:val="en-GB"/>
        </w:rPr>
        <w:t>n</w:t>
      </w:r>
      <w:r w:rsidR="00F6543F">
        <w:rPr>
          <w:lang w:val="en-GB"/>
        </w:rPr>
        <w:t xml:space="preserve"> the </w:t>
      </w:r>
      <w:r>
        <w:rPr>
          <w:lang w:val="en-GB"/>
        </w:rPr>
        <w:t>warmer than average temperatures</w:t>
      </w:r>
      <w:r w:rsidR="00F6543F">
        <w:rPr>
          <w:lang w:val="en-GB"/>
        </w:rPr>
        <w:t xml:space="preserve"> we experienced in June and July</w:t>
      </w:r>
      <w:r>
        <w:rPr>
          <w:lang w:val="en-GB"/>
        </w:rPr>
        <w:t xml:space="preserve">. </w:t>
      </w:r>
      <w:r w:rsidR="00F6543F">
        <w:rPr>
          <w:lang w:val="en-GB"/>
        </w:rPr>
        <w:t xml:space="preserve">We can always count on August to remind us how cold it can get. With the colder weather comes </w:t>
      </w:r>
      <w:r w:rsidR="009344B3">
        <w:rPr>
          <w:lang w:val="en-GB"/>
        </w:rPr>
        <w:t>more challenging driving conditions so please take care on the roads.</w:t>
      </w:r>
    </w:p>
    <w:p w14:paraId="16E7F5B9" w14:textId="77777777" w:rsidR="00931261" w:rsidRDefault="00931261" w:rsidP="00457C39">
      <w:pPr>
        <w:spacing w:after="120"/>
        <w:ind w:right="424"/>
        <w:jc w:val="both"/>
        <w:rPr>
          <w:lang w:val="en-GB"/>
        </w:rPr>
      </w:pPr>
    </w:p>
    <w:p w14:paraId="5BCA86DB" w14:textId="77777777" w:rsidR="00B1187C" w:rsidRDefault="00B1187C" w:rsidP="00B1187C">
      <w:pPr>
        <w:pStyle w:val="Heading1"/>
        <w:keepNext w:val="0"/>
        <w:keepLines w:val="0"/>
        <w:spacing w:before="0" w:after="120"/>
        <w:ind w:right="424"/>
        <w:jc w:val="both"/>
        <w:rPr>
          <w:color w:val="009999"/>
          <w:lang w:val="en-GB"/>
        </w:rPr>
      </w:pPr>
      <w:r w:rsidRPr="00EF73A9">
        <w:rPr>
          <w:color w:val="009999"/>
          <w:lang w:val="en-GB"/>
        </w:rPr>
        <w:t>Transition of Heavy Vehicle Compliance and Enforcement to the NHVR</w:t>
      </w:r>
    </w:p>
    <w:p w14:paraId="03A478CC" w14:textId="5BE447F0" w:rsidR="00B1187C" w:rsidRPr="00EF73A9" w:rsidRDefault="00B1187C" w:rsidP="00B1187C">
      <w:pPr>
        <w:spacing w:after="120"/>
        <w:ind w:right="425"/>
        <w:rPr>
          <w:lang w:val="en-GB"/>
        </w:rPr>
      </w:pPr>
      <w:r w:rsidRPr="00EF73A9">
        <w:rPr>
          <w:lang w:val="en-GB"/>
        </w:rPr>
        <w:t xml:space="preserve">On 2 July 2018, the Department of State Growth (State Growth) transferred responsibility for heavy vehicle compliance and enforcement to the National Heavy Vehicle Regulator (NHVR). Tasmania is the second </w:t>
      </w:r>
      <w:r w:rsidR="00E93D38">
        <w:rPr>
          <w:lang w:val="en-GB"/>
        </w:rPr>
        <w:t>s</w:t>
      </w:r>
      <w:r w:rsidRPr="00EF73A9">
        <w:rPr>
          <w:lang w:val="en-GB"/>
        </w:rPr>
        <w:t xml:space="preserve">tate or </w:t>
      </w:r>
      <w:r w:rsidR="00E93D38">
        <w:rPr>
          <w:lang w:val="en-GB"/>
        </w:rPr>
        <w:t>t</w:t>
      </w:r>
      <w:r w:rsidRPr="00EF73A9">
        <w:rPr>
          <w:lang w:val="en-GB"/>
        </w:rPr>
        <w:t xml:space="preserve">erritory (after South Australia) to achieve this part of the national heavy vehicle reforms. </w:t>
      </w:r>
    </w:p>
    <w:p w14:paraId="57BAD98A" w14:textId="77777777" w:rsidR="00B1187C" w:rsidRPr="00EF73A9" w:rsidRDefault="00B1187C" w:rsidP="00B1187C">
      <w:pPr>
        <w:spacing w:after="120"/>
        <w:ind w:right="425"/>
        <w:rPr>
          <w:b/>
          <w:lang w:val="en-GB"/>
        </w:rPr>
      </w:pPr>
      <w:r w:rsidRPr="00EF73A9">
        <w:rPr>
          <w:b/>
          <w:lang w:val="en-GB"/>
        </w:rPr>
        <w:t xml:space="preserve">What do I have to do? </w:t>
      </w:r>
    </w:p>
    <w:p w14:paraId="36385C26" w14:textId="5FA8A730" w:rsidR="00B1187C" w:rsidRPr="00EF73A9" w:rsidRDefault="00B1187C" w:rsidP="00B1187C">
      <w:pPr>
        <w:spacing w:after="120"/>
        <w:ind w:right="425"/>
        <w:rPr>
          <w:lang w:val="en-GB"/>
        </w:rPr>
      </w:pPr>
      <w:r w:rsidRPr="00EF73A9">
        <w:rPr>
          <w:lang w:val="en-GB"/>
        </w:rPr>
        <w:t xml:space="preserve">Nothing. There are no changes to the Heavy Vehicle National </w:t>
      </w:r>
      <w:r w:rsidR="00E93D38">
        <w:rPr>
          <w:lang w:val="en-GB"/>
        </w:rPr>
        <w:t>L</w:t>
      </w:r>
      <w:r w:rsidRPr="00EF73A9">
        <w:rPr>
          <w:lang w:val="en-GB"/>
        </w:rPr>
        <w:t xml:space="preserve">aw (HVNL) arising from this transition. There will be very little impact for day-to-day operations of the road transport industry. </w:t>
      </w:r>
    </w:p>
    <w:p w14:paraId="2B33EF8E" w14:textId="32F3B151" w:rsidR="00B1187C" w:rsidRPr="00EF73A9" w:rsidRDefault="00B1187C" w:rsidP="00B1187C">
      <w:pPr>
        <w:spacing w:after="120"/>
        <w:ind w:right="425"/>
        <w:rPr>
          <w:lang w:val="en-GB"/>
        </w:rPr>
      </w:pPr>
      <w:r w:rsidRPr="00EF73A9">
        <w:rPr>
          <w:lang w:val="en-GB"/>
        </w:rPr>
        <w:t xml:space="preserve">There are some minor changes to the clearance of heavy vehicle defects. You can find </w:t>
      </w:r>
      <w:r w:rsidR="00934DBE">
        <w:rPr>
          <w:lang w:val="en-GB"/>
        </w:rPr>
        <w:t xml:space="preserve">out </w:t>
      </w:r>
      <w:r w:rsidRPr="00EF73A9">
        <w:rPr>
          <w:lang w:val="en-GB"/>
        </w:rPr>
        <w:t>about these at the website listed below.</w:t>
      </w:r>
    </w:p>
    <w:p w14:paraId="0279D496" w14:textId="77777777" w:rsidR="00B1187C" w:rsidRPr="00EF73A9" w:rsidRDefault="00B1187C" w:rsidP="00B1187C">
      <w:pPr>
        <w:spacing w:after="120"/>
        <w:ind w:right="425"/>
        <w:rPr>
          <w:b/>
          <w:lang w:val="en-GB"/>
        </w:rPr>
      </w:pPr>
      <w:r w:rsidRPr="00EF73A9">
        <w:rPr>
          <w:b/>
          <w:lang w:val="en-GB"/>
        </w:rPr>
        <w:t xml:space="preserve">What services have transitioned to the NHVR? </w:t>
      </w:r>
    </w:p>
    <w:p w14:paraId="16DD223C" w14:textId="279CDB15" w:rsidR="00B1187C" w:rsidRPr="00EF73A9" w:rsidRDefault="00E93D38" w:rsidP="00B1187C">
      <w:pPr>
        <w:spacing w:after="120"/>
        <w:ind w:right="425"/>
        <w:rPr>
          <w:lang w:val="en-GB"/>
        </w:rPr>
      </w:pPr>
      <w:r>
        <w:rPr>
          <w:lang w:val="en-GB"/>
        </w:rPr>
        <w:t xml:space="preserve">As of </w:t>
      </w:r>
      <w:r w:rsidR="00B1187C" w:rsidRPr="00EF73A9">
        <w:rPr>
          <w:lang w:val="en-GB"/>
        </w:rPr>
        <w:t xml:space="preserve">2 July, the NHVR </w:t>
      </w:r>
      <w:r>
        <w:rPr>
          <w:lang w:val="en-GB"/>
        </w:rPr>
        <w:t>now</w:t>
      </w:r>
      <w:r w:rsidR="00B1187C" w:rsidRPr="00EF73A9">
        <w:rPr>
          <w:lang w:val="en-GB"/>
        </w:rPr>
        <w:t xml:space="preserve"> provide</w:t>
      </w:r>
      <w:r w:rsidR="00934DBE">
        <w:rPr>
          <w:lang w:val="en-GB"/>
        </w:rPr>
        <w:t>s</w:t>
      </w:r>
      <w:r w:rsidR="00B1187C" w:rsidRPr="00EF73A9">
        <w:rPr>
          <w:lang w:val="en-GB"/>
        </w:rPr>
        <w:t xml:space="preserve">: </w:t>
      </w:r>
    </w:p>
    <w:p w14:paraId="3C7723ED" w14:textId="77777777" w:rsidR="00B1187C" w:rsidRPr="00EF73A9" w:rsidRDefault="00B1187C" w:rsidP="00B1187C">
      <w:pPr>
        <w:pStyle w:val="ListParagraph"/>
        <w:numPr>
          <w:ilvl w:val="0"/>
          <w:numId w:val="25"/>
        </w:numPr>
        <w:spacing w:after="120"/>
        <w:ind w:right="425"/>
        <w:rPr>
          <w:lang w:val="en-GB"/>
        </w:rPr>
      </w:pPr>
      <w:r w:rsidRPr="00EF73A9">
        <w:rPr>
          <w:lang w:val="en-GB"/>
        </w:rPr>
        <w:t xml:space="preserve">On-road education and compliance for heavy vehicles (over 4.5 tonnes gross vehicle mass). This includes mass, dimension, vehicle standards, load restraints, route compliance and driver fatigue. </w:t>
      </w:r>
    </w:p>
    <w:p w14:paraId="41AA1A8E" w14:textId="77777777" w:rsidR="00B1187C" w:rsidRPr="00EF73A9" w:rsidRDefault="00B1187C" w:rsidP="00B1187C">
      <w:pPr>
        <w:pStyle w:val="ListParagraph"/>
        <w:numPr>
          <w:ilvl w:val="0"/>
          <w:numId w:val="25"/>
        </w:numPr>
        <w:spacing w:after="120"/>
        <w:ind w:right="425"/>
        <w:rPr>
          <w:lang w:val="en-GB"/>
        </w:rPr>
      </w:pPr>
      <w:r w:rsidRPr="00EF73A9">
        <w:rPr>
          <w:lang w:val="en-GB"/>
        </w:rPr>
        <w:t xml:space="preserve">Investigations and prosecution of offences under the HVNL. </w:t>
      </w:r>
    </w:p>
    <w:p w14:paraId="35C9A329" w14:textId="77777777" w:rsidR="00B1187C" w:rsidRPr="00EF73A9" w:rsidRDefault="00B1187C" w:rsidP="00B1187C">
      <w:pPr>
        <w:spacing w:after="120"/>
        <w:ind w:right="425"/>
        <w:rPr>
          <w:b/>
          <w:lang w:val="en-GB"/>
        </w:rPr>
      </w:pPr>
      <w:r w:rsidRPr="00EF73A9">
        <w:rPr>
          <w:b/>
          <w:lang w:val="en-GB"/>
        </w:rPr>
        <w:t xml:space="preserve">What services are remaining with State Growth? </w:t>
      </w:r>
    </w:p>
    <w:p w14:paraId="1385331D" w14:textId="478D6DF3" w:rsidR="00B1187C" w:rsidRPr="00EF73A9" w:rsidRDefault="00B1187C" w:rsidP="00B1187C">
      <w:pPr>
        <w:spacing w:after="120"/>
        <w:ind w:right="425"/>
        <w:rPr>
          <w:lang w:val="en-GB"/>
        </w:rPr>
      </w:pPr>
      <w:r w:rsidRPr="00EF73A9">
        <w:rPr>
          <w:lang w:val="en-GB"/>
        </w:rPr>
        <w:t>State Growth continue</w:t>
      </w:r>
      <w:r w:rsidR="00934DBE">
        <w:rPr>
          <w:lang w:val="en-GB"/>
        </w:rPr>
        <w:t>s</w:t>
      </w:r>
      <w:r w:rsidRPr="00EF73A9">
        <w:rPr>
          <w:lang w:val="en-GB"/>
        </w:rPr>
        <w:t xml:space="preserve"> to provide: </w:t>
      </w:r>
    </w:p>
    <w:p w14:paraId="7806A37E" w14:textId="77777777" w:rsidR="00B1187C" w:rsidRPr="00EF73A9" w:rsidRDefault="00B1187C" w:rsidP="00B1187C">
      <w:pPr>
        <w:pStyle w:val="ListParagraph"/>
        <w:numPr>
          <w:ilvl w:val="0"/>
          <w:numId w:val="26"/>
        </w:numPr>
        <w:spacing w:after="120"/>
        <w:ind w:right="425"/>
        <w:rPr>
          <w:lang w:val="en-GB"/>
        </w:rPr>
      </w:pPr>
      <w:r w:rsidRPr="00EF73A9">
        <w:rPr>
          <w:lang w:val="en-GB"/>
        </w:rPr>
        <w:t xml:space="preserve">Escorts for Over Size Over Mass (OSOM) vehicles. </w:t>
      </w:r>
    </w:p>
    <w:p w14:paraId="31BB0F50" w14:textId="77777777" w:rsidR="00B1187C" w:rsidRPr="00EF73A9" w:rsidRDefault="00B1187C" w:rsidP="00B1187C">
      <w:pPr>
        <w:pStyle w:val="ListParagraph"/>
        <w:numPr>
          <w:ilvl w:val="0"/>
          <w:numId w:val="26"/>
        </w:numPr>
        <w:spacing w:after="120"/>
        <w:ind w:right="425"/>
        <w:rPr>
          <w:lang w:val="en-GB"/>
        </w:rPr>
      </w:pPr>
      <w:r w:rsidRPr="00EF73A9">
        <w:rPr>
          <w:lang w:val="en-GB"/>
        </w:rPr>
        <w:t xml:space="preserve">Written-Off Vehicle Register (WOVR) identity checks for light vehicles. </w:t>
      </w:r>
    </w:p>
    <w:p w14:paraId="70473153" w14:textId="77777777" w:rsidR="00B1187C" w:rsidRPr="00EF73A9" w:rsidRDefault="00B1187C" w:rsidP="00B1187C">
      <w:pPr>
        <w:pStyle w:val="ListParagraph"/>
        <w:numPr>
          <w:ilvl w:val="0"/>
          <w:numId w:val="26"/>
        </w:numPr>
        <w:spacing w:after="120"/>
        <w:ind w:right="425"/>
        <w:rPr>
          <w:lang w:val="en-GB"/>
        </w:rPr>
      </w:pPr>
      <w:r w:rsidRPr="00EF73A9">
        <w:rPr>
          <w:lang w:val="en-GB"/>
        </w:rPr>
        <w:t xml:space="preserve">Light vehicle crash inspections for the Coroner. </w:t>
      </w:r>
    </w:p>
    <w:p w14:paraId="763C1F01" w14:textId="77777777" w:rsidR="00B1187C" w:rsidRPr="00EF73A9" w:rsidRDefault="00B1187C" w:rsidP="00B1187C">
      <w:pPr>
        <w:pStyle w:val="ListParagraph"/>
        <w:numPr>
          <w:ilvl w:val="0"/>
          <w:numId w:val="26"/>
        </w:numPr>
        <w:spacing w:after="120"/>
        <w:ind w:right="425"/>
        <w:rPr>
          <w:lang w:val="en-GB"/>
        </w:rPr>
      </w:pPr>
      <w:r w:rsidRPr="00EF73A9">
        <w:rPr>
          <w:lang w:val="en-GB"/>
        </w:rPr>
        <w:t xml:space="preserve">Public Passenger Vehicle compliance and enforcement. </w:t>
      </w:r>
    </w:p>
    <w:p w14:paraId="7B7E7241" w14:textId="77777777" w:rsidR="00B1187C" w:rsidRPr="00EF73A9" w:rsidRDefault="00B1187C" w:rsidP="00B1187C">
      <w:pPr>
        <w:pStyle w:val="ListParagraph"/>
        <w:numPr>
          <w:ilvl w:val="0"/>
          <w:numId w:val="26"/>
        </w:numPr>
        <w:spacing w:after="120"/>
        <w:ind w:right="425"/>
        <w:rPr>
          <w:lang w:val="en-GB"/>
        </w:rPr>
      </w:pPr>
      <w:r w:rsidRPr="00EF73A9">
        <w:rPr>
          <w:lang w:val="en-GB"/>
        </w:rPr>
        <w:t>Other light vehicle compliance and enforcement with Tasmania Police.</w:t>
      </w:r>
    </w:p>
    <w:p w14:paraId="3CF2226C" w14:textId="77777777" w:rsidR="00B1187C" w:rsidRDefault="00B1187C">
      <w:pPr>
        <w:rPr>
          <w:b/>
          <w:lang w:val="en-GB"/>
        </w:rPr>
      </w:pPr>
      <w:r>
        <w:rPr>
          <w:b/>
          <w:lang w:val="en-GB"/>
        </w:rPr>
        <w:br w:type="page"/>
      </w:r>
    </w:p>
    <w:p w14:paraId="301F57FC" w14:textId="77777777" w:rsidR="00B1187C" w:rsidRPr="00EF73A9" w:rsidRDefault="00B1187C" w:rsidP="00B1187C">
      <w:pPr>
        <w:spacing w:after="120"/>
        <w:ind w:right="425"/>
        <w:rPr>
          <w:b/>
          <w:lang w:val="en-GB"/>
        </w:rPr>
      </w:pPr>
      <w:r w:rsidRPr="00EF73A9">
        <w:rPr>
          <w:b/>
          <w:lang w:val="en-GB"/>
        </w:rPr>
        <w:lastRenderedPageBreak/>
        <w:t>Where can I go for more information?</w:t>
      </w:r>
    </w:p>
    <w:p w14:paraId="3D7F34B7" w14:textId="77777777" w:rsidR="00B1187C" w:rsidRPr="00EF73A9" w:rsidRDefault="00B1187C" w:rsidP="00B1187C">
      <w:pPr>
        <w:spacing w:after="120"/>
        <w:ind w:right="425"/>
        <w:rPr>
          <w:rStyle w:val="Hyperlink"/>
        </w:rPr>
      </w:pPr>
      <w:r w:rsidRPr="00EF73A9">
        <w:rPr>
          <w:lang w:val="en-GB"/>
        </w:rPr>
        <w:t xml:space="preserve">You can find more information at: </w:t>
      </w:r>
      <w:hyperlink r:id="rId9" w:history="1">
        <w:r w:rsidRPr="00EF73A9">
          <w:rPr>
            <w:rStyle w:val="Hyperlink"/>
          </w:rPr>
          <w:t>https://www.transport.tas.gov.au/latest_news/the_national_heavy_vehicle_regulator_update</w:t>
        </w:r>
      </w:hyperlink>
    </w:p>
    <w:p w14:paraId="541625F9" w14:textId="77777777" w:rsidR="00B1187C" w:rsidRDefault="00B1187C" w:rsidP="00B1187C">
      <w:pPr>
        <w:spacing w:after="120"/>
        <w:ind w:right="425"/>
        <w:rPr>
          <w:lang w:val="en-GB"/>
        </w:rPr>
      </w:pPr>
      <w:r w:rsidRPr="00EF73A9">
        <w:rPr>
          <w:lang w:val="en-GB"/>
        </w:rPr>
        <w:t xml:space="preserve">If you have any queries, please contact either your relevant industry association, or don’t hesitate to get in touch with State Growth or the NHVR directly: </w:t>
      </w:r>
    </w:p>
    <w:p w14:paraId="70BBA4F6" w14:textId="77777777" w:rsidR="00B1187C" w:rsidRPr="00EF73A9" w:rsidRDefault="00B1187C" w:rsidP="00B1187C">
      <w:pPr>
        <w:spacing w:after="120"/>
        <w:ind w:right="425"/>
        <w:rPr>
          <w:lang w:val="en-GB"/>
        </w:rPr>
      </w:pPr>
    </w:p>
    <w:p w14:paraId="69B45399" w14:textId="77777777" w:rsidR="00B1187C" w:rsidRPr="00EF73A9" w:rsidRDefault="00B1187C" w:rsidP="00B1187C">
      <w:pPr>
        <w:spacing w:after="120"/>
        <w:ind w:right="425"/>
        <w:rPr>
          <w:u w:val="single"/>
          <w:lang w:val="en-GB"/>
        </w:rPr>
      </w:pPr>
      <w:r w:rsidRPr="00EF73A9">
        <w:rPr>
          <w:u w:val="single"/>
          <w:lang w:val="en-GB"/>
        </w:rPr>
        <w:t xml:space="preserve">State Growth – Transport Safety and Investigation Unit </w:t>
      </w:r>
    </w:p>
    <w:p w14:paraId="45F7F384" w14:textId="77777777" w:rsidR="00B1187C" w:rsidRPr="00EF73A9" w:rsidRDefault="00B1187C" w:rsidP="00B1187C">
      <w:pPr>
        <w:spacing w:after="120"/>
        <w:ind w:right="425"/>
        <w:rPr>
          <w:lang w:val="en-GB"/>
        </w:rPr>
      </w:pPr>
      <w:r w:rsidRPr="00EF73A9">
        <w:rPr>
          <w:lang w:val="en-GB"/>
        </w:rPr>
        <w:t xml:space="preserve">Phone: (03) 6777 1936 </w:t>
      </w:r>
    </w:p>
    <w:p w14:paraId="5445EE1C" w14:textId="77777777" w:rsidR="00B1187C" w:rsidRPr="00EF73A9" w:rsidRDefault="00B1187C" w:rsidP="00B1187C">
      <w:pPr>
        <w:spacing w:after="120"/>
        <w:ind w:right="425"/>
        <w:rPr>
          <w:lang w:val="en-GB"/>
        </w:rPr>
      </w:pPr>
      <w:r w:rsidRPr="00EF73A9">
        <w:rPr>
          <w:lang w:val="en-GB"/>
        </w:rPr>
        <w:t xml:space="preserve">Email: </w:t>
      </w:r>
      <w:hyperlink r:id="rId10" w:history="1">
        <w:r w:rsidRPr="00EF73A9">
          <w:rPr>
            <w:lang w:val="en-GB"/>
          </w:rPr>
          <w:t>transport.safety@stategrowth.tas.gov.au</w:t>
        </w:r>
      </w:hyperlink>
      <w:r w:rsidRPr="00EF73A9">
        <w:rPr>
          <w:lang w:val="en-GB"/>
        </w:rPr>
        <w:t xml:space="preserve"> </w:t>
      </w:r>
    </w:p>
    <w:p w14:paraId="19CC9C3D" w14:textId="77777777" w:rsidR="00B1187C" w:rsidRPr="00EF73A9" w:rsidRDefault="00B1187C" w:rsidP="00B1187C">
      <w:pPr>
        <w:spacing w:after="120"/>
        <w:ind w:right="425"/>
        <w:rPr>
          <w:lang w:val="en-GB"/>
        </w:rPr>
      </w:pPr>
      <w:r w:rsidRPr="00EF73A9">
        <w:rPr>
          <w:lang w:val="en-GB"/>
        </w:rPr>
        <w:t xml:space="preserve">Postal address: PO Box 1906, Launceston TAS 7250 </w:t>
      </w:r>
    </w:p>
    <w:p w14:paraId="5C2B59FA" w14:textId="77777777" w:rsidR="00E93D38" w:rsidRDefault="00E93D38" w:rsidP="00B1187C">
      <w:pPr>
        <w:spacing w:after="120"/>
        <w:ind w:right="425"/>
        <w:rPr>
          <w:u w:val="single"/>
          <w:lang w:val="en-GB"/>
        </w:rPr>
      </w:pPr>
    </w:p>
    <w:p w14:paraId="5992917F" w14:textId="77777777" w:rsidR="00B1187C" w:rsidRPr="00EF73A9" w:rsidRDefault="00B1187C" w:rsidP="00B1187C">
      <w:pPr>
        <w:spacing w:after="120"/>
        <w:ind w:right="425"/>
        <w:rPr>
          <w:u w:val="single"/>
          <w:lang w:val="en-GB"/>
        </w:rPr>
      </w:pPr>
      <w:r w:rsidRPr="00EF73A9">
        <w:rPr>
          <w:u w:val="single"/>
          <w:lang w:val="en-GB"/>
        </w:rPr>
        <w:t xml:space="preserve">NHVR </w:t>
      </w:r>
    </w:p>
    <w:p w14:paraId="66E49DF6" w14:textId="77777777" w:rsidR="00B1187C" w:rsidRPr="00EF73A9" w:rsidRDefault="00B1187C" w:rsidP="00B1187C">
      <w:pPr>
        <w:spacing w:after="120"/>
        <w:ind w:right="425"/>
        <w:rPr>
          <w:lang w:val="en-GB"/>
        </w:rPr>
      </w:pPr>
      <w:r w:rsidRPr="00EF73A9">
        <w:rPr>
          <w:lang w:val="en-GB"/>
        </w:rPr>
        <w:t xml:space="preserve">Phone: 1300 MYNHVR (1300 696 487) </w:t>
      </w:r>
    </w:p>
    <w:p w14:paraId="6B8CC4A0" w14:textId="77777777" w:rsidR="00B1187C" w:rsidRPr="00EF73A9" w:rsidRDefault="00B1187C" w:rsidP="00B1187C">
      <w:pPr>
        <w:spacing w:after="120"/>
        <w:ind w:right="425"/>
        <w:rPr>
          <w:lang w:val="en-GB"/>
        </w:rPr>
      </w:pPr>
      <w:r w:rsidRPr="00EF73A9">
        <w:rPr>
          <w:lang w:val="en-GB"/>
        </w:rPr>
        <w:t xml:space="preserve">Email: </w:t>
      </w:r>
      <w:hyperlink r:id="rId11" w:history="1">
        <w:r w:rsidRPr="00EF73A9">
          <w:rPr>
            <w:lang w:val="en-GB"/>
          </w:rPr>
          <w:t>tasmania@nhvr.gov.au</w:t>
        </w:r>
      </w:hyperlink>
      <w:r w:rsidRPr="00EF73A9">
        <w:rPr>
          <w:lang w:val="en-GB"/>
        </w:rPr>
        <w:t xml:space="preserve"> </w:t>
      </w:r>
    </w:p>
    <w:p w14:paraId="12601B4C" w14:textId="77777777" w:rsidR="00B1187C" w:rsidRPr="00EF73A9" w:rsidRDefault="00B1187C" w:rsidP="00B1187C">
      <w:pPr>
        <w:spacing w:after="120"/>
        <w:ind w:right="425"/>
        <w:rPr>
          <w:lang w:val="en-GB"/>
        </w:rPr>
      </w:pPr>
      <w:r w:rsidRPr="00EF73A9">
        <w:rPr>
          <w:lang w:val="en-GB"/>
        </w:rPr>
        <w:t xml:space="preserve">Postal address: PO Box 1268, Launceston TAS 7250 </w:t>
      </w:r>
    </w:p>
    <w:p w14:paraId="105EC079" w14:textId="77777777" w:rsidR="00B1187C" w:rsidRPr="00EF73A9" w:rsidRDefault="00B1187C" w:rsidP="00B1187C">
      <w:pPr>
        <w:spacing w:after="120"/>
        <w:ind w:right="425"/>
        <w:rPr>
          <w:lang w:val="en-GB"/>
        </w:rPr>
      </w:pPr>
    </w:p>
    <w:p w14:paraId="1E0A99A2" w14:textId="77777777" w:rsidR="002E181E" w:rsidRDefault="002E181E" w:rsidP="00EF73A9">
      <w:pPr>
        <w:pStyle w:val="Heading1"/>
        <w:spacing w:before="0" w:after="120"/>
        <w:ind w:right="424"/>
        <w:jc w:val="both"/>
        <w:rPr>
          <w:color w:val="009999"/>
          <w:lang w:val="en-GB"/>
        </w:rPr>
      </w:pPr>
      <w:r>
        <w:rPr>
          <w:color w:val="009999"/>
          <w:lang w:val="en-GB"/>
        </w:rPr>
        <w:t>Accreditation</w:t>
      </w:r>
    </w:p>
    <w:p w14:paraId="17B48DC2" w14:textId="77777777" w:rsidR="002E181E" w:rsidRDefault="002E181E" w:rsidP="00B1187C">
      <w:pPr>
        <w:keepNext/>
        <w:spacing w:after="240"/>
        <w:ind w:right="425"/>
        <w:rPr>
          <w:lang w:val="en-GB"/>
        </w:rPr>
      </w:pPr>
      <w:r>
        <w:rPr>
          <w:lang w:val="en-GB"/>
        </w:rPr>
        <w:t xml:space="preserve">Accreditation is important for the safety of passengers, drivers and other road users. Any person providing a passenger transport service in Tasmania must be accredited under the </w:t>
      </w:r>
      <w:r w:rsidRPr="005D7F42">
        <w:rPr>
          <w:i/>
          <w:lang w:val="en-GB"/>
        </w:rPr>
        <w:t xml:space="preserve">Passenger Transport Services Act 2011 </w:t>
      </w:r>
      <w:r>
        <w:rPr>
          <w:lang w:val="en-GB"/>
        </w:rPr>
        <w:t>(the Act).</w:t>
      </w:r>
    </w:p>
    <w:p w14:paraId="04AEFDE8" w14:textId="0627B373" w:rsidR="002E181E" w:rsidRDefault="002E181E" w:rsidP="00B1187C">
      <w:pPr>
        <w:keepNext/>
        <w:spacing w:after="240"/>
        <w:ind w:right="425"/>
        <w:rPr>
          <w:lang w:val="en-GB"/>
        </w:rPr>
      </w:pPr>
      <w:r>
        <w:rPr>
          <w:lang w:val="en-GB"/>
        </w:rPr>
        <w:t>The purpose of accreditation is to ensure that the person operating the service is a fit and proper person, has the appropriate safety, security and related systems in place for the service</w:t>
      </w:r>
      <w:r w:rsidR="00E93D38">
        <w:rPr>
          <w:lang w:val="en-GB"/>
        </w:rPr>
        <w:t>,</w:t>
      </w:r>
      <w:r>
        <w:rPr>
          <w:lang w:val="en-GB"/>
        </w:rPr>
        <w:t xml:space="preserve"> and is competent to manage the risks associated with operating the service.</w:t>
      </w:r>
    </w:p>
    <w:p w14:paraId="484F6A1F" w14:textId="77777777" w:rsidR="002E181E" w:rsidRDefault="002E181E" w:rsidP="00B1187C">
      <w:pPr>
        <w:keepNext/>
        <w:spacing w:after="240"/>
        <w:ind w:right="425"/>
        <w:rPr>
          <w:lang w:val="en-GB"/>
        </w:rPr>
      </w:pPr>
      <w:r>
        <w:rPr>
          <w:lang w:val="en-GB"/>
        </w:rPr>
        <w:t>The accredited operator (if an individual) or the nominated responsible person (if the accredited operator is an organisation) is legally responsible for the accreditation and the day-to-day operation of the service.</w:t>
      </w:r>
    </w:p>
    <w:p w14:paraId="29A713FC" w14:textId="0D8AC887" w:rsidR="002E181E" w:rsidRDefault="002E181E" w:rsidP="00B1187C">
      <w:pPr>
        <w:keepNext/>
        <w:spacing w:after="240"/>
        <w:ind w:right="425"/>
        <w:rPr>
          <w:lang w:val="en-GB"/>
        </w:rPr>
      </w:pPr>
      <w:r>
        <w:rPr>
          <w:lang w:val="en-GB"/>
        </w:rPr>
        <w:t xml:space="preserve">The Transport Commission (Commission) has approved Accreditation Standards which are detailed in the </w:t>
      </w:r>
      <w:r w:rsidRPr="00BC1FF8">
        <w:rPr>
          <w:i/>
          <w:lang w:val="en-GB"/>
        </w:rPr>
        <w:t>Operator Accreditation Manual – Transport Services other than Taxis</w:t>
      </w:r>
      <w:r>
        <w:rPr>
          <w:lang w:val="en-GB"/>
        </w:rPr>
        <w:t xml:space="preserve">.  The Manual is available on State Growth’s website at </w:t>
      </w:r>
      <w:hyperlink r:id="rId12" w:history="1">
        <w:r w:rsidRPr="000A7ECC">
          <w:rPr>
            <w:rStyle w:val="Hyperlink"/>
            <w:lang w:val="en-GB"/>
          </w:rPr>
          <w:t>www.transport.tas.gov.au/passenger/operators</w:t>
        </w:r>
      </w:hyperlink>
      <w:r>
        <w:rPr>
          <w:lang w:val="en-GB"/>
        </w:rPr>
        <w:t>.  Standard 1.2 (Recordkeeping) requires that records for the service are kept up-to-date, stored in a readily accessible and secure place and are available on demand by an approved auditor.</w:t>
      </w:r>
    </w:p>
    <w:p w14:paraId="09B67388" w14:textId="2791AEEF" w:rsidR="002E181E" w:rsidRDefault="002E181E" w:rsidP="00B1187C">
      <w:pPr>
        <w:keepNext/>
        <w:spacing w:after="240"/>
        <w:ind w:right="425"/>
        <w:rPr>
          <w:lang w:val="en-GB"/>
        </w:rPr>
      </w:pPr>
      <w:r>
        <w:rPr>
          <w:lang w:val="en-GB"/>
        </w:rPr>
        <w:t xml:space="preserve">The usual conditions of accreditation require that an audit report and National Police Certificate (NPC) for the operator (or nominated responsible person) is supplied to the Commission at regular, scheduled intervals.  The dates by which an audit report and NPC </w:t>
      </w:r>
      <w:r w:rsidR="00E93D38">
        <w:rPr>
          <w:lang w:val="en-GB"/>
        </w:rPr>
        <w:t>are</w:t>
      </w:r>
      <w:r>
        <w:rPr>
          <w:lang w:val="en-GB"/>
        </w:rPr>
        <w:t xml:space="preserve"> due to be supplied, </w:t>
      </w:r>
      <w:r w:rsidR="00E93D38">
        <w:rPr>
          <w:lang w:val="en-GB"/>
        </w:rPr>
        <w:t>are</w:t>
      </w:r>
      <w:r>
        <w:rPr>
          <w:lang w:val="en-GB"/>
        </w:rPr>
        <w:t xml:space="preserve"> printed on the accreditation certificate.  The Act makes it an offence for the person holding accreditation, or the nominated responsible person</w:t>
      </w:r>
      <w:r w:rsidR="00E93D38">
        <w:rPr>
          <w:lang w:val="en-GB"/>
        </w:rPr>
        <w:t>,</w:t>
      </w:r>
      <w:r>
        <w:rPr>
          <w:lang w:val="en-GB"/>
        </w:rPr>
        <w:t xml:space="preserve"> to contravene a condition of accreditation.</w:t>
      </w:r>
    </w:p>
    <w:p w14:paraId="377AD8BC" w14:textId="77777777" w:rsidR="00B1187C" w:rsidRDefault="00B1187C">
      <w:pPr>
        <w:rPr>
          <w:lang w:val="en-GB"/>
        </w:rPr>
      </w:pPr>
      <w:r>
        <w:rPr>
          <w:lang w:val="en-GB"/>
        </w:rPr>
        <w:br w:type="page"/>
      </w:r>
    </w:p>
    <w:p w14:paraId="7ED98434" w14:textId="77777777" w:rsidR="00B1187C" w:rsidRDefault="002E181E" w:rsidP="00B1187C">
      <w:pPr>
        <w:keepNext/>
        <w:spacing w:after="240"/>
        <w:ind w:right="425"/>
        <w:rPr>
          <w:lang w:val="en-GB"/>
        </w:rPr>
      </w:pPr>
      <w:r>
        <w:rPr>
          <w:lang w:val="en-GB"/>
        </w:rPr>
        <w:lastRenderedPageBreak/>
        <w:t>When an audit report and/or NPC is received, the accreditation is reviewed.  The Commission must be satisfied that the systems in place for the service conform to the Accreditation Standards and the service complies with the Regulatory Framework.  All information available to the Passenger Transport Branch relating to the accreditation is</w:t>
      </w:r>
      <w:r w:rsidR="009C49CC">
        <w:rPr>
          <w:lang w:val="en-GB"/>
        </w:rPr>
        <w:t xml:space="preserve"> </w:t>
      </w:r>
      <w:r>
        <w:rPr>
          <w:lang w:val="en-GB"/>
        </w:rPr>
        <w:t>considered.  Concern about whether the appropriate systems are in place may arise for a number of reasons including if information suggests that a vehicle used to provide the service:</w:t>
      </w:r>
    </w:p>
    <w:p w14:paraId="79B1ABE8" w14:textId="5246B682" w:rsidR="002E181E" w:rsidRDefault="002E181E" w:rsidP="00716ABE">
      <w:pPr>
        <w:pStyle w:val="ListParagraph"/>
        <w:numPr>
          <w:ilvl w:val="0"/>
          <w:numId w:val="22"/>
        </w:numPr>
        <w:spacing w:after="120"/>
        <w:ind w:left="714" w:right="425" w:hanging="357"/>
        <w:rPr>
          <w:lang w:val="en-GB"/>
        </w:rPr>
      </w:pPr>
      <w:r>
        <w:rPr>
          <w:lang w:val="en-GB"/>
        </w:rPr>
        <w:t>was unregistered for a period of time</w:t>
      </w:r>
      <w:r w:rsidR="00E93D38">
        <w:rPr>
          <w:lang w:val="en-GB"/>
        </w:rPr>
        <w:t>;</w:t>
      </w:r>
    </w:p>
    <w:p w14:paraId="301CEE93" w14:textId="7DD487BE" w:rsidR="002E181E" w:rsidRDefault="002E181E" w:rsidP="00716ABE">
      <w:pPr>
        <w:pStyle w:val="ListParagraph"/>
        <w:numPr>
          <w:ilvl w:val="0"/>
          <w:numId w:val="22"/>
        </w:numPr>
        <w:spacing w:after="120"/>
        <w:ind w:left="714" w:right="425" w:hanging="357"/>
        <w:rPr>
          <w:lang w:val="en-GB"/>
        </w:rPr>
      </w:pPr>
      <w:r>
        <w:rPr>
          <w:lang w:val="en-GB"/>
        </w:rPr>
        <w:t>was not presented for a roadworthy inspection by the due date</w:t>
      </w:r>
      <w:r w:rsidR="00E93D38">
        <w:rPr>
          <w:lang w:val="en-GB"/>
        </w:rPr>
        <w:t>;</w:t>
      </w:r>
    </w:p>
    <w:p w14:paraId="60F94AA7" w14:textId="7AF1BA66" w:rsidR="002E181E" w:rsidRDefault="002E181E" w:rsidP="00716ABE">
      <w:pPr>
        <w:pStyle w:val="ListParagraph"/>
        <w:numPr>
          <w:ilvl w:val="0"/>
          <w:numId w:val="22"/>
        </w:numPr>
        <w:spacing w:after="120"/>
        <w:ind w:left="714" w:right="425" w:hanging="357"/>
        <w:rPr>
          <w:lang w:val="en-GB"/>
        </w:rPr>
      </w:pPr>
      <w:r>
        <w:rPr>
          <w:lang w:val="en-GB"/>
        </w:rPr>
        <w:t>did not meet vehicle standards when it is presented for inspection</w:t>
      </w:r>
      <w:r w:rsidR="00E93D38">
        <w:rPr>
          <w:lang w:val="en-GB"/>
        </w:rPr>
        <w:t>; and/or</w:t>
      </w:r>
    </w:p>
    <w:p w14:paraId="56B1CCEC" w14:textId="2688CE25" w:rsidR="002E181E" w:rsidRDefault="002E181E" w:rsidP="00716ABE">
      <w:pPr>
        <w:pStyle w:val="ListParagraph"/>
        <w:numPr>
          <w:ilvl w:val="0"/>
          <w:numId w:val="22"/>
        </w:numPr>
        <w:spacing w:after="120"/>
        <w:ind w:left="714" w:right="425" w:hanging="357"/>
        <w:rPr>
          <w:lang w:val="en-GB"/>
        </w:rPr>
      </w:pPr>
      <w:r>
        <w:rPr>
          <w:lang w:val="en-GB"/>
        </w:rPr>
        <w:t>was issued a defect notice</w:t>
      </w:r>
      <w:r w:rsidR="00E93D38">
        <w:rPr>
          <w:lang w:val="en-GB"/>
        </w:rPr>
        <w:t>.</w:t>
      </w:r>
    </w:p>
    <w:p w14:paraId="7E0F54EB" w14:textId="77777777" w:rsidR="002E181E" w:rsidRDefault="002E181E" w:rsidP="002E181E">
      <w:pPr>
        <w:keepNext/>
        <w:spacing w:after="120"/>
        <w:ind w:right="425"/>
        <w:rPr>
          <w:lang w:val="en-GB"/>
        </w:rPr>
      </w:pPr>
      <w:r>
        <w:rPr>
          <w:lang w:val="en-GB"/>
        </w:rPr>
        <w:t>The Act gives the Commission power on a number of grounds to take action against an accreditation which may include:</w:t>
      </w:r>
    </w:p>
    <w:p w14:paraId="2D39BDBF" w14:textId="69593B47" w:rsidR="002E181E" w:rsidRDefault="002E181E" w:rsidP="002E181E">
      <w:pPr>
        <w:pStyle w:val="ListParagraph"/>
        <w:keepNext/>
        <w:numPr>
          <w:ilvl w:val="0"/>
          <w:numId w:val="23"/>
        </w:numPr>
        <w:spacing w:after="120"/>
        <w:ind w:right="425"/>
        <w:rPr>
          <w:lang w:val="en-GB"/>
        </w:rPr>
      </w:pPr>
      <w:r>
        <w:rPr>
          <w:lang w:val="en-GB"/>
        </w:rPr>
        <w:t>requiring information to be supplied</w:t>
      </w:r>
      <w:r w:rsidR="00E93D38">
        <w:rPr>
          <w:lang w:val="en-GB"/>
        </w:rPr>
        <w:t>;</w:t>
      </w:r>
    </w:p>
    <w:p w14:paraId="1B312454" w14:textId="1F440AD5" w:rsidR="002E181E" w:rsidRDefault="002E181E" w:rsidP="002E181E">
      <w:pPr>
        <w:pStyle w:val="ListParagraph"/>
        <w:keepNext/>
        <w:numPr>
          <w:ilvl w:val="0"/>
          <w:numId w:val="23"/>
        </w:numPr>
        <w:spacing w:after="120"/>
        <w:ind w:right="425"/>
        <w:rPr>
          <w:lang w:val="en-GB"/>
        </w:rPr>
      </w:pPr>
      <w:r>
        <w:rPr>
          <w:lang w:val="en-GB"/>
        </w:rPr>
        <w:t>varying a condition of the accreditation to provide that an audit report is to be supplied</w:t>
      </w:r>
      <w:r w:rsidR="00E93D38">
        <w:rPr>
          <w:lang w:val="en-GB"/>
        </w:rPr>
        <w:t>;</w:t>
      </w:r>
    </w:p>
    <w:p w14:paraId="474B591F" w14:textId="10604069" w:rsidR="002E181E" w:rsidRDefault="002E181E" w:rsidP="002E181E">
      <w:pPr>
        <w:pStyle w:val="ListParagraph"/>
        <w:keepNext/>
        <w:numPr>
          <w:ilvl w:val="0"/>
          <w:numId w:val="23"/>
        </w:numPr>
        <w:spacing w:after="120"/>
        <w:ind w:right="425"/>
        <w:rPr>
          <w:lang w:val="en-GB"/>
        </w:rPr>
      </w:pPr>
      <w:r>
        <w:rPr>
          <w:lang w:val="en-GB"/>
        </w:rPr>
        <w:t>imposing probationary status on the accreditation</w:t>
      </w:r>
      <w:r w:rsidR="00E93D38">
        <w:rPr>
          <w:lang w:val="en-GB"/>
        </w:rPr>
        <w:t>; and</w:t>
      </w:r>
    </w:p>
    <w:p w14:paraId="30A6D35A" w14:textId="5793A401" w:rsidR="002E181E" w:rsidRDefault="002E181E" w:rsidP="002E181E">
      <w:pPr>
        <w:pStyle w:val="ListParagraph"/>
        <w:keepNext/>
        <w:numPr>
          <w:ilvl w:val="0"/>
          <w:numId w:val="23"/>
        </w:numPr>
        <w:spacing w:after="120"/>
        <w:ind w:right="425"/>
        <w:rPr>
          <w:lang w:val="en-GB"/>
        </w:rPr>
      </w:pPr>
      <w:r>
        <w:rPr>
          <w:lang w:val="en-GB"/>
        </w:rPr>
        <w:t>suspending or cancelling the accreditation</w:t>
      </w:r>
      <w:r w:rsidR="00E93D38">
        <w:rPr>
          <w:lang w:val="en-GB"/>
        </w:rPr>
        <w:t>.</w:t>
      </w:r>
    </w:p>
    <w:p w14:paraId="0B06FC6A" w14:textId="786EFA64" w:rsidR="002E181E" w:rsidRDefault="002E181E" w:rsidP="00EF73A9">
      <w:pPr>
        <w:keepNext/>
        <w:spacing w:after="120"/>
        <w:ind w:right="425"/>
        <w:rPr>
          <w:lang w:val="en-GB"/>
        </w:rPr>
      </w:pPr>
      <w:r>
        <w:rPr>
          <w:lang w:val="en-GB"/>
        </w:rPr>
        <w:t xml:space="preserve">For any enquiries relating to passenger transport services operator accreditation, </w:t>
      </w:r>
      <w:r w:rsidR="00934DBE">
        <w:rPr>
          <w:lang w:val="en-GB"/>
        </w:rPr>
        <w:t xml:space="preserve">please </w:t>
      </w:r>
      <w:r>
        <w:rPr>
          <w:lang w:val="en-GB"/>
        </w:rPr>
        <w:t>contact the Regulations and Concessions Unit on (03) 6166 3269</w:t>
      </w:r>
      <w:r w:rsidR="009C49CC">
        <w:rPr>
          <w:lang w:val="en-GB"/>
        </w:rPr>
        <w:t>.</w:t>
      </w:r>
    </w:p>
    <w:p w14:paraId="260E2462" w14:textId="77777777" w:rsidR="00EF73A9" w:rsidRDefault="00EF73A9" w:rsidP="00EF73A9">
      <w:pPr>
        <w:keepNext/>
        <w:spacing w:after="120"/>
        <w:ind w:right="425"/>
        <w:rPr>
          <w:lang w:val="en-GB"/>
        </w:rPr>
      </w:pPr>
    </w:p>
    <w:p w14:paraId="07968E16" w14:textId="77777777" w:rsidR="00EF73A9" w:rsidRPr="00722AE9" w:rsidRDefault="00EF73A9" w:rsidP="00EF73A9">
      <w:pPr>
        <w:pStyle w:val="Heading1"/>
        <w:spacing w:before="0" w:after="120"/>
        <w:ind w:right="424"/>
        <w:jc w:val="both"/>
        <w:rPr>
          <w:color w:val="009999"/>
          <w:lang w:val="en-GB"/>
        </w:rPr>
      </w:pPr>
      <w:r w:rsidRPr="00722AE9">
        <w:rPr>
          <w:color w:val="009999"/>
          <w:lang w:val="en-GB"/>
        </w:rPr>
        <w:t xml:space="preserve">Making changes to your services </w:t>
      </w:r>
    </w:p>
    <w:p w14:paraId="35D5843C" w14:textId="1AF0BCA0" w:rsidR="00EF73A9" w:rsidRDefault="00EF73A9" w:rsidP="00EF73A9">
      <w:pPr>
        <w:keepNext/>
        <w:spacing w:after="120"/>
        <w:ind w:right="425"/>
        <w:rPr>
          <w:lang w:val="en-GB"/>
        </w:rPr>
      </w:pPr>
      <w:r>
        <w:rPr>
          <w:lang w:val="en-GB"/>
        </w:rPr>
        <w:t xml:space="preserve">From time to time, you may get requests to change your service. For example, a school principal might ask you to change the time that you collect students after school, or a parent might ask you to detour up a road to collect their child. </w:t>
      </w:r>
    </w:p>
    <w:p w14:paraId="5B3ECC02" w14:textId="7E21BD63" w:rsidR="00EF73A9" w:rsidRDefault="00EF73A9" w:rsidP="00EF73A9">
      <w:pPr>
        <w:keepNext/>
        <w:spacing w:after="120"/>
        <w:ind w:right="425"/>
        <w:rPr>
          <w:lang w:val="en-GB"/>
        </w:rPr>
      </w:pPr>
      <w:r>
        <w:rPr>
          <w:lang w:val="en-GB"/>
        </w:rPr>
        <w:t xml:space="preserve">It is very important </w:t>
      </w:r>
      <w:r w:rsidR="00934DBE">
        <w:rPr>
          <w:lang w:val="en-GB"/>
        </w:rPr>
        <w:t xml:space="preserve">for you to </w:t>
      </w:r>
      <w:r>
        <w:rPr>
          <w:lang w:val="en-GB"/>
        </w:rPr>
        <w:t xml:space="preserve">remember that any changes made to your service must be agreed to by the State Growth, and must be documented as a contract variation before the changes can commence. </w:t>
      </w:r>
    </w:p>
    <w:p w14:paraId="13255D3E" w14:textId="77777777" w:rsidR="00EF73A9" w:rsidRDefault="00EF73A9" w:rsidP="00EF73A9">
      <w:pPr>
        <w:keepNext/>
        <w:spacing w:after="120"/>
        <w:ind w:right="425"/>
        <w:rPr>
          <w:lang w:val="en-GB"/>
        </w:rPr>
      </w:pPr>
      <w:r>
        <w:rPr>
          <w:lang w:val="en-GB"/>
        </w:rPr>
        <w:t xml:space="preserve">Your contracted route and timetable is detailed in Schedule 1 (Approved Route and Approved Timetable) of your contract. If you operate your service differently to what is documented in Schedule 1 you could be at risk of having non-compliance points recorded against your contract, and performance payments deducted from your payment. </w:t>
      </w:r>
    </w:p>
    <w:p w14:paraId="1B76D84F" w14:textId="6F6B76FF" w:rsidR="00EF73A9" w:rsidRDefault="00EF73A9" w:rsidP="00EF73A9">
      <w:pPr>
        <w:keepNext/>
        <w:spacing w:after="120"/>
        <w:ind w:right="425"/>
        <w:rPr>
          <w:lang w:val="en-GB"/>
        </w:rPr>
      </w:pPr>
      <w:r>
        <w:rPr>
          <w:lang w:val="en-GB"/>
        </w:rPr>
        <w:t xml:space="preserve">If you believe that a change is required to Schedule 1 of your contract, please submit a request to State Growth in writing </w:t>
      </w:r>
      <w:r w:rsidR="00E93D38">
        <w:rPr>
          <w:lang w:val="en-GB"/>
        </w:rPr>
        <w:t>to</w:t>
      </w:r>
      <w:r>
        <w:rPr>
          <w:lang w:val="en-GB"/>
        </w:rPr>
        <w:t xml:space="preserve"> </w:t>
      </w:r>
      <w:hyperlink r:id="rId13" w:history="1">
        <w:r w:rsidRPr="00352F71">
          <w:rPr>
            <w:rStyle w:val="Hyperlink"/>
            <w:lang w:val="en-GB"/>
          </w:rPr>
          <w:t>ptscontracts@stategrowth.tas.gov.au</w:t>
        </w:r>
      </w:hyperlink>
      <w:r>
        <w:rPr>
          <w:lang w:val="en-GB"/>
        </w:rPr>
        <w:t xml:space="preserve">. State Growth will consider the request with reference to established Guidelines (where applicable) and/or principles for the provision of regular passenger transport services. </w:t>
      </w:r>
    </w:p>
    <w:p w14:paraId="39551ECC" w14:textId="095602E8" w:rsidR="00EF73A9" w:rsidRDefault="00EF73A9" w:rsidP="00EF73A9">
      <w:pPr>
        <w:spacing w:after="120"/>
        <w:ind w:right="425"/>
        <w:rPr>
          <w:lang w:val="en-GB"/>
        </w:rPr>
      </w:pPr>
      <w:r>
        <w:rPr>
          <w:lang w:val="en-GB"/>
        </w:rPr>
        <w:t xml:space="preserve">As you will appreciate, it is important that bus services remain reliable and consistent across Tasmania so State Growth is not always in a position to agree </w:t>
      </w:r>
      <w:r w:rsidR="00934DBE">
        <w:rPr>
          <w:lang w:val="en-GB"/>
        </w:rPr>
        <w:t xml:space="preserve">to </w:t>
      </w:r>
      <w:r>
        <w:rPr>
          <w:lang w:val="en-GB"/>
        </w:rPr>
        <w:t>variation requests. However</w:t>
      </w:r>
      <w:r w:rsidR="00E93D38">
        <w:rPr>
          <w:lang w:val="en-GB"/>
        </w:rPr>
        <w:t>,</w:t>
      </w:r>
      <w:r>
        <w:rPr>
          <w:lang w:val="en-GB"/>
        </w:rPr>
        <w:t xml:space="preserve"> each request is considered on its merits and in line with the above-mentioned Guidelines and principles. For a copy of the Guidelines, please refer to the Transport website: </w:t>
      </w:r>
      <w:hyperlink r:id="rId14" w:history="1">
        <w:r w:rsidRPr="00352F71">
          <w:rPr>
            <w:rStyle w:val="Hyperlink"/>
            <w:lang w:val="en-GB"/>
          </w:rPr>
          <w:t>https://www.transport.tas.gov.au/passenger/student_travel</w:t>
        </w:r>
      </w:hyperlink>
      <w:r>
        <w:rPr>
          <w:lang w:val="en-GB"/>
        </w:rPr>
        <w:t xml:space="preserve"> </w:t>
      </w:r>
    </w:p>
    <w:p w14:paraId="118B589F" w14:textId="77777777" w:rsidR="00EF73A9" w:rsidRDefault="00EF73A9" w:rsidP="00EF73A9">
      <w:pPr>
        <w:spacing w:after="120"/>
        <w:ind w:right="425"/>
        <w:rPr>
          <w:lang w:val="en-GB"/>
        </w:rPr>
      </w:pPr>
    </w:p>
    <w:p w14:paraId="29D37D71" w14:textId="77777777" w:rsidR="00EF73A9" w:rsidRPr="00144AD4" w:rsidRDefault="00EF73A9" w:rsidP="00EF73A9">
      <w:pPr>
        <w:pStyle w:val="Heading1"/>
        <w:spacing w:before="0" w:after="120"/>
        <w:ind w:right="424"/>
        <w:jc w:val="both"/>
        <w:rPr>
          <w:color w:val="009999"/>
          <w:highlight w:val="yellow"/>
          <w:lang w:val="en-GB"/>
        </w:rPr>
      </w:pPr>
      <w:r>
        <w:rPr>
          <w:color w:val="009999"/>
          <w:lang w:val="en-GB"/>
        </w:rPr>
        <w:t>Liaison Officers</w:t>
      </w:r>
    </w:p>
    <w:p w14:paraId="31801BF0" w14:textId="0F262E17" w:rsidR="00EF73A9" w:rsidRDefault="00EF73A9" w:rsidP="00251D29">
      <w:pPr>
        <w:keepNext/>
        <w:spacing w:after="120"/>
        <w:ind w:right="425"/>
        <w:rPr>
          <w:lang w:val="en-GB"/>
        </w:rPr>
      </w:pPr>
      <w:r w:rsidRPr="00EF73A9">
        <w:rPr>
          <w:lang w:val="en-GB"/>
        </w:rPr>
        <w:t xml:space="preserve">We understand that all </w:t>
      </w:r>
      <w:r>
        <w:rPr>
          <w:lang w:val="en-GB"/>
        </w:rPr>
        <w:t xml:space="preserve">bus </w:t>
      </w:r>
      <w:r w:rsidRPr="00EF73A9">
        <w:rPr>
          <w:lang w:val="en-GB"/>
        </w:rPr>
        <w:t xml:space="preserve">operators need </w:t>
      </w:r>
      <w:r>
        <w:rPr>
          <w:lang w:val="en-GB"/>
        </w:rPr>
        <w:t xml:space="preserve">to take </w:t>
      </w:r>
      <w:r w:rsidRPr="00EF73A9">
        <w:rPr>
          <w:lang w:val="en-GB"/>
        </w:rPr>
        <w:t xml:space="preserve">holidays, </w:t>
      </w:r>
      <w:r>
        <w:rPr>
          <w:lang w:val="en-GB"/>
        </w:rPr>
        <w:t xml:space="preserve">however we would like to remind you </w:t>
      </w:r>
      <w:r w:rsidRPr="00EF73A9">
        <w:rPr>
          <w:lang w:val="en-GB"/>
        </w:rPr>
        <w:t>that it is very important to have someone available at all times to deal with contractual matters, including someone that can sign contract</w:t>
      </w:r>
      <w:r>
        <w:rPr>
          <w:lang w:val="en-GB"/>
        </w:rPr>
        <w:t xml:space="preserve"> documents</w:t>
      </w:r>
      <w:r w:rsidRPr="00EF73A9">
        <w:rPr>
          <w:lang w:val="en-GB"/>
        </w:rPr>
        <w:t>. This is usually the Liaison Officer</w:t>
      </w:r>
      <w:r w:rsidR="00B651B7">
        <w:rPr>
          <w:lang w:val="en-GB"/>
        </w:rPr>
        <w:t>. I</w:t>
      </w:r>
      <w:r w:rsidRPr="00EF73A9">
        <w:rPr>
          <w:lang w:val="en-GB"/>
        </w:rPr>
        <w:t xml:space="preserve">f </w:t>
      </w:r>
      <w:r w:rsidR="00B651B7">
        <w:rPr>
          <w:lang w:val="en-GB"/>
        </w:rPr>
        <w:t>your usual Liaison Officer will be</w:t>
      </w:r>
      <w:r w:rsidRPr="00EF73A9">
        <w:rPr>
          <w:lang w:val="en-GB"/>
        </w:rPr>
        <w:t xml:space="preserve"> </w:t>
      </w:r>
      <w:r w:rsidR="00B651B7">
        <w:rPr>
          <w:lang w:val="en-GB"/>
        </w:rPr>
        <w:t>un</w:t>
      </w:r>
      <w:r w:rsidRPr="00EF73A9">
        <w:rPr>
          <w:lang w:val="en-GB"/>
        </w:rPr>
        <w:t xml:space="preserve">available </w:t>
      </w:r>
      <w:r w:rsidR="00B651B7">
        <w:rPr>
          <w:lang w:val="en-GB"/>
        </w:rPr>
        <w:t xml:space="preserve">for a period, </w:t>
      </w:r>
      <w:r w:rsidRPr="00EF73A9">
        <w:rPr>
          <w:lang w:val="en-GB"/>
        </w:rPr>
        <w:t>we would appreciate</w:t>
      </w:r>
      <w:r w:rsidR="00B651B7">
        <w:rPr>
          <w:lang w:val="en-GB"/>
        </w:rPr>
        <w:t xml:space="preserve"> notification of</w:t>
      </w:r>
      <w:r w:rsidRPr="00EF73A9">
        <w:rPr>
          <w:lang w:val="en-GB"/>
        </w:rPr>
        <w:t xml:space="preserve"> alternative arrangements</w:t>
      </w:r>
      <w:r w:rsidR="00B651B7">
        <w:rPr>
          <w:lang w:val="en-GB"/>
        </w:rPr>
        <w:t>.</w:t>
      </w:r>
      <w:r w:rsidRPr="00EF73A9">
        <w:rPr>
          <w:lang w:val="en-GB"/>
        </w:rPr>
        <w:t xml:space="preserve"> </w:t>
      </w:r>
      <w:r w:rsidR="00B651B7">
        <w:rPr>
          <w:lang w:val="en-GB"/>
        </w:rPr>
        <w:t xml:space="preserve">This can be done by </w:t>
      </w:r>
      <w:r w:rsidRPr="00EF73A9">
        <w:rPr>
          <w:lang w:val="en-GB"/>
        </w:rPr>
        <w:t xml:space="preserve">submitting a Liaison and Reporting form </w:t>
      </w:r>
      <w:r w:rsidR="00B651B7">
        <w:rPr>
          <w:lang w:val="en-GB"/>
        </w:rPr>
        <w:t xml:space="preserve">to nominate </w:t>
      </w:r>
      <w:r w:rsidRPr="00EF73A9">
        <w:rPr>
          <w:lang w:val="en-GB"/>
        </w:rPr>
        <w:t>an alternat</w:t>
      </w:r>
      <w:r w:rsidR="00B651B7">
        <w:rPr>
          <w:lang w:val="en-GB"/>
        </w:rPr>
        <w:t>ive</w:t>
      </w:r>
      <w:r w:rsidRPr="00EF73A9">
        <w:rPr>
          <w:lang w:val="en-GB"/>
        </w:rPr>
        <w:t xml:space="preserve"> Liaison Officer. To obtain a new form contact the Contracts team on 6166</w:t>
      </w:r>
      <w:r>
        <w:rPr>
          <w:lang w:val="en-GB"/>
        </w:rPr>
        <w:t xml:space="preserve"> </w:t>
      </w:r>
      <w:r w:rsidRPr="00EF73A9">
        <w:rPr>
          <w:lang w:val="en-GB"/>
        </w:rPr>
        <w:t xml:space="preserve">3343 or </w:t>
      </w:r>
      <w:r>
        <w:rPr>
          <w:lang w:val="en-GB"/>
        </w:rPr>
        <w:t xml:space="preserve">email </w:t>
      </w:r>
      <w:hyperlink r:id="rId15" w:history="1">
        <w:r w:rsidRPr="00EF73A9">
          <w:rPr>
            <w:rStyle w:val="Hyperlink"/>
          </w:rPr>
          <w:t>ptscontracts@stategrowth.tas.gov.au</w:t>
        </w:r>
      </w:hyperlink>
      <w:r>
        <w:rPr>
          <w:lang w:val="en-GB"/>
        </w:rPr>
        <w:t xml:space="preserve"> </w:t>
      </w:r>
    </w:p>
    <w:p w14:paraId="1ABC8F65" w14:textId="08C1148B" w:rsidR="00E743D4" w:rsidRDefault="00EF73A9" w:rsidP="00EF73A9">
      <w:pPr>
        <w:pStyle w:val="Heading1"/>
        <w:spacing w:before="0" w:after="120"/>
        <w:ind w:right="424"/>
        <w:jc w:val="both"/>
        <w:rPr>
          <w:color w:val="009999"/>
          <w:lang w:val="en-GB"/>
        </w:rPr>
      </w:pPr>
      <w:r>
        <w:rPr>
          <w:color w:val="009999"/>
          <w:lang w:val="en-GB"/>
        </w:rPr>
        <w:br w:type="page"/>
      </w:r>
      <w:r w:rsidR="00E743D4">
        <w:rPr>
          <w:color w:val="009999"/>
          <w:lang w:val="en-GB"/>
        </w:rPr>
        <w:lastRenderedPageBreak/>
        <w:t xml:space="preserve">Bus cost model index (BCMI) </w:t>
      </w:r>
    </w:p>
    <w:p w14:paraId="4ED5DAED" w14:textId="77777777" w:rsidR="009C49CC" w:rsidRDefault="00E743D4" w:rsidP="00E743D4">
      <w:pPr>
        <w:spacing w:after="120"/>
        <w:rPr>
          <w:lang w:val="en-GB"/>
        </w:rPr>
      </w:pPr>
      <w:r>
        <w:rPr>
          <w:lang w:val="en-GB"/>
        </w:rPr>
        <w:t xml:space="preserve">The BCMI </w:t>
      </w:r>
      <w:r w:rsidR="009C49CC">
        <w:rPr>
          <w:lang w:val="en-GB"/>
        </w:rPr>
        <w:t>for all months for 2018 is as follows:</w:t>
      </w:r>
    </w:p>
    <w:tbl>
      <w:tblPr>
        <w:tblStyle w:val="GridTable4-Accent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1701"/>
        <w:gridCol w:w="1701"/>
        <w:gridCol w:w="1701"/>
      </w:tblGrid>
      <w:tr w:rsidR="00EF73A9" w14:paraId="62758A6B" w14:textId="77777777" w:rsidTr="00EF73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auto"/>
            <w:vAlign w:val="center"/>
          </w:tcPr>
          <w:p w14:paraId="7D3C89A4" w14:textId="77777777" w:rsidR="00EF73A9" w:rsidRPr="00EF73A9" w:rsidRDefault="00EF73A9" w:rsidP="00EF73A9">
            <w:pPr>
              <w:rPr>
                <w:b w:val="0"/>
                <w:color w:val="009999"/>
                <w:lang w:val="en-GB"/>
              </w:rPr>
            </w:pPr>
            <w:r w:rsidRPr="00EF73A9">
              <w:rPr>
                <w:color w:val="009999"/>
                <w:lang w:val="en-GB"/>
              </w:rPr>
              <w:t>Month</w:t>
            </w:r>
          </w:p>
        </w:tc>
        <w:tc>
          <w:tcPr>
            <w:tcW w:w="1701" w:type="dxa"/>
            <w:shd w:val="clear" w:color="auto" w:fill="auto"/>
            <w:vAlign w:val="center"/>
          </w:tcPr>
          <w:p w14:paraId="167946BA" w14:textId="77777777" w:rsidR="00EF73A9" w:rsidRPr="00EF73A9" w:rsidRDefault="00EF73A9" w:rsidP="00EF73A9">
            <w:pPr>
              <w:jc w:val="center"/>
              <w:cnfStyle w:val="100000000000" w:firstRow="1" w:lastRow="0" w:firstColumn="0" w:lastColumn="0" w:oddVBand="0" w:evenVBand="0" w:oddHBand="0" w:evenHBand="0" w:firstRowFirstColumn="0" w:firstRowLastColumn="0" w:lastRowFirstColumn="0" w:lastRowLastColumn="0"/>
              <w:rPr>
                <w:b w:val="0"/>
                <w:color w:val="009999"/>
                <w:lang w:val="en-GB"/>
              </w:rPr>
            </w:pPr>
            <w:r w:rsidRPr="00EF73A9">
              <w:rPr>
                <w:color w:val="009999"/>
                <w:lang w:val="en-GB"/>
              </w:rPr>
              <w:t>BCMI</w:t>
            </w:r>
          </w:p>
        </w:tc>
        <w:tc>
          <w:tcPr>
            <w:tcW w:w="1701" w:type="dxa"/>
            <w:shd w:val="clear" w:color="auto" w:fill="FFFFFF" w:themeFill="background1"/>
            <w:vAlign w:val="center"/>
          </w:tcPr>
          <w:p w14:paraId="459B01A5" w14:textId="77777777" w:rsidR="00EF73A9" w:rsidRPr="00EF73A9" w:rsidRDefault="00EF73A9" w:rsidP="00EF73A9">
            <w:pPr>
              <w:jc w:val="center"/>
              <w:cnfStyle w:val="100000000000" w:firstRow="1" w:lastRow="0" w:firstColumn="0" w:lastColumn="0" w:oddVBand="0" w:evenVBand="0" w:oddHBand="0" w:evenHBand="0" w:firstRowFirstColumn="0" w:firstRowLastColumn="0" w:lastRowFirstColumn="0" w:lastRowLastColumn="0"/>
              <w:rPr>
                <w:color w:val="009999"/>
                <w:lang w:val="en-GB"/>
              </w:rPr>
            </w:pPr>
            <w:r w:rsidRPr="00722AE9">
              <w:rPr>
                <w:color w:val="009999"/>
                <w:lang w:val="en-GB"/>
              </w:rPr>
              <w:t>Month</w:t>
            </w:r>
          </w:p>
        </w:tc>
        <w:tc>
          <w:tcPr>
            <w:tcW w:w="1701" w:type="dxa"/>
            <w:shd w:val="clear" w:color="auto" w:fill="FFFFFF" w:themeFill="background1"/>
            <w:vAlign w:val="center"/>
          </w:tcPr>
          <w:p w14:paraId="669AF9FF" w14:textId="77777777" w:rsidR="00EF73A9" w:rsidRPr="00EF73A9" w:rsidRDefault="00EF73A9" w:rsidP="00EF73A9">
            <w:pPr>
              <w:jc w:val="center"/>
              <w:cnfStyle w:val="100000000000" w:firstRow="1" w:lastRow="0" w:firstColumn="0" w:lastColumn="0" w:oddVBand="0" w:evenVBand="0" w:oddHBand="0" w:evenHBand="0" w:firstRowFirstColumn="0" w:firstRowLastColumn="0" w:lastRowFirstColumn="0" w:lastRowLastColumn="0"/>
              <w:rPr>
                <w:color w:val="009999"/>
                <w:lang w:val="en-GB"/>
              </w:rPr>
            </w:pPr>
            <w:r w:rsidRPr="00722AE9">
              <w:rPr>
                <w:color w:val="009999"/>
                <w:lang w:val="en-GB"/>
              </w:rPr>
              <w:t>BCMI</w:t>
            </w:r>
          </w:p>
        </w:tc>
      </w:tr>
      <w:tr w:rsidR="00EF73A9" w14:paraId="2F775EC7" w14:textId="77777777" w:rsidTr="00EF73A9">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1838" w:type="dxa"/>
            <w:shd w:val="clear" w:color="auto" w:fill="BDD6EE" w:themeFill="accent1" w:themeFillTint="66"/>
            <w:vAlign w:val="center"/>
          </w:tcPr>
          <w:p w14:paraId="524C2275" w14:textId="77777777" w:rsidR="00EF73A9" w:rsidRPr="00EF73A9" w:rsidRDefault="00EF73A9" w:rsidP="00EF73A9">
            <w:pPr>
              <w:rPr>
                <w:b w:val="0"/>
                <w:lang w:val="en-GB"/>
              </w:rPr>
            </w:pPr>
            <w:r w:rsidRPr="00EF73A9">
              <w:rPr>
                <w:b w:val="0"/>
                <w:lang w:val="en-GB"/>
              </w:rPr>
              <w:t>January</w:t>
            </w:r>
          </w:p>
        </w:tc>
        <w:tc>
          <w:tcPr>
            <w:tcW w:w="1701" w:type="dxa"/>
            <w:shd w:val="clear" w:color="auto" w:fill="BDD6EE" w:themeFill="accent1" w:themeFillTint="66"/>
            <w:vAlign w:val="center"/>
          </w:tcPr>
          <w:p w14:paraId="4DD2B872" w14:textId="77777777" w:rsidR="00EF73A9" w:rsidRPr="00C34498" w:rsidRDefault="00EF73A9" w:rsidP="00EF73A9">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C34498">
              <w:rPr>
                <w:lang w:val="en-GB"/>
              </w:rPr>
              <w:t>122.9</w:t>
            </w:r>
          </w:p>
        </w:tc>
        <w:tc>
          <w:tcPr>
            <w:tcW w:w="1701" w:type="dxa"/>
            <w:shd w:val="clear" w:color="auto" w:fill="BDD6EE" w:themeFill="accent1" w:themeFillTint="66"/>
            <w:vAlign w:val="center"/>
          </w:tcPr>
          <w:p w14:paraId="27FAD45E" w14:textId="77777777" w:rsidR="00EF73A9" w:rsidRPr="00C34498" w:rsidRDefault="00EF73A9" w:rsidP="00EF73A9">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722AE9">
              <w:rPr>
                <w:lang w:val="en-GB"/>
              </w:rPr>
              <w:t>May</w:t>
            </w:r>
          </w:p>
        </w:tc>
        <w:tc>
          <w:tcPr>
            <w:tcW w:w="1701" w:type="dxa"/>
            <w:shd w:val="clear" w:color="auto" w:fill="BDD6EE" w:themeFill="accent1" w:themeFillTint="66"/>
            <w:vAlign w:val="center"/>
          </w:tcPr>
          <w:p w14:paraId="5CB1E3A7" w14:textId="77777777" w:rsidR="00EF73A9" w:rsidRPr="00C34498" w:rsidRDefault="00EF73A9" w:rsidP="00EF73A9">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124.1</w:t>
            </w:r>
          </w:p>
        </w:tc>
      </w:tr>
      <w:tr w:rsidR="00EF73A9" w14:paraId="5E36CA48" w14:textId="77777777" w:rsidTr="00EF73A9">
        <w:tc>
          <w:tcPr>
            <w:cnfStyle w:val="001000000000" w:firstRow="0" w:lastRow="0" w:firstColumn="1" w:lastColumn="0" w:oddVBand="0" w:evenVBand="0" w:oddHBand="0" w:evenHBand="0" w:firstRowFirstColumn="0" w:firstRowLastColumn="0" w:lastRowFirstColumn="0" w:lastRowLastColumn="0"/>
            <w:tcW w:w="1838" w:type="dxa"/>
            <w:vAlign w:val="center"/>
          </w:tcPr>
          <w:p w14:paraId="117BBB5B" w14:textId="77777777" w:rsidR="00EF73A9" w:rsidRPr="00EF73A9" w:rsidRDefault="00EF73A9" w:rsidP="00EF73A9">
            <w:pPr>
              <w:rPr>
                <w:b w:val="0"/>
                <w:lang w:val="en-GB"/>
              </w:rPr>
            </w:pPr>
            <w:r w:rsidRPr="00EF73A9">
              <w:rPr>
                <w:b w:val="0"/>
                <w:lang w:val="en-GB"/>
              </w:rPr>
              <w:t>February</w:t>
            </w:r>
          </w:p>
        </w:tc>
        <w:tc>
          <w:tcPr>
            <w:tcW w:w="1701" w:type="dxa"/>
            <w:vAlign w:val="center"/>
          </w:tcPr>
          <w:p w14:paraId="52CF5B56" w14:textId="77777777" w:rsidR="00EF73A9" w:rsidRDefault="00EF73A9" w:rsidP="00EF73A9">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123.1</w:t>
            </w:r>
          </w:p>
        </w:tc>
        <w:tc>
          <w:tcPr>
            <w:tcW w:w="1701" w:type="dxa"/>
            <w:vAlign w:val="center"/>
          </w:tcPr>
          <w:p w14:paraId="77EFE4CE" w14:textId="77777777" w:rsidR="00EF73A9" w:rsidRDefault="00EF73A9" w:rsidP="00EF73A9">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722AE9">
              <w:rPr>
                <w:lang w:val="en-GB"/>
              </w:rPr>
              <w:t>June</w:t>
            </w:r>
          </w:p>
        </w:tc>
        <w:tc>
          <w:tcPr>
            <w:tcW w:w="1701" w:type="dxa"/>
            <w:vAlign w:val="center"/>
          </w:tcPr>
          <w:p w14:paraId="4929A89F" w14:textId="77777777" w:rsidR="00EF73A9" w:rsidRDefault="00EF73A9" w:rsidP="00EF73A9">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124.9</w:t>
            </w:r>
          </w:p>
        </w:tc>
      </w:tr>
      <w:tr w:rsidR="00EF73A9" w14:paraId="4891B8A5" w14:textId="77777777" w:rsidTr="00EF73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38" w:type="dxa"/>
            <w:shd w:val="clear" w:color="auto" w:fill="BDD6EE" w:themeFill="accent1" w:themeFillTint="66"/>
            <w:vAlign w:val="center"/>
          </w:tcPr>
          <w:p w14:paraId="76FB02EC" w14:textId="77777777" w:rsidR="00EF73A9" w:rsidRPr="00EF73A9" w:rsidRDefault="00EF73A9" w:rsidP="00EF73A9">
            <w:pPr>
              <w:rPr>
                <w:b w:val="0"/>
                <w:lang w:val="en-GB"/>
              </w:rPr>
            </w:pPr>
            <w:r w:rsidRPr="00EF73A9">
              <w:rPr>
                <w:b w:val="0"/>
                <w:lang w:val="en-GB"/>
              </w:rPr>
              <w:t>March</w:t>
            </w:r>
          </w:p>
        </w:tc>
        <w:tc>
          <w:tcPr>
            <w:tcW w:w="1701" w:type="dxa"/>
            <w:shd w:val="clear" w:color="auto" w:fill="BDD6EE" w:themeFill="accent1" w:themeFillTint="66"/>
            <w:vAlign w:val="center"/>
          </w:tcPr>
          <w:p w14:paraId="16ABFE9D" w14:textId="77777777" w:rsidR="00EF73A9" w:rsidRDefault="00EF73A9" w:rsidP="00EF73A9">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123.4</w:t>
            </w:r>
          </w:p>
        </w:tc>
        <w:tc>
          <w:tcPr>
            <w:tcW w:w="1701" w:type="dxa"/>
            <w:shd w:val="clear" w:color="auto" w:fill="BDD6EE" w:themeFill="accent1" w:themeFillTint="66"/>
            <w:vAlign w:val="center"/>
          </w:tcPr>
          <w:p w14:paraId="5F538FA5" w14:textId="77777777" w:rsidR="00EF73A9" w:rsidRDefault="00EF73A9" w:rsidP="00EF73A9">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sidRPr="00722AE9">
              <w:rPr>
                <w:lang w:val="en-GB"/>
              </w:rPr>
              <w:t>July</w:t>
            </w:r>
          </w:p>
        </w:tc>
        <w:tc>
          <w:tcPr>
            <w:tcW w:w="1701" w:type="dxa"/>
            <w:shd w:val="clear" w:color="auto" w:fill="BDD6EE" w:themeFill="accent1" w:themeFillTint="66"/>
            <w:vAlign w:val="center"/>
          </w:tcPr>
          <w:p w14:paraId="23BA9924" w14:textId="77777777" w:rsidR="00EF73A9" w:rsidRDefault="00EF73A9" w:rsidP="00EF73A9">
            <w:pPr>
              <w:spacing w:after="120"/>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128.1</w:t>
            </w:r>
          </w:p>
        </w:tc>
      </w:tr>
      <w:tr w:rsidR="00EF73A9" w14:paraId="6750979E" w14:textId="77777777" w:rsidTr="00EF73A9">
        <w:tc>
          <w:tcPr>
            <w:cnfStyle w:val="001000000000" w:firstRow="0" w:lastRow="0" w:firstColumn="1" w:lastColumn="0" w:oddVBand="0" w:evenVBand="0" w:oddHBand="0" w:evenHBand="0" w:firstRowFirstColumn="0" w:firstRowLastColumn="0" w:lastRowFirstColumn="0" w:lastRowLastColumn="0"/>
            <w:tcW w:w="1838" w:type="dxa"/>
            <w:vAlign w:val="center"/>
          </w:tcPr>
          <w:p w14:paraId="19655F1F" w14:textId="77777777" w:rsidR="00EF73A9" w:rsidRPr="00EF73A9" w:rsidRDefault="00EF73A9" w:rsidP="00EF73A9">
            <w:pPr>
              <w:rPr>
                <w:b w:val="0"/>
                <w:lang w:val="en-GB"/>
              </w:rPr>
            </w:pPr>
            <w:r w:rsidRPr="00EF73A9">
              <w:rPr>
                <w:b w:val="0"/>
                <w:lang w:val="en-GB"/>
              </w:rPr>
              <w:t>April</w:t>
            </w:r>
          </w:p>
        </w:tc>
        <w:tc>
          <w:tcPr>
            <w:tcW w:w="1701" w:type="dxa"/>
            <w:vAlign w:val="center"/>
          </w:tcPr>
          <w:p w14:paraId="60FEDF2F" w14:textId="77777777" w:rsidR="00EF73A9" w:rsidRDefault="00EF73A9" w:rsidP="00EF73A9">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123.1</w:t>
            </w:r>
          </w:p>
        </w:tc>
        <w:tc>
          <w:tcPr>
            <w:tcW w:w="1701" w:type="dxa"/>
            <w:vAlign w:val="center"/>
          </w:tcPr>
          <w:p w14:paraId="2CC4ED62" w14:textId="77777777" w:rsidR="00EF73A9" w:rsidRDefault="00EF73A9" w:rsidP="00EF73A9">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sidRPr="00722AE9">
              <w:rPr>
                <w:lang w:val="en-GB"/>
              </w:rPr>
              <w:t>August</w:t>
            </w:r>
          </w:p>
        </w:tc>
        <w:tc>
          <w:tcPr>
            <w:tcW w:w="1701" w:type="dxa"/>
            <w:vAlign w:val="center"/>
          </w:tcPr>
          <w:p w14:paraId="19D3A43E" w14:textId="77777777" w:rsidR="00EF73A9" w:rsidRDefault="00EF73A9" w:rsidP="00EF73A9">
            <w:pPr>
              <w:spacing w:after="120"/>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127.6</w:t>
            </w:r>
          </w:p>
        </w:tc>
      </w:tr>
    </w:tbl>
    <w:p w14:paraId="19D571FA" w14:textId="77777777" w:rsidR="00716ABE" w:rsidRDefault="00716ABE" w:rsidP="00EF73A9">
      <w:pPr>
        <w:keepNext/>
        <w:spacing w:after="120"/>
        <w:ind w:right="425"/>
        <w:rPr>
          <w:b/>
          <w:lang w:val="en-GB"/>
        </w:rPr>
      </w:pPr>
    </w:p>
    <w:p w14:paraId="2C8234AD" w14:textId="77777777" w:rsidR="00C34498" w:rsidRDefault="00C34498" w:rsidP="00EF73A9">
      <w:pPr>
        <w:keepNext/>
        <w:spacing w:after="120"/>
        <w:ind w:right="425"/>
        <w:rPr>
          <w:b/>
          <w:lang w:val="en-GB"/>
        </w:rPr>
      </w:pPr>
      <w:r>
        <w:rPr>
          <w:b/>
          <w:lang w:val="en-GB"/>
        </w:rPr>
        <w:t>Special note regarding the BCMI for July 2018</w:t>
      </w:r>
    </w:p>
    <w:p w14:paraId="1A2B94CF" w14:textId="77777777" w:rsidR="00C34498" w:rsidRDefault="00C34498" w:rsidP="00EF73A9">
      <w:pPr>
        <w:keepNext/>
        <w:spacing w:after="120"/>
        <w:ind w:right="425"/>
        <w:rPr>
          <w:lang w:val="en-GB"/>
        </w:rPr>
      </w:pPr>
      <w:r>
        <w:rPr>
          <w:lang w:val="en-GB"/>
        </w:rPr>
        <w:t>Please note the following message which was sent on 17 August 2018 to all operators who have</w:t>
      </w:r>
      <w:r w:rsidR="00716ABE">
        <w:rPr>
          <w:lang w:val="en-GB"/>
        </w:rPr>
        <w:t xml:space="preserve"> supplied a valid email address, advising of an error to the July 2018 BCMI calculation. </w:t>
      </w:r>
    </w:p>
    <w:p w14:paraId="14F89960" w14:textId="77777777" w:rsidR="00C34498" w:rsidRPr="00C34498" w:rsidRDefault="00C34498" w:rsidP="00EF73A9">
      <w:pPr>
        <w:keepNext/>
        <w:spacing w:after="120"/>
        <w:ind w:right="425"/>
        <w:rPr>
          <w:lang w:val="en-GB"/>
        </w:rPr>
      </w:pPr>
      <w:r>
        <w:rPr>
          <w:noProof/>
          <w:lang w:eastAsia="en-AU"/>
        </w:rPr>
        <w:drawing>
          <wp:inline distT="0" distB="0" distL="0" distR="0" wp14:anchorId="1C84F5C8" wp14:editId="33D5A9FC">
            <wp:extent cx="6930390" cy="5997039"/>
            <wp:effectExtent l="0" t="0" r="381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932914" cy="5999223"/>
                    </a:xfrm>
                    <a:prstGeom prst="rect">
                      <a:avLst/>
                    </a:prstGeom>
                  </pic:spPr>
                </pic:pic>
              </a:graphicData>
            </a:graphic>
          </wp:inline>
        </w:drawing>
      </w:r>
    </w:p>
    <w:p w14:paraId="2020B8FD" w14:textId="77777777" w:rsidR="00716ABE" w:rsidRDefault="00716ABE">
      <w:pPr>
        <w:rPr>
          <w:rFonts w:eastAsiaTheme="majorEastAsia" w:cstheme="majorBidi"/>
          <w:color w:val="009999"/>
          <w:sz w:val="36"/>
          <w:szCs w:val="32"/>
          <w:lang w:val="en-GB"/>
        </w:rPr>
      </w:pPr>
      <w:r>
        <w:rPr>
          <w:color w:val="009999"/>
          <w:lang w:val="en-GB"/>
        </w:rPr>
        <w:br w:type="page"/>
      </w:r>
    </w:p>
    <w:p w14:paraId="226595D5" w14:textId="77777777" w:rsidR="00E743D4" w:rsidRPr="00954FE5" w:rsidRDefault="00E743D4" w:rsidP="00716ABE">
      <w:pPr>
        <w:pStyle w:val="Heading1"/>
        <w:keepNext w:val="0"/>
        <w:keepLines w:val="0"/>
        <w:spacing w:before="0" w:after="120"/>
        <w:ind w:right="424"/>
        <w:jc w:val="both"/>
        <w:rPr>
          <w:color w:val="009999"/>
          <w:highlight w:val="yellow"/>
          <w:lang w:val="en-GB"/>
        </w:rPr>
      </w:pPr>
      <w:r>
        <w:rPr>
          <w:color w:val="009999"/>
          <w:lang w:val="en-GB"/>
        </w:rPr>
        <w:lastRenderedPageBreak/>
        <w:t>Capital rates</w:t>
      </w:r>
    </w:p>
    <w:p w14:paraId="2E31D0A4" w14:textId="77777777" w:rsidR="00AA0B87" w:rsidRDefault="00E743D4" w:rsidP="00716ABE">
      <w:pPr>
        <w:spacing w:after="0"/>
        <w:ind w:right="142"/>
        <w:jc w:val="both"/>
        <w:rPr>
          <w:lang w:val="en-GB"/>
        </w:rPr>
      </w:pPr>
      <w:r w:rsidRPr="00555E87">
        <w:rPr>
          <w:lang w:val="en-GB"/>
        </w:rPr>
        <w:t xml:space="preserve">The </w:t>
      </w:r>
      <w:r w:rsidR="00FF3CFC">
        <w:rPr>
          <w:lang w:val="en-GB"/>
        </w:rPr>
        <w:t>c</w:t>
      </w:r>
      <w:r w:rsidRPr="00555E87">
        <w:rPr>
          <w:lang w:val="en-GB"/>
        </w:rPr>
        <w:t>apital rates for the quarter</w:t>
      </w:r>
      <w:r w:rsidR="00E02D0D">
        <w:rPr>
          <w:lang w:val="en-GB"/>
        </w:rPr>
        <w:t>s</w:t>
      </w:r>
      <w:r w:rsidRPr="00555E87">
        <w:rPr>
          <w:lang w:val="en-GB"/>
        </w:rPr>
        <w:t xml:space="preserve"> </w:t>
      </w:r>
      <w:r w:rsidRPr="008F154C">
        <w:rPr>
          <w:lang w:val="en-GB"/>
        </w:rPr>
        <w:t xml:space="preserve">commencing </w:t>
      </w:r>
      <w:r w:rsidR="00E02D0D">
        <w:rPr>
          <w:lang w:val="en-GB"/>
        </w:rPr>
        <w:t xml:space="preserve">January, </w:t>
      </w:r>
      <w:r w:rsidR="00457C39">
        <w:rPr>
          <w:lang w:val="en-GB"/>
        </w:rPr>
        <w:t>April</w:t>
      </w:r>
      <w:r w:rsidRPr="00D95DEB">
        <w:rPr>
          <w:lang w:val="en-GB"/>
        </w:rPr>
        <w:t xml:space="preserve"> </w:t>
      </w:r>
      <w:r w:rsidR="00E02D0D">
        <w:rPr>
          <w:lang w:val="en-GB"/>
        </w:rPr>
        <w:t xml:space="preserve">and July </w:t>
      </w:r>
      <w:r w:rsidRPr="00D95DEB">
        <w:rPr>
          <w:lang w:val="en-GB"/>
        </w:rPr>
        <w:t>201</w:t>
      </w:r>
      <w:r w:rsidR="00183C17">
        <w:rPr>
          <w:lang w:val="en-GB"/>
        </w:rPr>
        <w:t>8</w:t>
      </w:r>
      <w:r w:rsidR="00FF3CFC">
        <w:rPr>
          <w:lang w:val="en-GB"/>
        </w:rPr>
        <w:t xml:space="preserve"> were calculated as per the tabl</w:t>
      </w:r>
      <w:r w:rsidR="00E02D0D">
        <w:rPr>
          <w:lang w:val="en-GB"/>
        </w:rPr>
        <w:t xml:space="preserve">e below. Please note that the only change to capital rates for 2018 is for general access services. </w:t>
      </w:r>
      <w:r w:rsidR="00E02D0D" w:rsidRPr="008F154C">
        <w:rPr>
          <w:lang w:val="en-GB"/>
        </w:rPr>
        <w:t xml:space="preserve">Please consider </w:t>
      </w:r>
      <w:r w:rsidR="00E02D0D" w:rsidRPr="00555E87">
        <w:rPr>
          <w:lang w:val="en-GB"/>
        </w:rPr>
        <w:t xml:space="preserve">these rates before </w:t>
      </w:r>
      <w:r w:rsidR="00E02D0D">
        <w:rPr>
          <w:lang w:val="en-GB"/>
        </w:rPr>
        <w:t xml:space="preserve">requesting bus </w:t>
      </w:r>
      <w:r w:rsidR="00E02D0D" w:rsidRPr="00555E87">
        <w:rPr>
          <w:lang w:val="en-GB"/>
        </w:rPr>
        <w:t xml:space="preserve">changes </w:t>
      </w:r>
      <w:r w:rsidR="00E02D0D">
        <w:rPr>
          <w:lang w:val="en-GB"/>
        </w:rPr>
        <w:t>on</w:t>
      </w:r>
      <w:r w:rsidR="00E02D0D" w:rsidRPr="00555E87">
        <w:rPr>
          <w:lang w:val="en-GB"/>
        </w:rPr>
        <w:t xml:space="preserve"> your contract.</w:t>
      </w:r>
    </w:p>
    <w:p w14:paraId="481DE943" w14:textId="77777777" w:rsidR="00716ABE" w:rsidRDefault="00716ABE" w:rsidP="00716ABE">
      <w:pPr>
        <w:spacing w:after="0"/>
        <w:ind w:right="142"/>
        <w:jc w:val="both"/>
        <w:rPr>
          <w:lang w:val="en-GB"/>
        </w:rPr>
      </w:pPr>
    </w:p>
    <w:tbl>
      <w:tblPr>
        <w:tblStyle w:val="ListTable1Light"/>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1843"/>
        <w:gridCol w:w="1701"/>
        <w:gridCol w:w="1701"/>
      </w:tblGrid>
      <w:tr w:rsidR="00E02D0D" w:rsidRPr="00066EDD" w14:paraId="7D7FD73A" w14:textId="77777777" w:rsidTr="00E341FC">
        <w:trPr>
          <w:cnfStyle w:val="100000000000" w:firstRow="1" w:lastRow="0" w:firstColumn="0" w:lastColumn="0" w:oddVBand="0" w:evenVBand="0" w:oddHBand="0" w:evenHBand="0" w:firstRowFirstColumn="0" w:firstRowLastColumn="0" w:lastRowFirstColumn="0" w:lastRowLastColumn="0"/>
          <w:trHeight w:val="411"/>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3E8A8655" w14:textId="77777777" w:rsidR="00E02D0D" w:rsidRPr="00FD7296" w:rsidRDefault="00E02D0D" w:rsidP="00E02D0D">
            <w:pPr>
              <w:rPr>
                <w:b w:val="0"/>
                <w:color w:val="009999"/>
                <w:lang w:val="en-GB"/>
              </w:rPr>
            </w:pPr>
            <w:r w:rsidRPr="00FD7296">
              <w:rPr>
                <w:b w:val="0"/>
                <w:color w:val="009999"/>
                <w:lang w:val="en-GB"/>
              </w:rPr>
              <w:t>Contract Type</w:t>
            </w:r>
          </w:p>
        </w:tc>
        <w:tc>
          <w:tcPr>
            <w:tcW w:w="1843" w:type="dxa"/>
            <w:vAlign w:val="center"/>
          </w:tcPr>
          <w:p w14:paraId="6350404C" w14:textId="77777777" w:rsidR="00E02D0D" w:rsidRPr="00FD7296" w:rsidRDefault="00E02D0D" w:rsidP="00E02D0D">
            <w:pPr>
              <w:jc w:val="center"/>
              <w:cnfStyle w:val="100000000000" w:firstRow="1" w:lastRow="0" w:firstColumn="0" w:lastColumn="0" w:oddVBand="0" w:evenVBand="0" w:oddHBand="0" w:evenHBand="0" w:firstRowFirstColumn="0" w:firstRowLastColumn="0" w:lastRowFirstColumn="0" w:lastRowLastColumn="0"/>
              <w:rPr>
                <w:b w:val="0"/>
                <w:color w:val="009999"/>
                <w:lang w:val="en-GB"/>
              </w:rPr>
            </w:pPr>
            <w:r>
              <w:rPr>
                <w:b w:val="0"/>
                <w:color w:val="009999"/>
                <w:lang w:val="en-GB"/>
              </w:rPr>
              <w:t>January 2018</w:t>
            </w:r>
          </w:p>
        </w:tc>
        <w:tc>
          <w:tcPr>
            <w:tcW w:w="1701" w:type="dxa"/>
            <w:vAlign w:val="center"/>
          </w:tcPr>
          <w:p w14:paraId="18BF8026" w14:textId="77777777" w:rsidR="00E02D0D" w:rsidRPr="00FD7296" w:rsidRDefault="00E02D0D" w:rsidP="00E02D0D">
            <w:pPr>
              <w:jc w:val="center"/>
              <w:cnfStyle w:val="100000000000" w:firstRow="1" w:lastRow="0" w:firstColumn="0" w:lastColumn="0" w:oddVBand="0" w:evenVBand="0" w:oddHBand="0" w:evenHBand="0" w:firstRowFirstColumn="0" w:firstRowLastColumn="0" w:lastRowFirstColumn="0" w:lastRowLastColumn="0"/>
              <w:rPr>
                <w:b w:val="0"/>
                <w:color w:val="009999"/>
                <w:lang w:val="en-GB"/>
              </w:rPr>
            </w:pPr>
            <w:r>
              <w:rPr>
                <w:b w:val="0"/>
                <w:color w:val="009999"/>
                <w:lang w:val="en-GB"/>
              </w:rPr>
              <w:t>April 2018</w:t>
            </w:r>
          </w:p>
        </w:tc>
        <w:tc>
          <w:tcPr>
            <w:tcW w:w="1701" w:type="dxa"/>
            <w:vAlign w:val="center"/>
          </w:tcPr>
          <w:p w14:paraId="05A3F1CC" w14:textId="77777777" w:rsidR="00E02D0D" w:rsidRPr="00E02D0D" w:rsidRDefault="00E02D0D" w:rsidP="00E02D0D">
            <w:pPr>
              <w:jc w:val="center"/>
              <w:cnfStyle w:val="100000000000" w:firstRow="1" w:lastRow="0" w:firstColumn="0" w:lastColumn="0" w:oddVBand="0" w:evenVBand="0" w:oddHBand="0" w:evenHBand="0" w:firstRowFirstColumn="0" w:firstRowLastColumn="0" w:lastRowFirstColumn="0" w:lastRowLastColumn="0"/>
              <w:rPr>
                <w:b w:val="0"/>
                <w:color w:val="009999"/>
                <w:lang w:val="en-GB"/>
              </w:rPr>
            </w:pPr>
            <w:r w:rsidRPr="00E02D0D">
              <w:rPr>
                <w:b w:val="0"/>
                <w:color w:val="009999"/>
                <w:lang w:val="en-GB"/>
              </w:rPr>
              <w:t>July</w:t>
            </w:r>
            <w:r w:rsidRPr="00E02D0D">
              <w:rPr>
                <w:color w:val="009999"/>
                <w:lang w:val="en-GB"/>
              </w:rPr>
              <w:t xml:space="preserve"> 2018</w:t>
            </w:r>
          </w:p>
        </w:tc>
      </w:tr>
      <w:tr w:rsidR="00E02D0D" w:rsidRPr="00066EDD" w14:paraId="2C1605D0" w14:textId="77777777" w:rsidTr="00E341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shd w:val="clear" w:color="auto" w:fill="BDD6EE" w:themeFill="accent1" w:themeFillTint="66"/>
            <w:vAlign w:val="center"/>
          </w:tcPr>
          <w:p w14:paraId="2C70CE26" w14:textId="77777777" w:rsidR="00E02D0D" w:rsidRPr="00FD7296" w:rsidRDefault="00E02D0D" w:rsidP="00E02D0D">
            <w:pPr>
              <w:rPr>
                <w:b w:val="0"/>
                <w:lang w:val="en-GB"/>
              </w:rPr>
            </w:pPr>
            <w:r w:rsidRPr="00FD7296">
              <w:rPr>
                <w:b w:val="0"/>
                <w:lang w:val="en-GB"/>
              </w:rPr>
              <w:t>Urban Fringe Student Only</w:t>
            </w:r>
          </w:p>
        </w:tc>
        <w:tc>
          <w:tcPr>
            <w:tcW w:w="1843" w:type="dxa"/>
            <w:shd w:val="clear" w:color="auto" w:fill="BDD6EE" w:themeFill="accent1" w:themeFillTint="66"/>
            <w:vAlign w:val="center"/>
          </w:tcPr>
          <w:p w14:paraId="7EA147DD" w14:textId="77777777" w:rsidR="00E02D0D" w:rsidRPr="00FD7296" w:rsidRDefault="00E02D0D" w:rsidP="00E02D0D">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$1.01</w:t>
            </w:r>
          </w:p>
        </w:tc>
        <w:tc>
          <w:tcPr>
            <w:tcW w:w="1701" w:type="dxa"/>
            <w:tcBorders>
              <w:top w:val="single" w:sz="4" w:space="0" w:color="auto"/>
              <w:left w:val="single" w:sz="4" w:space="0" w:color="auto"/>
              <w:right w:val="single" w:sz="4" w:space="0" w:color="auto"/>
            </w:tcBorders>
            <w:shd w:val="clear" w:color="auto" w:fill="BDD6EE" w:themeFill="accent1" w:themeFillTint="66"/>
            <w:vAlign w:val="center"/>
          </w:tcPr>
          <w:p w14:paraId="0C4EF51B" w14:textId="77777777" w:rsidR="00E02D0D" w:rsidRPr="00FD7296" w:rsidRDefault="00E02D0D" w:rsidP="00E02D0D">
            <w:pPr>
              <w:jc w:val="center"/>
              <w:cnfStyle w:val="000000100000" w:firstRow="0" w:lastRow="0" w:firstColumn="0" w:lastColumn="0" w:oddVBand="0" w:evenVBand="0" w:oddHBand="1" w:evenHBand="0" w:firstRowFirstColumn="0" w:firstRowLastColumn="0" w:lastRowFirstColumn="0" w:lastRowLastColumn="0"/>
              <w:rPr>
                <w:lang w:val="en-GB"/>
              </w:rPr>
            </w:pPr>
            <w:r w:rsidRPr="00FD7296">
              <w:rPr>
                <w:lang w:val="en-GB"/>
              </w:rPr>
              <w:t>$</w:t>
            </w:r>
            <w:r>
              <w:rPr>
                <w:lang w:val="en-GB"/>
              </w:rPr>
              <w:t>1.01</w:t>
            </w:r>
          </w:p>
        </w:tc>
        <w:tc>
          <w:tcPr>
            <w:tcW w:w="1701" w:type="dxa"/>
            <w:tcBorders>
              <w:top w:val="single" w:sz="4" w:space="0" w:color="auto"/>
              <w:left w:val="single" w:sz="4" w:space="0" w:color="auto"/>
              <w:right w:val="single" w:sz="4" w:space="0" w:color="auto"/>
            </w:tcBorders>
            <w:shd w:val="clear" w:color="auto" w:fill="BDD6EE" w:themeFill="accent1" w:themeFillTint="66"/>
            <w:vAlign w:val="center"/>
          </w:tcPr>
          <w:p w14:paraId="4C1DBE30" w14:textId="77777777" w:rsidR="00E02D0D" w:rsidRPr="00E02D0D" w:rsidRDefault="00E02D0D" w:rsidP="00E02D0D">
            <w:pPr>
              <w:jc w:val="center"/>
              <w:cnfStyle w:val="000000100000" w:firstRow="0" w:lastRow="0" w:firstColumn="0" w:lastColumn="0" w:oddVBand="0" w:evenVBand="0" w:oddHBand="1" w:evenHBand="0" w:firstRowFirstColumn="0" w:firstRowLastColumn="0" w:lastRowFirstColumn="0" w:lastRowLastColumn="0"/>
              <w:rPr>
                <w:lang w:val="en-GB"/>
              </w:rPr>
            </w:pPr>
            <w:r w:rsidRPr="00E02D0D">
              <w:rPr>
                <w:lang w:val="en-GB"/>
              </w:rPr>
              <w:t>$1.01</w:t>
            </w:r>
          </w:p>
        </w:tc>
      </w:tr>
      <w:tr w:rsidR="00E02D0D" w:rsidRPr="00066EDD" w14:paraId="629E1B0C" w14:textId="77777777" w:rsidTr="00E341FC">
        <w:trPr>
          <w:trHeight w:val="300"/>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63E9D640" w14:textId="77777777" w:rsidR="00E02D0D" w:rsidRPr="00FD7296" w:rsidRDefault="00E02D0D" w:rsidP="00E02D0D">
            <w:pPr>
              <w:rPr>
                <w:b w:val="0"/>
                <w:i/>
                <w:lang w:val="en-GB"/>
              </w:rPr>
            </w:pPr>
            <w:r w:rsidRPr="00FD7296">
              <w:rPr>
                <w:b w:val="0"/>
                <w:lang w:val="en-GB"/>
              </w:rPr>
              <w:t>Rural Fare Paying</w:t>
            </w:r>
          </w:p>
        </w:tc>
        <w:tc>
          <w:tcPr>
            <w:tcW w:w="1843" w:type="dxa"/>
            <w:vAlign w:val="center"/>
          </w:tcPr>
          <w:p w14:paraId="1CCD3F5A" w14:textId="77777777" w:rsidR="00E02D0D" w:rsidRPr="00FD7296" w:rsidRDefault="00E02D0D" w:rsidP="00E02D0D">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$1.01</w:t>
            </w:r>
          </w:p>
        </w:tc>
        <w:tc>
          <w:tcPr>
            <w:tcW w:w="1701" w:type="dxa"/>
            <w:tcBorders>
              <w:left w:val="single" w:sz="4" w:space="0" w:color="auto"/>
              <w:right w:val="single" w:sz="4" w:space="0" w:color="auto"/>
            </w:tcBorders>
            <w:shd w:val="clear" w:color="auto" w:fill="auto"/>
            <w:vAlign w:val="center"/>
          </w:tcPr>
          <w:p w14:paraId="09041AF8" w14:textId="77777777" w:rsidR="00E02D0D" w:rsidRPr="00FD7296" w:rsidRDefault="00E02D0D" w:rsidP="00E02D0D">
            <w:pPr>
              <w:jc w:val="center"/>
              <w:cnfStyle w:val="000000000000" w:firstRow="0" w:lastRow="0" w:firstColumn="0" w:lastColumn="0" w:oddVBand="0" w:evenVBand="0" w:oddHBand="0" w:evenHBand="0" w:firstRowFirstColumn="0" w:firstRowLastColumn="0" w:lastRowFirstColumn="0" w:lastRowLastColumn="0"/>
              <w:rPr>
                <w:lang w:val="en-GB"/>
              </w:rPr>
            </w:pPr>
            <w:r w:rsidRPr="00FD7296">
              <w:rPr>
                <w:lang w:val="en-GB"/>
              </w:rPr>
              <w:t>$</w:t>
            </w:r>
            <w:r>
              <w:rPr>
                <w:lang w:val="en-GB"/>
              </w:rPr>
              <w:t>1.01</w:t>
            </w:r>
          </w:p>
        </w:tc>
        <w:tc>
          <w:tcPr>
            <w:tcW w:w="1701" w:type="dxa"/>
            <w:tcBorders>
              <w:left w:val="single" w:sz="4" w:space="0" w:color="auto"/>
              <w:right w:val="single" w:sz="4" w:space="0" w:color="auto"/>
            </w:tcBorders>
            <w:vAlign w:val="center"/>
          </w:tcPr>
          <w:p w14:paraId="7D8B4334" w14:textId="77777777" w:rsidR="00E02D0D" w:rsidRPr="00E02D0D" w:rsidRDefault="00E02D0D" w:rsidP="00E02D0D">
            <w:pPr>
              <w:jc w:val="center"/>
              <w:cnfStyle w:val="000000000000" w:firstRow="0" w:lastRow="0" w:firstColumn="0" w:lastColumn="0" w:oddVBand="0" w:evenVBand="0" w:oddHBand="0" w:evenHBand="0" w:firstRowFirstColumn="0" w:firstRowLastColumn="0" w:lastRowFirstColumn="0" w:lastRowLastColumn="0"/>
              <w:rPr>
                <w:lang w:val="en-GB"/>
              </w:rPr>
            </w:pPr>
            <w:r w:rsidRPr="00E02D0D">
              <w:rPr>
                <w:lang w:val="en-GB"/>
              </w:rPr>
              <w:t>$1.01</w:t>
            </w:r>
          </w:p>
        </w:tc>
      </w:tr>
      <w:tr w:rsidR="00E02D0D" w:rsidRPr="00066EDD" w14:paraId="00324B43" w14:textId="77777777" w:rsidTr="00E341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shd w:val="clear" w:color="auto" w:fill="BDD6EE" w:themeFill="accent1" w:themeFillTint="66"/>
            <w:vAlign w:val="center"/>
          </w:tcPr>
          <w:p w14:paraId="6680909F" w14:textId="77777777" w:rsidR="00E02D0D" w:rsidRPr="00FD7296" w:rsidRDefault="00E02D0D" w:rsidP="00E02D0D">
            <w:pPr>
              <w:rPr>
                <w:b w:val="0"/>
                <w:lang w:val="en-GB"/>
              </w:rPr>
            </w:pPr>
            <w:r w:rsidRPr="00FD7296">
              <w:rPr>
                <w:b w:val="0"/>
                <w:lang w:val="en-GB"/>
              </w:rPr>
              <w:t>Long Distance Student Only</w:t>
            </w:r>
          </w:p>
        </w:tc>
        <w:tc>
          <w:tcPr>
            <w:tcW w:w="1843" w:type="dxa"/>
            <w:shd w:val="clear" w:color="auto" w:fill="BDD6EE" w:themeFill="accent1" w:themeFillTint="66"/>
            <w:vAlign w:val="center"/>
          </w:tcPr>
          <w:p w14:paraId="6D3907DD" w14:textId="77777777" w:rsidR="00E02D0D" w:rsidRPr="00FD7296" w:rsidRDefault="00E02D0D" w:rsidP="00E02D0D">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$1.01</w:t>
            </w:r>
          </w:p>
        </w:tc>
        <w:tc>
          <w:tcPr>
            <w:tcW w:w="1701" w:type="dxa"/>
            <w:tcBorders>
              <w:left w:val="single" w:sz="4" w:space="0" w:color="auto"/>
              <w:right w:val="single" w:sz="4" w:space="0" w:color="auto"/>
            </w:tcBorders>
            <w:shd w:val="clear" w:color="auto" w:fill="BDD6EE" w:themeFill="accent1" w:themeFillTint="66"/>
            <w:vAlign w:val="center"/>
          </w:tcPr>
          <w:p w14:paraId="3FEF9CE6" w14:textId="77777777" w:rsidR="00E02D0D" w:rsidRPr="00FD7296" w:rsidRDefault="00E02D0D" w:rsidP="00E02D0D">
            <w:pPr>
              <w:jc w:val="center"/>
              <w:cnfStyle w:val="000000100000" w:firstRow="0" w:lastRow="0" w:firstColumn="0" w:lastColumn="0" w:oddVBand="0" w:evenVBand="0" w:oddHBand="1" w:evenHBand="0" w:firstRowFirstColumn="0" w:firstRowLastColumn="0" w:lastRowFirstColumn="0" w:lastRowLastColumn="0"/>
              <w:rPr>
                <w:lang w:val="en-GB"/>
              </w:rPr>
            </w:pPr>
            <w:r w:rsidRPr="00FD7296">
              <w:rPr>
                <w:lang w:val="en-GB"/>
              </w:rPr>
              <w:t>$</w:t>
            </w:r>
            <w:r>
              <w:rPr>
                <w:lang w:val="en-GB"/>
              </w:rPr>
              <w:t>1.01</w:t>
            </w:r>
          </w:p>
        </w:tc>
        <w:tc>
          <w:tcPr>
            <w:tcW w:w="1701" w:type="dxa"/>
            <w:tcBorders>
              <w:left w:val="single" w:sz="4" w:space="0" w:color="auto"/>
              <w:right w:val="single" w:sz="4" w:space="0" w:color="auto"/>
            </w:tcBorders>
            <w:shd w:val="clear" w:color="auto" w:fill="BDD6EE" w:themeFill="accent1" w:themeFillTint="66"/>
            <w:vAlign w:val="center"/>
          </w:tcPr>
          <w:p w14:paraId="666307E2" w14:textId="77777777" w:rsidR="00E02D0D" w:rsidRPr="00E02D0D" w:rsidRDefault="00E02D0D" w:rsidP="00E02D0D">
            <w:pPr>
              <w:jc w:val="center"/>
              <w:cnfStyle w:val="000000100000" w:firstRow="0" w:lastRow="0" w:firstColumn="0" w:lastColumn="0" w:oddVBand="0" w:evenVBand="0" w:oddHBand="1" w:evenHBand="0" w:firstRowFirstColumn="0" w:firstRowLastColumn="0" w:lastRowFirstColumn="0" w:lastRowLastColumn="0"/>
              <w:rPr>
                <w:lang w:val="en-GB"/>
              </w:rPr>
            </w:pPr>
            <w:r w:rsidRPr="00E02D0D">
              <w:rPr>
                <w:lang w:val="en-GB"/>
              </w:rPr>
              <w:t>$1.01</w:t>
            </w:r>
          </w:p>
        </w:tc>
      </w:tr>
      <w:tr w:rsidR="00E02D0D" w:rsidRPr="00066EDD" w14:paraId="3F0157BE" w14:textId="77777777" w:rsidTr="00E341FC">
        <w:trPr>
          <w:trHeight w:val="300"/>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247DFADF" w14:textId="77777777" w:rsidR="00E02D0D" w:rsidRPr="00FD7296" w:rsidRDefault="00E02D0D" w:rsidP="00E02D0D">
            <w:pPr>
              <w:rPr>
                <w:b w:val="0"/>
                <w:lang w:val="en-GB"/>
              </w:rPr>
            </w:pPr>
            <w:r w:rsidRPr="00FD7296">
              <w:rPr>
                <w:b w:val="0"/>
                <w:lang w:val="en-GB"/>
              </w:rPr>
              <w:t>Long Distance General Access</w:t>
            </w:r>
          </w:p>
        </w:tc>
        <w:tc>
          <w:tcPr>
            <w:tcW w:w="1843" w:type="dxa"/>
            <w:vAlign w:val="center"/>
          </w:tcPr>
          <w:p w14:paraId="100DF2F7" w14:textId="77777777" w:rsidR="00E02D0D" w:rsidRPr="00FD7296" w:rsidRDefault="00E02D0D" w:rsidP="00E02D0D">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$2.88</w:t>
            </w:r>
          </w:p>
        </w:tc>
        <w:tc>
          <w:tcPr>
            <w:tcW w:w="1701" w:type="dxa"/>
            <w:tcBorders>
              <w:left w:val="single" w:sz="4" w:space="0" w:color="auto"/>
              <w:right w:val="single" w:sz="4" w:space="0" w:color="auto"/>
            </w:tcBorders>
            <w:shd w:val="clear" w:color="auto" w:fill="auto"/>
            <w:vAlign w:val="center"/>
          </w:tcPr>
          <w:p w14:paraId="022EA734" w14:textId="77777777" w:rsidR="00E02D0D" w:rsidRPr="00FD7296" w:rsidRDefault="00E02D0D" w:rsidP="00E02D0D">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$2.88</w:t>
            </w:r>
          </w:p>
        </w:tc>
        <w:tc>
          <w:tcPr>
            <w:tcW w:w="1701" w:type="dxa"/>
            <w:tcBorders>
              <w:left w:val="single" w:sz="4" w:space="0" w:color="auto"/>
              <w:right w:val="single" w:sz="4" w:space="0" w:color="auto"/>
            </w:tcBorders>
            <w:vAlign w:val="center"/>
          </w:tcPr>
          <w:p w14:paraId="52D13594" w14:textId="77777777" w:rsidR="00E02D0D" w:rsidRPr="00E02D0D" w:rsidRDefault="00E02D0D" w:rsidP="00E02D0D">
            <w:pPr>
              <w:jc w:val="center"/>
              <w:cnfStyle w:val="000000000000" w:firstRow="0" w:lastRow="0" w:firstColumn="0" w:lastColumn="0" w:oddVBand="0" w:evenVBand="0" w:oddHBand="0" w:evenHBand="0" w:firstRowFirstColumn="0" w:firstRowLastColumn="0" w:lastRowFirstColumn="0" w:lastRowLastColumn="0"/>
              <w:rPr>
                <w:lang w:val="en-GB"/>
              </w:rPr>
            </w:pPr>
            <w:r w:rsidRPr="00E02D0D">
              <w:rPr>
                <w:lang w:val="en-GB"/>
              </w:rPr>
              <w:t>$2.91</w:t>
            </w:r>
          </w:p>
        </w:tc>
      </w:tr>
      <w:tr w:rsidR="00E02D0D" w:rsidRPr="00066EDD" w14:paraId="6ACDF1C0" w14:textId="77777777" w:rsidTr="00E341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shd w:val="clear" w:color="auto" w:fill="BDD6EE" w:themeFill="accent1" w:themeFillTint="66"/>
            <w:vAlign w:val="center"/>
          </w:tcPr>
          <w:p w14:paraId="318FF0DC" w14:textId="77777777" w:rsidR="00E02D0D" w:rsidRPr="00FD7296" w:rsidRDefault="00E02D0D" w:rsidP="00E02D0D">
            <w:pPr>
              <w:rPr>
                <w:b w:val="0"/>
                <w:lang w:val="en-GB"/>
              </w:rPr>
            </w:pPr>
            <w:r w:rsidRPr="00FD7296">
              <w:rPr>
                <w:b w:val="0"/>
                <w:lang w:val="en-GB"/>
              </w:rPr>
              <w:t>Urban Fringe General Access</w:t>
            </w:r>
          </w:p>
        </w:tc>
        <w:tc>
          <w:tcPr>
            <w:tcW w:w="1843" w:type="dxa"/>
            <w:shd w:val="clear" w:color="auto" w:fill="BDD6EE" w:themeFill="accent1" w:themeFillTint="66"/>
            <w:vAlign w:val="center"/>
          </w:tcPr>
          <w:p w14:paraId="7A1803C8" w14:textId="77777777" w:rsidR="00E02D0D" w:rsidRPr="00FD7296" w:rsidRDefault="00E02D0D" w:rsidP="00E02D0D">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$2.88</w:t>
            </w:r>
          </w:p>
        </w:tc>
        <w:tc>
          <w:tcPr>
            <w:tcW w:w="1701" w:type="dxa"/>
            <w:tcBorders>
              <w:left w:val="single" w:sz="4" w:space="0" w:color="auto"/>
              <w:right w:val="single" w:sz="4" w:space="0" w:color="auto"/>
            </w:tcBorders>
            <w:shd w:val="clear" w:color="auto" w:fill="BDD6EE" w:themeFill="accent1" w:themeFillTint="66"/>
            <w:vAlign w:val="center"/>
          </w:tcPr>
          <w:p w14:paraId="06560406" w14:textId="77777777" w:rsidR="00E02D0D" w:rsidRPr="00FD7296" w:rsidRDefault="00E02D0D" w:rsidP="00E02D0D">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$2.88</w:t>
            </w:r>
          </w:p>
        </w:tc>
        <w:tc>
          <w:tcPr>
            <w:tcW w:w="1701" w:type="dxa"/>
            <w:tcBorders>
              <w:left w:val="single" w:sz="4" w:space="0" w:color="auto"/>
              <w:right w:val="single" w:sz="4" w:space="0" w:color="auto"/>
            </w:tcBorders>
            <w:shd w:val="clear" w:color="auto" w:fill="BDD6EE" w:themeFill="accent1" w:themeFillTint="66"/>
            <w:vAlign w:val="center"/>
          </w:tcPr>
          <w:p w14:paraId="2CE5111B" w14:textId="77777777" w:rsidR="00E02D0D" w:rsidRPr="00E02D0D" w:rsidRDefault="00E02D0D" w:rsidP="00E02D0D">
            <w:pPr>
              <w:jc w:val="center"/>
              <w:cnfStyle w:val="000000100000" w:firstRow="0" w:lastRow="0" w:firstColumn="0" w:lastColumn="0" w:oddVBand="0" w:evenVBand="0" w:oddHBand="1" w:evenHBand="0" w:firstRowFirstColumn="0" w:firstRowLastColumn="0" w:lastRowFirstColumn="0" w:lastRowLastColumn="0"/>
              <w:rPr>
                <w:lang w:val="en-GB"/>
              </w:rPr>
            </w:pPr>
            <w:r w:rsidRPr="00E02D0D">
              <w:rPr>
                <w:lang w:val="en-GB"/>
              </w:rPr>
              <w:t>$2.91</w:t>
            </w:r>
          </w:p>
        </w:tc>
      </w:tr>
      <w:tr w:rsidR="00E02D0D" w:rsidRPr="00066EDD" w14:paraId="30DF1EDA" w14:textId="77777777" w:rsidTr="00E341FC">
        <w:trPr>
          <w:trHeight w:val="300"/>
        </w:trPr>
        <w:tc>
          <w:tcPr>
            <w:cnfStyle w:val="001000000000" w:firstRow="0" w:lastRow="0" w:firstColumn="1" w:lastColumn="0" w:oddVBand="0" w:evenVBand="0" w:oddHBand="0" w:evenHBand="0" w:firstRowFirstColumn="0" w:firstRowLastColumn="0" w:lastRowFirstColumn="0" w:lastRowLastColumn="0"/>
            <w:tcW w:w="3397" w:type="dxa"/>
            <w:vAlign w:val="center"/>
          </w:tcPr>
          <w:p w14:paraId="79C054BF" w14:textId="77777777" w:rsidR="00E02D0D" w:rsidRPr="00FD7296" w:rsidRDefault="00E02D0D" w:rsidP="00E02D0D">
            <w:pPr>
              <w:rPr>
                <w:b w:val="0"/>
                <w:lang w:val="en-GB"/>
              </w:rPr>
            </w:pPr>
            <w:r w:rsidRPr="00FD7296">
              <w:rPr>
                <w:b w:val="0"/>
                <w:lang w:val="en-GB"/>
              </w:rPr>
              <w:t>Urban</w:t>
            </w:r>
          </w:p>
        </w:tc>
        <w:tc>
          <w:tcPr>
            <w:tcW w:w="1843" w:type="dxa"/>
            <w:vAlign w:val="center"/>
          </w:tcPr>
          <w:p w14:paraId="62802948" w14:textId="77777777" w:rsidR="00E02D0D" w:rsidRPr="00FD7296" w:rsidRDefault="00E02D0D" w:rsidP="00E02D0D">
            <w:pPr>
              <w:jc w:val="center"/>
              <w:cnfStyle w:val="000000000000" w:firstRow="0" w:lastRow="0" w:firstColumn="0" w:lastColumn="0" w:oddVBand="0" w:evenVBand="0" w:oddHBand="0" w:evenHBand="0" w:firstRowFirstColumn="0" w:firstRowLastColumn="0" w:lastRowFirstColumn="0" w:lastRowLastColumn="0"/>
              <w:rPr>
                <w:lang w:val="en-GB"/>
              </w:rPr>
            </w:pPr>
            <w:r>
              <w:rPr>
                <w:lang w:val="en-GB"/>
              </w:rPr>
              <w:t>$0.86</w:t>
            </w:r>
          </w:p>
        </w:tc>
        <w:tc>
          <w:tcPr>
            <w:tcW w:w="1701" w:type="dxa"/>
            <w:tcBorders>
              <w:left w:val="single" w:sz="4" w:space="0" w:color="auto"/>
              <w:right w:val="single" w:sz="4" w:space="0" w:color="auto"/>
            </w:tcBorders>
            <w:shd w:val="clear" w:color="auto" w:fill="auto"/>
            <w:vAlign w:val="center"/>
          </w:tcPr>
          <w:p w14:paraId="69BC9FC5" w14:textId="77777777" w:rsidR="00E02D0D" w:rsidRPr="00FD7296" w:rsidRDefault="00E02D0D" w:rsidP="00E02D0D">
            <w:pPr>
              <w:jc w:val="center"/>
              <w:cnfStyle w:val="000000000000" w:firstRow="0" w:lastRow="0" w:firstColumn="0" w:lastColumn="0" w:oddVBand="0" w:evenVBand="0" w:oddHBand="0" w:evenHBand="0" w:firstRowFirstColumn="0" w:firstRowLastColumn="0" w:lastRowFirstColumn="0" w:lastRowLastColumn="0"/>
              <w:rPr>
                <w:lang w:val="en-GB"/>
              </w:rPr>
            </w:pPr>
            <w:r w:rsidRPr="00FD7296">
              <w:rPr>
                <w:lang w:val="en-GB"/>
              </w:rPr>
              <w:t>$</w:t>
            </w:r>
            <w:r>
              <w:rPr>
                <w:lang w:val="en-GB"/>
              </w:rPr>
              <w:t>0.86</w:t>
            </w:r>
          </w:p>
        </w:tc>
        <w:tc>
          <w:tcPr>
            <w:tcW w:w="1701" w:type="dxa"/>
            <w:tcBorders>
              <w:left w:val="single" w:sz="4" w:space="0" w:color="auto"/>
              <w:right w:val="single" w:sz="4" w:space="0" w:color="auto"/>
            </w:tcBorders>
            <w:vAlign w:val="center"/>
          </w:tcPr>
          <w:p w14:paraId="044A48FF" w14:textId="77777777" w:rsidR="00E02D0D" w:rsidRPr="00E02D0D" w:rsidRDefault="00E02D0D" w:rsidP="00E02D0D">
            <w:pPr>
              <w:jc w:val="center"/>
              <w:cnfStyle w:val="000000000000" w:firstRow="0" w:lastRow="0" w:firstColumn="0" w:lastColumn="0" w:oddVBand="0" w:evenVBand="0" w:oddHBand="0" w:evenHBand="0" w:firstRowFirstColumn="0" w:firstRowLastColumn="0" w:lastRowFirstColumn="0" w:lastRowLastColumn="0"/>
              <w:rPr>
                <w:lang w:val="en-GB"/>
              </w:rPr>
            </w:pPr>
            <w:r w:rsidRPr="00E02D0D">
              <w:rPr>
                <w:lang w:val="en-GB"/>
              </w:rPr>
              <w:t>$0.86</w:t>
            </w:r>
          </w:p>
        </w:tc>
      </w:tr>
      <w:tr w:rsidR="00E02D0D" w:rsidRPr="00066EDD" w14:paraId="1C11DDD7" w14:textId="77777777" w:rsidTr="00E341F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397" w:type="dxa"/>
            <w:shd w:val="clear" w:color="auto" w:fill="BDD6EE" w:themeFill="accent1" w:themeFillTint="66"/>
            <w:vAlign w:val="center"/>
          </w:tcPr>
          <w:p w14:paraId="7AAF5E38" w14:textId="77777777" w:rsidR="00E02D0D" w:rsidRPr="00FD7296" w:rsidRDefault="00E02D0D" w:rsidP="00E02D0D">
            <w:pPr>
              <w:rPr>
                <w:b w:val="0"/>
                <w:lang w:val="en-GB"/>
              </w:rPr>
            </w:pPr>
            <w:r w:rsidRPr="00FD7296">
              <w:rPr>
                <w:b w:val="0"/>
                <w:lang w:val="en-GB"/>
              </w:rPr>
              <w:t>Town</w:t>
            </w:r>
          </w:p>
        </w:tc>
        <w:tc>
          <w:tcPr>
            <w:tcW w:w="1843" w:type="dxa"/>
            <w:shd w:val="clear" w:color="auto" w:fill="BDD6EE" w:themeFill="accent1" w:themeFillTint="66"/>
            <w:vAlign w:val="center"/>
          </w:tcPr>
          <w:p w14:paraId="34BE800F" w14:textId="77777777" w:rsidR="00E02D0D" w:rsidRPr="00FD7296" w:rsidRDefault="00E02D0D" w:rsidP="00E02D0D">
            <w:pPr>
              <w:jc w:val="center"/>
              <w:cnfStyle w:val="000000100000" w:firstRow="0" w:lastRow="0" w:firstColumn="0" w:lastColumn="0" w:oddVBand="0" w:evenVBand="0" w:oddHBand="1" w:evenHBand="0" w:firstRowFirstColumn="0" w:firstRowLastColumn="0" w:lastRowFirstColumn="0" w:lastRowLastColumn="0"/>
              <w:rPr>
                <w:lang w:val="en-GB"/>
              </w:rPr>
            </w:pPr>
            <w:r>
              <w:rPr>
                <w:lang w:val="en-GB"/>
              </w:rPr>
              <w:t>$0.86</w:t>
            </w:r>
          </w:p>
        </w:tc>
        <w:tc>
          <w:tcPr>
            <w:tcW w:w="1701" w:type="dxa"/>
            <w:tcBorders>
              <w:left w:val="single" w:sz="4" w:space="0" w:color="auto"/>
              <w:bottom w:val="single" w:sz="4" w:space="0" w:color="auto"/>
              <w:right w:val="single" w:sz="4" w:space="0" w:color="auto"/>
            </w:tcBorders>
            <w:shd w:val="clear" w:color="auto" w:fill="BDD6EE" w:themeFill="accent1" w:themeFillTint="66"/>
            <w:vAlign w:val="center"/>
          </w:tcPr>
          <w:p w14:paraId="0B4380B7" w14:textId="77777777" w:rsidR="00E02D0D" w:rsidRPr="00FD7296" w:rsidRDefault="00E02D0D" w:rsidP="00E02D0D">
            <w:pPr>
              <w:jc w:val="center"/>
              <w:cnfStyle w:val="000000100000" w:firstRow="0" w:lastRow="0" w:firstColumn="0" w:lastColumn="0" w:oddVBand="0" w:evenVBand="0" w:oddHBand="1" w:evenHBand="0" w:firstRowFirstColumn="0" w:firstRowLastColumn="0" w:lastRowFirstColumn="0" w:lastRowLastColumn="0"/>
              <w:rPr>
                <w:lang w:val="en-GB"/>
              </w:rPr>
            </w:pPr>
            <w:r w:rsidRPr="00FD7296">
              <w:rPr>
                <w:lang w:val="en-GB"/>
              </w:rPr>
              <w:t>$</w:t>
            </w:r>
            <w:r>
              <w:rPr>
                <w:lang w:val="en-GB"/>
              </w:rPr>
              <w:t>0.86</w:t>
            </w:r>
          </w:p>
        </w:tc>
        <w:tc>
          <w:tcPr>
            <w:tcW w:w="1701" w:type="dxa"/>
            <w:tcBorders>
              <w:left w:val="single" w:sz="4" w:space="0" w:color="auto"/>
              <w:bottom w:val="single" w:sz="4" w:space="0" w:color="auto"/>
              <w:right w:val="single" w:sz="4" w:space="0" w:color="auto"/>
            </w:tcBorders>
            <w:shd w:val="clear" w:color="auto" w:fill="BDD6EE" w:themeFill="accent1" w:themeFillTint="66"/>
            <w:vAlign w:val="center"/>
          </w:tcPr>
          <w:p w14:paraId="37ADA7F9" w14:textId="77777777" w:rsidR="00E02D0D" w:rsidRPr="00E02D0D" w:rsidRDefault="00E02D0D" w:rsidP="00E02D0D">
            <w:pPr>
              <w:jc w:val="center"/>
              <w:cnfStyle w:val="000000100000" w:firstRow="0" w:lastRow="0" w:firstColumn="0" w:lastColumn="0" w:oddVBand="0" w:evenVBand="0" w:oddHBand="1" w:evenHBand="0" w:firstRowFirstColumn="0" w:firstRowLastColumn="0" w:lastRowFirstColumn="0" w:lastRowLastColumn="0"/>
              <w:rPr>
                <w:lang w:val="en-GB"/>
              </w:rPr>
            </w:pPr>
            <w:r w:rsidRPr="00E02D0D">
              <w:rPr>
                <w:lang w:val="en-GB"/>
              </w:rPr>
              <w:t>$0.86</w:t>
            </w:r>
          </w:p>
        </w:tc>
      </w:tr>
    </w:tbl>
    <w:p w14:paraId="74784789" w14:textId="77777777" w:rsidR="00E743D4" w:rsidRDefault="00E743D4" w:rsidP="00457C39">
      <w:pPr>
        <w:spacing w:after="120"/>
        <w:ind w:right="142"/>
        <w:jc w:val="both"/>
      </w:pPr>
    </w:p>
    <w:p w14:paraId="455D4915" w14:textId="77777777" w:rsidR="0071490E" w:rsidRDefault="0071490E" w:rsidP="0071490E">
      <w:pPr>
        <w:spacing w:after="0"/>
        <w:ind w:right="142"/>
        <w:jc w:val="both"/>
        <w:rPr>
          <w:lang w:val="en-GB"/>
        </w:rPr>
      </w:pPr>
      <w:r w:rsidRPr="00555E87">
        <w:rPr>
          <w:lang w:val="en-GB"/>
        </w:rPr>
        <w:t>For all fare-paying operators, the rates applicable to your monthly contract payment can be found on your Statement of Payment.</w:t>
      </w:r>
    </w:p>
    <w:p w14:paraId="26C97D47" w14:textId="77777777" w:rsidR="0071490E" w:rsidRDefault="0071490E" w:rsidP="0071490E">
      <w:pPr>
        <w:spacing w:after="0"/>
        <w:ind w:right="142"/>
        <w:jc w:val="both"/>
        <w:rPr>
          <w:lang w:val="en-GB"/>
        </w:rPr>
      </w:pPr>
    </w:p>
    <w:p w14:paraId="1AD7CDAF" w14:textId="77777777" w:rsidR="00E743D4" w:rsidRPr="00EF73A9" w:rsidRDefault="00E743D4" w:rsidP="00EF73A9">
      <w:pPr>
        <w:pStyle w:val="Heading1"/>
        <w:spacing w:before="0" w:after="120"/>
        <w:ind w:right="424"/>
        <w:jc w:val="both"/>
        <w:rPr>
          <w:color w:val="009999"/>
          <w:lang w:val="en-GB"/>
        </w:rPr>
      </w:pPr>
      <w:r w:rsidRPr="00EF73A9">
        <w:rPr>
          <w:color w:val="009999"/>
          <w:lang w:val="en-GB"/>
        </w:rPr>
        <w:t xml:space="preserve">Contacting </w:t>
      </w:r>
      <w:r w:rsidR="000B5EEC" w:rsidRPr="00EF73A9">
        <w:rPr>
          <w:color w:val="009999"/>
          <w:lang w:val="en-GB"/>
        </w:rPr>
        <w:t>Passenger Transport</w:t>
      </w:r>
    </w:p>
    <w:p w14:paraId="63FA7196" w14:textId="43BA26F8" w:rsidR="00E743D4" w:rsidRDefault="00E743D4" w:rsidP="00E743D4">
      <w:pPr>
        <w:spacing w:after="120"/>
        <w:ind w:right="424"/>
        <w:jc w:val="both"/>
        <w:rPr>
          <w:lang w:val="en-GB"/>
        </w:rPr>
      </w:pPr>
      <w:r>
        <w:rPr>
          <w:color w:val="000000"/>
          <w:lang w:val="en-GB"/>
        </w:rPr>
        <w:t xml:space="preserve">For all enquiries or notifications relating to your current contract (i.e. a service you currently provide) </w:t>
      </w:r>
      <w:r w:rsidR="00934DBE">
        <w:rPr>
          <w:color w:val="000000"/>
          <w:lang w:val="en-GB"/>
        </w:rPr>
        <w:t xml:space="preserve">please </w:t>
      </w:r>
      <w:r>
        <w:rPr>
          <w:color w:val="000000"/>
          <w:lang w:val="en-GB"/>
        </w:rPr>
        <w:t xml:space="preserve">contact </w:t>
      </w:r>
      <w:r w:rsidR="00E02D0D">
        <w:rPr>
          <w:color w:val="000000"/>
          <w:lang w:val="en-GB"/>
        </w:rPr>
        <w:t xml:space="preserve">the </w:t>
      </w:r>
      <w:r>
        <w:rPr>
          <w:color w:val="000000"/>
          <w:lang w:val="en-GB"/>
        </w:rPr>
        <w:t xml:space="preserve">Passenger Transport </w:t>
      </w:r>
      <w:r w:rsidR="00E02D0D">
        <w:rPr>
          <w:color w:val="000000"/>
          <w:lang w:val="en-GB"/>
        </w:rPr>
        <w:t xml:space="preserve">Contracts unit </w:t>
      </w:r>
      <w:r>
        <w:rPr>
          <w:color w:val="000000"/>
          <w:lang w:val="en-GB"/>
        </w:rPr>
        <w:t xml:space="preserve">via email </w:t>
      </w:r>
      <w:hyperlink r:id="rId17" w:history="1">
        <w:r w:rsidRPr="00F42CDF">
          <w:rPr>
            <w:rStyle w:val="Hyperlink"/>
            <w:lang w:val="en-GB"/>
          </w:rPr>
          <w:t>ptscontracts@stategrowth.tas.gov.au</w:t>
        </w:r>
      </w:hyperlink>
      <w:r>
        <w:rPr>
          <w:color w:val="000000"/>
          <w:lang w:val="en-GB"/>
        </w:rPr>
        <w:t xml:space="preserve"> or phone </w:t>
      </w:r>
      <w:r w:rsidR="001F35C5">
        <w:rPr>
          <w:color w:val="000000"/>
          <w:lang w:val="en-GB"/>
        </w:rPr>
        <w:t xml:space="preserve">(03) </w:t>
      </w:r>
      <w:r>
        <w:rPr>
          <w:color w:val="000000"/>
          <w:lang w:val="en-GB"/>
        </w:rPr>
        <w:t>6166 3343</w:t>
      </w:r>
      <w:r w:rsidRPr="00C14152">
        <w:rPr>
          <w:lang w:val="en-GB"/>
        </w:rPr>
        <w:t>.</w:t>
      </w:r>
    </w:p>
    <w:p w14:paraId="19E47E7B" w14:textId="77777777" w:rsidR="00E02D0D" w:rsidRDefault="00E02D0D" w:rsidP="00E743D4">
      <w:pPr>
        <w:spacing w:after="120"/>
        <w:ind w:right="424"/>
        <w:jc w:val="both"/>
        <w:rPr>
          <w:lang w:val="en-GB"/>
        </w:rPr>
      </w:pPr>
    </w:p>
    <w:p w14:paraId="6DD4F93E" w14:textId="77777777" w:rsidR="00E02D0D" w:rsidRDefault="00E02D0D" w:rsidP="00E743D4">
      <w:pPr>
        <w:spacing w:after="120"/>
        <w:ind w:right="424"/>
        <w:jc w:val="both"/>
        <w:rPr>
          <w:lang w:val="en-GB"/>
        </w:rPr>
      </w:pPr>
    </w:p>
    <w:p w14:paraId="1E6AA115" w14:textId="77777777" w:rsidR="00E02D0D" w:rsidRDefault="00E02D0D" w:rsidP="00E743D4">
      <w:pPr>
        <w:spacing w:after="120"/>
        <w:ind w:right="424"/>
        <w:jc w:val="both"/>
        <w:rPr>
          <w:lang w:val="en-GB"/>
        </w:rPr>
      </w:pPr>
    </w:p>
    <w:p w14:paraId="7BB26948" w14:textId="77777777" w:rsidR="00E743D4" w:rsidRPr="00D526FF" w:rsidRDefault="00E743D4" w:rsidP="00D95DEB">
      <w:pPr>
        <w:spacing w:after="480"/>
        <w:rPr>
          <w:lang w:val="en-GB"/>
        </w:rPr>
      </w:pPr>
    </w:p>
    <w:sectPr w:rsidR="00E743D4" w:rsidRPr="00D526FF" w:rsidSect="00251D29">
      <w:footerReference w:type="default" r:id="rId18"/>
      <w:footerReference w:type="first" r:id="rId19"/>
      <w:pgSz w:w="11906" w:h="16838"/>
      <w:pgMar w:top="1276" w:right="425" w:bottom="1135"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50198C" w14:textId="77777777" w:rsidR="00D95ACC" w:rsidRDefault="00D95ACC" w:rsidP="006E7989">
      <w:pPr>
        <w:spacing w:after="0" w:line="240" w:lineRule="auto"/>
      </w:pPr>
      <w:r>
        <w:separator/>
      </w:r>
    </w:p>
  </w:endnote>
  <w:endnote w:type="continuationSeparator" w:id="0">
    <w:p w14:paraId="43871B16" w14:textId="77777777" w:rsidR="00D95ACC" w:rsidRDefault="00D95ACC" w:rsidP="006E79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2183931"/>
      <w:docPartObj>
        <w:docPartGallery w:val="Page Numbers (Bottom of Page)"/>
        <w:docPartUnique/>
      </w:docPartObj>
    </w:sdtPr>
    <w:sdtEndPr/>
    <w:sdtContent>
      <w:sdt>
        <w:sdtPr>
          <w:id w:val="1164357134"/>
          <w:docPartObj>
            <w:docPartGallery w:val="Page Numbers (Top of Page)"/>
            <w:docPartUnique/>
          </w:docPartObj>
        </w:sdtPr>
        <w:sdtEndPr/>
        <w:sdtContent>
          <w:p w14:paraId="50D64F5B" w14:textId="77777777" w:rsidR="00AC1379" w:rsidRDefault="00AC137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25F8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5F8B">
              <w:rPr>
                <w:b/>
                <w:bCs/>
                <w:noProof/>
              </w:rPr>
              <w:t>5</w:t>
            </w:r>
            <w:r>
              <w:rPr>
                <w:b/>
                <w:bCs/>
                <w:sz w:val="24"/>
                <w:szCs w:val="24"/>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7917227"/>
      <w:docPartObj>
        <w:docPartGallery w:val="Page Numbers (Bottom of Page)"/>
        <w:docPartUnique/>
      </w:docPartObj>
    </w:sdtPr>
    <w:sdtEndPr/>
    <w:sdtContent>
      <w:sdt>
        <w:sdtPr>
          <w:id w:val="506634445"/>
          <w:docPartObj>
            <w:docPartGallery w:val="Page Numbers (Top of Page)"/>
            <w:docPartUnique/>
          </w:docPartObj>
        </w:sdtPr>
        <w:sdtEndPr/>
        <w:sdtContent>
          <w:p w14:paraId="078A912A" w14:textId="77777777" w:rsidR="00AC1379" w:rsidRDefault="00AC1379" w:rsidP="006D3E7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25F8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25F8B">
              <w:rPr>
                <w:b/>
                <w:bCs/>
                <w:noProof/>
              </w:rPr>
              <w:t>5</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26AC9" w14:textId="77777777" w:rsidR="00D95ACC" w:rsidRDefault="00D95ACC" w:rsidP="006E7989">
      <w:pPr>
        <w:spacing w:after="0" w:line="240" w:lineRule="auto"/>
      </w:pPr>
      <w:r>
        <w:separator/>
      </w:r>
    </w:p>
  </w:footnote>
  <w:footnote w:type="continuationSeparator" w:id="0">
    <w:p w14:paraId="5DC42513" w14:textId="77777777" w:rsidR="00D95ACC" w:rsidRDefault="00D95ACC" w:rsidP="006E79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25CA0"/>
    <w:multiLevelType w:val="hybridMultilevel"/>
    <w:tmpl w:val="68BA0A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5D1D80"/>
    <w:multiLevelType w:val="hybridMultilevel"/>
    <w:tmpl w:val="E73A2D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91A559D"/>
    <w:multiLevelType w:val="hybridMultilevel"/>
    <w:tmpl w:val="5DA627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944199A"/>
    <w:multiLevelType w:val="hybridMultilevel"/>
    <w:tmpl w:val="D57A51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C84BA0"/>
    <w:multiLevelType w:val="hybridMultilevel"/>
    <w:tmpl w:val="1406A4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5D037A"/>
    <w:multiLevelType w:val="hybridMultilevel"/>
    <w:tmpl w:val="21BCAF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30EE54F3"/>
    <w:multiLevelType w:val="hybridMultilevel"/>
    <w:tmpl w:val="5CC8DE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99777E"/>
    <w:multiLevelType w:val="hybridMultilevel"/>
    <w:tmpl w:val="EAC403EC"/>
    <w:lvl w:ilvl="0" w:tplc="87D6966E">
      <w:start w:val="1"/>
      <w:numFmt w:val="decimal"/>
      <w:lvlText w:val="%1."/>
      <w:lvlJc w:val="left"/>
      <w:pPr>
        <w:ind w:left="144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25404F1"/>
    <w:multiLevelType w:val="hybridMultilevel"/>
    <w:tmpl w:val="5FF47746"/>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CA01FA"/>
    <w:multiLevelType w:val="hybridMultilevel"/>
    <w:tmpl w:val="F8B045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984CD6"/>
    <w:multiLevelType w:val="hybridMultilevel"/>
    <w:tmpl w:val="C47686AA"/>
    <w:lvl w:ilvl="0" w:tplc="0C09000F">
      <w:start w:val="1"/>
      <w:numFmt w:val="decimal"/>
      <w:lvlText w:val="%1."/>
      <w:lvlJc w:val="left"/>
      <w:pPr>
        <w:ind w:left="2574" w:hanging="360"/>
      </w:pPr>
    </w:lvl>
    <w:lvl w:ilvl="1" w:tplc="0C090019" w:tentative="1">
      <w:start w:val="1"/>
      <w:numFmt w:val="lowerLetter"/>
      <w:lvlText w:val="%2."/>
      <w:lvlJc w:val="left"/>
      <w:pPr>
        <w:ind w:left="3294" w:hanging="360"/>
      </w:pPr>
    </w:lvl>
    <w:lvl w:ilvl="2" w:tplc="0C09001B" w:tentative="1">
      <w:start w:val="1"/>
      <w:numFmt w:val="lowerRoman"/>
      <w:lvlText w:val="%3."/>
      <w:lvlJc w:val="right"/>
      <w:pPr>
        <w:ind w:left="4014" w:hanging="180"/>
      </w:pPr>
    </w:lvl>
    <w:lvl w:ilvl="3" w:tplc="0C09000F" w:tentative="1">
      <w:start w:val="1"/>
      <w:numFmt w:val="decimal"/>
      <w:lvlText w:val="%4."/>
      <w:lvlJc w:val="left"/>
      <w:pPr>
        <w:ind w:left="4734" w:hanging="360"/>
      </w:pPr>
    </w:lvl>
    <w:lvl w:ilvl="4" w:tplc="0C090019" w:tentative="1">
      <w:start w:val="1"/>
      <w:numFmt w:val="lowerLetter"/>
      <w:lvlText w:val="%5."/>
      <w:lvlJc w:val="left"/>
      <w:pPr>
        <w:ind w:left="5454" w:hanging="360"/>
      </w:pPr>
    </w:lvl>
    <w:lvl w:ilvl="5" w:tplc="0C09001B" w:tentative="1">
      <w:start w:val="1"/>
      <w:numFmt w:val="lowerRoman"/>
      <w:lvlText w:val="%6."/>
      <w:lvlJc w:val="right"/>
      <w:pPr>
        <w:ind w:left="6174" w:hanging="180"/>
      </w:pPr>
    </w:lvl>
    <w:lvl w:ilvl="6" w:tplc="0C09000F" w:tentative="1">
      <w:start w:val="1"/>
      <w:numFmt w:val="decimal"/>
      <w:lvlText w:val="%7."/>
      <w:lvlJc w:val="left"/>
      <w:pPr>
        <w:ind w:left="6894" w:hanging="360"/>
      </w:pPr>
    </w:lvl>
    <w:lvl w:ilvl="7" w:tplc="0C090019" w:tentative="1">
      <w:start w:val="1"/>
      <w:numFmt w:val="lowerLetter"/>
      <w:lvlText w:val="%8."/>
      <w:lvlJc w:val="left"/>
      <w:pPr>
        <w:ind w:left="7614" w:hanging="360"/>
      </w:pPr>
    </w:lvl>
    <w:lvl w:ilvl="8" w:tplc="0C09001B" w:tentative="1">
      <w:start w:val="1"/>
      <w:numFmt w:val="lowerRoman"/>
      <w:lvlText w:val="%9."/>
      <w:lvlJc w:val="right"/>
      <w:pPr>
        <w:ind w:left="8334" w:hanging="180"/>
      </w:pPr>
    </w:lvl>
  </w:abstractNum>
  <w:abstractNum w:abstractNumId="11" w15:restartNumberingAfterBreak="0">
    <w:nsid w:val="404D1D68"/>
    <w:multiLevelType w:val="hybridMultilevel"/>
    <w:tmpl w:val="A14C4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1BA4FD0"/>
    <w:multiLevelType w:val="hybridMultilevel"/>
    <w:tmpl w:val="55D8B4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2DB168A"/>
    <w:multiLevelType w:val="hybridMultilevel"/>
    <w:tmpl w:val="5BAC2996"/>
    <w:lvl w:ilvl="0" w:tplc="C082C3D2">
      <w:start w:val="1"/>
      <w:numFmt w:val="decimal"/>
      <w:lvlText w:val="%1."/>
      <w:lvlJc w:val="left"/>
      <w:pPr>
        <w:ind w:left="720" w:hanging="360"/>
      </w:pPr>
      <w:rPr>
        <w:rFonts w:ascii="Gill Sans MT" w:eastAsiaTheme="minorHAnsi" w:hAnsi="Gill Sans MT" w:cstheme="minorBid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D9B7C26"/>
    <w:multiLevelType w:val="hybridMultilevel"/>
    <w:tmpl w:val="6C94E622"/>
    <w:lvl w:ilvl="0" w:tplc="87D6966E">
      <w:start w:val="1"/>
      <w:numFmt w:val="decimal"/>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5" w15:restartNumberingAfterBreak="0">
    <w:nsid w:val="54E75857"/>
    <w:multiLevelType w:val="hybridMultilevel"/>
    <w:tmpl w:val="A0C4F762"/>
    <w:lvl w:ilvl="0" w:tplc="0C090003">
      <w:start w:val="1"/>
      <w:numFmt w:val="bullet"/>
      <w:lvlText w:val="o"/>
      <w:lvlJc w:val="left"/>
      <w:pPr>
        <w:ind w:left="1571" w:hanging="360"/>
      </w:pPr>
      <w:rPr>
        <w:rFonts w:ascii="Courier New" w:hAnsi="Courier New" w:cs="Courier New"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16" w15:restartNumberingAfterBreak="0">
    <w:nsid w:val="55A441DE"/>
    <w:multiLevelType w:val="hybridMultilevel"/>
    <w:tmpl w:val="2F7E7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7157D91"/>
    <w:multiLevelType w:val="hybridMultilevel"/>
    <w:tmpl w:val="AF8633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2BD272E"/>
    <w:multiLevelType w:val="hybridMultilevel"/>
    <w:tmpl w:val="7D6E52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E785147"/>
    <w:multiLevelType w:val="hybridMultilevel"/>
    <w:tmpl w:val="AADAE6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1564E6A"/>
    <w:multiLevelType w:val="hybridMultilevel"/>
    <w:tmpl w:val="3D22C6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2B00BF1"/>
    <w:multiLevelType w:val="hybridMultilevel"/>
    <w:tmpl w:val="93BC061A"/>
    <w:lvl w:ilvl="0" w:tplc="0C090001">
      <w:start w:val="1"/>
      <w:numFmt w:val="bullet"/>
      <w:lvlText w:val=""/>
      <w:lvlJc w:val="left"/>
      <w:pPr>
        <w:ind w:left="1571" w:hanging="360"/>
      </w:pPr>
      <w:rPr>
        <w:rFonts w:ascii="Symbol" w:hAnsi="Symbol" w:hint="default"/>
      </w:rPr>
    </w:lvl>
    <w:lvl w:ilvl="1" w:tplc="0C090019" w:tentative="1">
      <w:start w:val="1"/>
      <w:numFmt w:val="lowerLetter"/>
      <w:lvlText w:val="%2."/>
      <w:lvlJc w:val="left"/>
      <w:pPr>
        <w:ind w:left="2291" w:hanging="360"/>
      </w:pPr>
    </w:lvl>
    <w:lvl w:ilvl="2" w:tplc="0C09001B" w:tentative="1">
      <w:start w:val="1"/>
      <w:numFmt w:val="lowerRoman"/>
      <w:lvlText w:val="%3."/>
      <w:lvlJc w:val="right"/>
      <w:pPr>
        <w:ind w:left="3011" w:hanging="180"/>
      </w:pPr>
    </w:lvl>
    <w:lvl w:ilvl="3" w:tplc="0C09000F" w:tentative="1">
      <w:start w:val="1"/>
      <w:numFmt w:val="decimal"/>
      <w:lvlText w:val="%4."/>
      <w:lvlJc w:val="left"/>
      <w:pPr>
        <w:ind w:left="3731" w:hanging="360"/>
      </w:pPr>
    </w:lvl>
    <w:lvl w:ilvl="4" w:tplc="0C090019" w:tentative="1">
      <w:start w:val="1"/>
      <w:numFmt w:val="lowerLetter"/>
      <w:lvlText w:val="%5."/>
      <w:lvlJc w:val="left"/>
      <w:pPr>
        <w:ind w:left="4451" w:hanging="360"/>
      </w:pPr>
    </w:lvl>
    <w:lvl w:ilvl="5" w:tplc="0C09001B" w:tentative="1">
      <w:start w:val="1"/>
      <w:numFmt w:val="lowerRoman"/>
      <w:lvlText w:val="%6."/>
      <w:lvlJc w:val="right"/>
      <w:pPr>
        <w:ind w:left="5171" w:hanging="180"/>
      </w:pPr>
    </w:lvl>
    <w:lvl w:ilvl="6" w:tplc="0C09000F" w:tentative="1">
      <w:start w:val="1"/>
      <w:numFmt w:val="decimal"/>
      <w:lvlText w:val="%7."/>
      <w:lvlJc w:val="left"/>
      <w:pPr>
        <w:ind w:left="5891" w:hanging="360"/>
      </w:pPr>
    </w:lvl>
    <w:lvl w:ilvl="7" w:tplc="0C090019" w:tentative="1">
      <w:start w:val="1"/>
      <w:numFmt w:val="lowerLetter"/>
      <w:lvlText w:val="%8."/>
      <w:lvlJc w:val="left"/>
      <w:pPr>
        <w:ind w:left="6611" w:hanging="360"/>
      </w:pPr>
    </w:lvl>
    <w:lvl w:ilvl="8" w:tplc="0C09001B" w:tentative="1">
      <w:start w:val="1"/>
      <w:numFmt w:val="lowerRoman"/>
      <w:lvlText w:val="%9."/>
      <w:lvlJc w:val="right"/>
      <w:pPr>
        <w:ind w:left="7331" w:hanging="180"/>
      </w:pPr>
    </w:lvl>
  </w:abstractNum>
  <w:abstractNum w:abstractNumId="22" w15:restartNumberingAfterBreak="0">
    <w:nsid w:val="798523B2"/>
    <w:multiLevelType w:val="hybridMultilevel"/>
    <w:tmpl w:val="A502B742"/>
    <w:lvl w:ilvl="0" w:tplc="47644D94">
      <w:numFmt w:val="bullet"/>
      <w:lvlText w:val="•"/>
      <w:lvlJc w:val="left"/>
      <w:pPr>
        <w:ind w:left="1080" w:hanging="720"/>
      </w:pPr>
      <w:rPr>
        <w:rFonts w:ascii="Gill Sans MT" w:eastAsiaTheme="minorHAnsi" w:hAnsi="Gill Sans M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B442BE9"/>
    <w:multiLevelType w:val="hybridMultilevel"/>
    <w:tmpl w:val="6E9E0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7E124242"/>
    <w:multiLevelType w:val="hybridMultilevel"/>
    <w:tmpl w:val="6450EC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F1F0C89"/>
    <w:multiLevelType w:val="hybridMultilevel"/>
    <w:tmpl w:val="3A1239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2"/>
  </w:num>
  <w:num w:numId="3">
    <w:abstractNumId w:val="22"/>
  </w:num>
  <w:num w:numId="4">
    <w:abstractNumId w:val="8"/>
  </w:num>
  <w:num w:numId="5">
    <w:abstractNumId w:val="23"/>
  </w:num>
  <w:num w:numId="6">
    <w:abstractNumId w:val="4"/>
  </w:num>
  <w:num w:numId="7">
    <w:abstractNumId w:val="3"/>
  </w:num>
  <w:num w:numId="8">
    <w:abstractNumId w:val="13"/>
  </w:num>
  <w:num w:numId="9">
    <w:abstractNumId w:val="9"/>
  </w:num>
  <w:num w:numId="10">
    <w:abstractNumId w:val="14"/>
  </w:num>
  <w:num w:numId="11">
    <w:abstractNumId w:val="7"/>
  </w:num>
  <w:num w:numId="12">
    <w:abstractNumId w:val="1"/>
  </w:num>
  <w:num w:numId="13">
    <w:abstractNumId w:val="16"/>
  </w:num>
  <w:num w:numId="14">
    <w:abstractNumId w:val="17"/>
  </w:num>
  <w:num w:numId="15">
    <w:abstractNumId w:val="10"/>
  </w:num>
  <w:num w:numId="16">
    <w:abstractNumId w:val="2"/>
  </w:num>
  <w:num w:numId="17">
    <w:abstractNumId w:val="19"/>
  </w:num>
  <w:num w:numId="18">
    <w:abstractNumId w:val="18"/>
  </w:num>
  <w:num w:numId="19">
    <w:abstractNumId w:val="21"/>
  </w:num>
  <w:num w:numId="20">
    <w:abstractNumId w:val="15"/>
  </w:num>
  <w:num w:numId="21">
    <w:abstractNumId w:val="24"/>
  </w:num>
  <w:num w:numId="22">
    <w:abstractNumId w:val="0"/>
  </w:num>
  <w:num w:numId="23">
    <w:abstractNumId w:val="25"/>
  </w:num>
  <w:num w:numId="24">
    <w:abstractNumId w:val="5"/>
  </w:num>
  <w:num w:numId="25">
    <w:abstractNumId w:val="2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989"/>
    <w:rsid w:val="00004FE3"/>
    <w:rsid w:val="00005969"/>
    <w:rsid w:val="000128DB"/>
    <w:rsid w:val="000131E2"/>
    <w:rsid w:val="0002624D"/>
    <w:rsid w:val="000318C8"/>
    <w:rsid w:val="000365B5"/>
    <w:rsid w:val="00037544"/>
    <w:rsid w:val="0004329D"/>
    <w:rsid w:val="00066EDD"/>
    <w:rsid w:val="00074464"/>
    <w:rsid w:val="0008156C"/>
    <w:rsid w:val="0008189B"/>
    <w:rsid w:val="000828D2"/>
    <w:rsid w:val="00090A53"/>
    <w:rsid w:val="00093317"/>
    <w:rsid w:val="000A0AE8"/>
    <w:rsid w:val="000A1308"/>
    <w:rsid w:val="000A2398"/>
    <w:rsid w:val="000A6791"/>
    <w:rsid w:val="000B160F"/>
    <w:rsid w:val="000B3A90"/>
    <w:rsid w:val="000B5EEC"/>
    <w:rsid w:val="000E33D6"/>
    <w:rsid w:val="000E3B66"/>
    <w:rsid w:val="000E5801"/>
    <w:rsid w:val="000E7F9B"/>
    <w:rsid w:val="000F316C"/>
    <w:rsid w:val="000F335B"/>
    <w:rsid w:val="000F376D"/>
    <w:rsid w:val="000F4460"/>
    <w:rsid w:val="000F4FB0"/>
    <w:rsid w:val="000F57A6"/>
    <w:rsid w:val="0011197C"/>
    <w:rsid w:val="001251C5"/>
    <w:rsid w:val="00133928"/>
    <w:rsid w:val="00136A8D"/>
    <w:rsid w:val="001445FB"/>
    <w:rsid w:val="00144AD4"/>
    <w:rsid w:val="00150FD2"/>
    <w:rsid w:val="00154407"/>
    <w:rsid w:val="00156EA1"/>
    <w:rsid w:val="00165072"/>
    <w:rsid w:val="00183C17"/>
    <w:rsid w:val="00187DB3"/>
    <w:rsid w:val="001A4B73"/>
    <w:rsid w:val="001A738C"/>
    <w:rsid w:val="001B17D1"/>
    <w:rsid w:val="001B36A5"/>
    <w:rsid w:val="001B48CB"/>
    <w:rsid w:val="001D0ABD"/>
    <w:rsid w:val="001D1292"/>
    <w:rsid w:val="001D14CD"/>
    <w:rsid w:val="001E362C"/>
    <w:rsid w:val="001F0558"/>
    <w:rsid w:val="001F1436"/>
    <w:rsid w:val="001F24D6"/>
    <w:rsid w:val="001F35C5"/>
    <w:rsid w:val="002105D4"/>
    <w:rsid w:val="00231083"/>
    <w:rsid w:val="0023174A"/>
    <w:rsid w:val="00232BA3"/>
    <w:rsid w:val="00233019"/>
    <w:rsid w:val="00235DE0"/>
    <w:rsid w:val="00246645"/>
    <w:rsid w:val="00251D29"/>
    <w:rsid w:val="00256E8C"/>
    <w:rsid w:val="00263478"/>
    <w:rsid w:val="00263D22"/>
    <w:rsid w:val="00270277"/>
    <w:rsid w:val="00277513"/>
    <w:rsid w:val="00286354"/>
    <w:rsid w:val="00290610"/>
    <w:rsid w:val="00293BC5"/>
    <w:rsid w:val="00296544"/>
    <w:rsid w:val="0029774B"/>
    <w:rsid w:val="002A0E91"/>
    <w:rsid w:val="002A567A"/>
    <w:rsid w:val="002B4D81"/>
    <w:rsid w:val="002C4546"/>
    <w:rsid w:val="002C46D0"/>
    <w:rsid w:val="002C4873"/>
    <w:rsid w:val="002C4A41"/>
    <w:rsid w:val="002D4575"/>
    <w:rsid w:val="002E181E"/>
    <w:rsid w:val="002E2476"/>
    <w:rsid w:val="002F0DC8"/>
    <w:rsid w:val="002F507D"/>
    <w:rsid w:val="002F5F66"/>
    <w:rsid w:val="00301DF8"/>
    <w:rsid w:val="00315601"/>
    <w:rsid w:val="0032049D"/>
    <w:rsid w:val="00321B30"/>
    <w:rsid w:val="00322D7B"/>
    <w:rsid w:val="00325109"/>
    <w:rsid w:val="0032715C"/>
    <w:rsid w:val="00333F8F"/>
    <w:rsid w:val="0033791E"/>
    <w:rsid w:val="00337D83"/>
    <w:rsid w:val="00341DE6"/>
    <w:rsid w:val="00345A2C"/>
    <w:rsid w:val="00360130"/>
    <w:rsid w:val="003636B3"/>
    <w:rsid w:val="0036511A"/>
    <w:rsid w:val="00367819"/>
    <w:rsid w:val="00367D9A"/>
    <w:rsid w:val="003736A6"/>
    <w:rsid w:val="00373C5B"/>
    <w:rsid w:val="00374AC1"/>
    <w:rsid w:val="00381DA1"/>
    <w:rsid w:val="00383B1A"/>
    <w:rsid w:val="003840AB"/>
    <w:rsid w:val="00390F6C"/>
    <w:rsid w:val="0039223E"/>
    <w:rsid w:val="003931E4"/>
    <w:rsid w:val="003B4010"/>
    <w:rsid w:val="003C078E"/>
    <w:rsid w:val="003C5EB5"/>
    <w:rsid w:val="003C6537"/>
    <w:rsid w:val="003D0977"/>
    <w:rsid w:val="003D0B73"/>
    <w:rsid w:val="003D2B46"/>
    <w:rsid w:val="003D3475"/>
    <w:rsid w:val="003D35A5"/>
    <w:rsid w:val="003E6949"/>
    <w:rsid w:val="003F1451"/>
    <w:rsid w:val="003F20A2"/>
    <w:rsid w:val="003F78C4"/>
    <w:rsid w:val="004018FC"/>
    <w:rsid w:val="004032CC"/>
    <w:rsid w:val="00410BA0"/>
    <w:rsid w:val="0041189C"/>
    <w:rsid w:val="00423A35"/>
    <w:rsid w:val="0043343A"/>
    <w:rsid w:val="004342D5"/>
    <w:rsid w:val="00434A69"/>
    <w:rsid w:val="0043614D"/>
    <w:rsid w:val="004429DE"/>
    <w:rsid w:val="0044391A"/>
    <w:rsid w:val="00454196"/>
    <w:rsid w:val="00457C39"/>
    <w:rsid w:val="00457F48"/>
    <w:rsid w:val="00474F8E"/>
    <w:rsid w:val="004754F9"/>
    <w:rsid w:val="00480087"/>
    <w:rsid w:val="00492E78"/>
    <w:rsid w:val="004936FC"/>
    <w:rsid w:val="0049569F"/>
    <w:rsid w:val="004957A3"/>
    <w:rsid w:val="00495950"/>
    <w:rsid w:val="00496492"/>
    <w:rsid w:val="00496B6C"/>
    <w:rsid w:val="004A75D2"/>
    <w:rsid w:val="004B3D3A"/>
    <w:rsid w:val="004B6C67"/>
    <w:rsid w:val="004B712A"/>
    <w:rsid w:val="004C1085"/>
    <w:rsid w:val="004C2A0A"/>
    <w:rsid w:val="004C30D9"/>
    <w:rsid w:val="004D4847"/>
    <w:rsid w:val="004E167B"/>
    <w:rsid w:val="004E5F84"/>
    <w:rsid w:val="004E6647"/>
    <w:rsid w:val="004F3CE5"/>
    <w:rsid w:val="004F4451"/>
    <w:rsid w:val="004F55E1"/>
    <w:rsid w:val="004F6337"/>
    <w:rsid w:val="00506F1C"/>
    <w:rsid w:val="0051424A"/>
    <w:rsid w:val="005207CA"/>
    <w:rsid w:val="00520E66"/>
    <w:rsid w:val="00524001"/>
    <w:rsid w:val="005246BC"/>
    <w:rsid w:val="0052636F"/>
    <w:rsid w:val="00527DEA"/>
    <w:rsid w:val="00534224"/>
    <w:rsid w:val="00541C80"/>
    <w:rsid w:val="00553C9A"/>
    <w:rsid w:val="00553CE1"/>
    <w:rsid w:val="00555E87"/>
    <w:rsid w:val="00556058"/>
    <w:rsid w:val="005726D0"/>
    <w:rsid w:val="00573CE6"/>
    <w:rsid w:val="005769C9"/>
    <w:rsid w:val="00583C1B"/>
    <w:rsid w:val="00583D4E"/>
    <w:rsid w:val="00585C9D"/>
    <w:rsid w:val="00585D44"/>
    <w:rsid w:val="00586F12"/>
    <w:rsid w:val="005A17A0"/>
    <w:rsid w:val="005A193A"/>
    <w:rsid w:val="005A4A7C"/>
    <w:rsid w:val="005C18F3"/>
    <w:rsid w:val="005C5961"/>
    <w:rsid w:val="005C6047"/>
    <w:rsid w:val="005C644C"/>
    <w:rsid w:val="005D7F42"/>
    <w:rsid w:val="005E1BFF"/>
    <w:rsid w:val="005E73AE"/>
    <w:rsid w:val="005F7ED3"/>
    <w:rsid w:val="00603F2A"/>
    <w:rsid w:val="00612115"/>
    <w:rsid w:val="00613178"/>
    <w:rsid w:val="00613257"/>
    <w:rsid w:val="00613509"/>
    <w:rsid w:val="006306E3"/>
    <w:rsid w:val="00637C36"/>
    <w:rsid w:val="006530DF"/>
    <w:rsid w:val="00654ED9"/>
    <w:rsid w:val="006568D6"/>
    <w:rsid w:val="00656C58"/>
    <w:rsid w:val="00661B31"/>
    <w:rsid w:val="00662A6C"/>
    <w:rsid w:val="00676E42"/>
    <w:rsid w:val="006775D9"/>
    <w:rsid w:val="00681B46"/>
    <w:rsid w:val="0068384D"/>
    <w:rsid w:val="006968DC"/>
    <w:rsid w:val="006A62AD"/>
    <w:rsid w:val="006A739F"/>
    <w:rsid w:val="006B0B21"/>
    <w:rsid w:val="006B52C2"/>
    <w:rsid w:val="006C1E68"/>
    <w:rsid w:val="006C5A86"/>
    <w:rsid w:val="006D13F6"/>
    <w:rsid w:val="006D3E7E"/>
    <w:rsid w:val="006D448A"/>
    <w:rsid w:val="006D46A6"/>
    <w:rsid w:val="006E2B62"/>
    <w:rsid w:val="006E60FE"/>
    <w:rsid w:val="006E6D66"/>
    <w:rsid w:val="006E7989"/>
    <w:rsid w:val="006F0EF7"/>
    <w:rsid w:val="006F124A"/>
    <w:rsid w:val="006F524B"/>
    <w:rsid w:val="00712E77"/>
    <w:rsid w:val="0071490E"/>
    <w:rsid w:val="00714FEA"/>
    <w:rsid w:val="0071620E"/>
    <w:rsid w:val="00716ABE"/>
    <w:rsid w:val="0072008E"/>
    <w:rsid w:val="00722A99"/>
    <w:rsid w:val="00723B91"/>
    <w:rsid w:val="0072481F"/>
    <w:rsid w:val="00732865"/>
    <w:rsid w:val="00745168"/>
    <w:rsid w:val="00746716"/>
    <w:rsid w:val="0075111C"/>
    <w:rsid w:val="00753B8A"/>
    <w:rsid w:val="007543F1"/>
    <w:rsid w:val="00764248"/>
    <w:rsid w:val="00774F97"/>
    <w:rsid w:val="00776DA9"/>
    <w:rsid w:val="00781905"/>
    <w:rsid w:val="00793716"/>
    <w:rsid w:val="007B02F1"/>
    <w:rsid w:val="007C0427"/>
    <w:rsid w:val="007C7A40"/>
    <w:rsid w:val="007D08DA"/>
    <w:rsid w:val="007D1D07"/>
    <w:rsid w:val="007D69E8"/>
    <w:rsid w:val="007F0CA4"/>
    <w:rsid w:val="007F0FBD"/>
    <w:rsid w:val="007F49F4"/>
    <w:rsid w:val="007F4A12"/>
    <w:rsid w:val="007F7622"/>
    <w:rsid w:val="008058DD"/>
    <w:rsid w:val="00807FD9"/>
    <w:rsid w:val="00810753"/>
    <w:rsid w:val="008170C4"/>
    <w:rsid w:val="008229DC"/>
    <w:rsid w:val="00822C95"/>
    <w:rsid w:val="0083367A"/>
    <w:rsid w:val="008467F1"/>
    <w:rsid w:val="008514CF"/>
    <w:rsid w:val="00852E2C"/>
    <w:rsid w:val="00857486"/>
    <w:rsid w:val="0086390F"/>
    <w:rsid w:val="00863B55"/>
    <w:rsid w:val="00864E0E"/>
    <w:rsid w:val="00880474"/>
    <w:rsid w:val="00881E18"/>
    <w:rsid w:val="008A63BE"/>
    <w:rsid w:val="008B5351"/>
    <w:rsid w:val="008B629B"/>
    <w:rsid w:val="008B688D"/>
    <w:rsid w:val="008C142C"/>
    <w:rsid w:val="008C1704"/>
    <w:rsid w:val="008C33D4"/>
    <w:rsid w:val="008C3B23"/>
    <w:rsid w:val="008C527F"/>
    <w:rsid w:val="008C536B"/>
    <w:rsid w:val="008C6D9C"/>
    <w:rsid w:val="008C7696"/>
    <w:rsid w:val="008C7709"/>
    <w:rsid w:val="008E42C0"/>
    <w:rsid w:val="008E6D8D"/>
    <w:rsid w:val="008F0B3A"/>
    <w:rsid w:val="008F154C"/>
    <w:rsid w:val="00901631"/>
    <w:rsid w:val="00903A93"/>
    <w:rsid w:val="00907756"/>
    <w:rsid w:val="00922403"/>
    <w:rsid w:val="00930172"/>
    <w:rsid w:val="00931261"/>
    <w:rsid w:val="009336F8"/>
    <w:rsid w:val="00933D5F"/>
    <w:rsid w:val="009344B3"/>
    <w:rsid w:val="00934DBE"/>
    <w:rsid w:val="0093659A"/>
    <w:rsid w:val="00936A32"/>
    <w:rsid w:val="009505E2"/>
    <w:rsid w:val="00954FE5"/>
    <w:rsid w:val="00957CC8"/>
    <w:rsid w:val="0096184D"/>
    <w:rsid w:val="00963A1A"/>
    <w:rsid w:val="0097423F"/>
    <w:rsid w:val="00974CD9"/>
    <w:rsid w:val="00977849"/>
    <w:rsid w:val="00981220"/>
    <w:rsid w:val="0098236F"/>
    <w:rsid w:val="009879CE"/>
    <w:rsid w:val="00992590"/>
    <w:rsid w:val="009B7C8A"/>
    <w:rsid w:val="009C1554"/>
    <w:rsid w:val="009C34F3"/>
    <w:rsid w:val="009C49CC"/>
    <w:rsid w:val="009D00B6"/>
    <w:rsid w:val="009D4194"/>
    <w:rsid w:val="009E2026"/>
    <w:rsid w:val="009E68B0"/>
    <w:rsid w:val="009E7D51"/>
    <w:rsid w:val="00A01139"/>
    <w:rsid w:val="00A02F28"/>
    <w:rsid w:val="00A055BA"/>
    <w:rsid w:val="00A226AF"/>
    <w:rsid w:val="00A26469"/>
    <w:rsid w:val="00A32C5C"/>
    <w:rsid w:val="00A3722E"/>
    <w:rsid w:val="00A378E2"/>
    <w:rsid w:val="00A437FA"/>
    <w:rsid w:val="00A44665"/>
    <w:rsid w:val="00A57BC0"/>
    <w:rsid w:val="00A60DC9"/>
    <w:rsid w:val="00A651D5"/>
    <w:rsid w:val="00A653F1"/>
    <w:rsid w:val="00A66148"/>
    <w:rsid w:val="00A76564"/>
    <w:rsid w:val="00A84BB8"/>
    <w:rsid w:val="00A93BD6"/>
    <w:rsid w:val="00A96F0E"/>
    <w:rsid w:val="00AA004D"/>
    <w:rsid w:val="00AA0B87"/>
    <w:rsid w:val="00AA317D"/>
    <w:rsid w:val="00AC1379"/>
    <w:rsid w:val="00AC2CF7"/>
    <w:rsid w:val="00AC2EFE"/>
    <w:rsid w:val="00AC2F88"/>
    <w:rsid w:val="00AC4812"/>
    <w:rsid w:val="00AC79BF"/>
    <w:rsid w:val="00AD1C7F"/>
    <w:rsid w:val="00AD5D4B"/>
    <w:rsid w:val="00AD6B87"/>
    <w:rsid w:val="00AE17E9"/>
    <w:rsid w:val="00AE46D7"/>
    <w:rsid w:val="00AF46E5"/>
    <w:rsid w:val="00AF75AC"/>
    <w:rsid w:val="00B0108B"/>
    <w:rsid w:val="00B11382"/>
    <w:rsid w:val="00B1187C"/>
    <w:rsid w:val="00B13235"/>
    <w:rsid w:val="00B22343"/>
    <w:rsid w:val="00B432CB"/>
    <w:rsid w:val="00B45B4D"/>
    <w:rsid w:val="00B60DC8"/>
    <w:rsid w:val="00B646CF"/>
    <w:rsid w:val="00B6498E"/>
    <w:rsid w:val="00B651B7"/>
    <w:rsid w:val="00B72FB3"/>
    <w:rsid w:val="00B77612"/>
    <w:rsid w:val="00B86B6A"/>
    <w:rsid w:val="00B902CB"/>
    <w:rsid w:val="00BA439E"/>
    <w:rsid w:val="00BA763F"/>
    <w:rsid w:val="00BB5A47"/>
    <w:rsid w:val="00BC1FF8"/>
    <w:rsid w:val="00BC3EEF"/>
    <w:rsid w:val="00BD3707"/>
    <w:rsid w:val="00BD513C"/>
    <w:rsid w:val="00BE341E"/>
    <w:rsid w:val="00BF5754"/>
    <w:rsid w:val="00C05A87"/>
    <w:rsid w:val="00C05E8B"/>
    <w:rsid w:val="00C064F4"/>
    <w:rsid w:val="00C11837"/>
    <w:rsid w:val="00C14152"/>
    <w:rsid w:val="00C207DE"/>
    <w:rsid w:val="00C22537"/>
    <w:rsid w:val="00C22A6E"/>
    <w:rsid w:val="00C25F8B"/>
    <w:rsid w:val="00C27261"/>
    <w:rsid w:val="00C334D8"/>
    <w:rsid w:val="00C34498"/>
    <w:rsid w:val="00C457C5"/>
    <w:rsid w:val="00C478B4"/>
    <w:rsid w:val="00C627B6"/>
    <w:rsid w:val="00C63C23"/>
    <w:rsid w:val="00C6498C"/>
    <w:rsid w:val="00C64DAB"/>
    <w:rsid w:val="00C6508F"/>
    <w:rsid w:val="00C73213"/>
    <w:rsid w:val="00C734BF"/>
    <w:rsid w:val="00C76A77"/>
    <w:rsid w:val="00C76BC3"/>
    <w:rsid w:val="00C81D5A"/>
    <w:rsid w:val="00C866CB"/>
    <w:rsid w:val="00C96E72"/>
    <w:rsid w:val="00CA5651"/>
    <w:rsid w:val="00CB088B"/>
    <w:rsid w:val="00CB274D"/>
    <w:rsid w:val="00CB3702"/>
    <w:rsid w:val="00CB40F2"/>
    <w:rsid w:val="00CB5D74"/>
    <w:rsid w:val="00CD2640"/>
    <w:rsid w:val="00CD36A7"/>
    <w:rsid w:val="00CD370A"/>
    <w:rsid w:val="00CD6785"/>
    <w:rsid w:val="00CD684A"/>
    <w:rsid w:val="00CD7485"/>
    <w:rsid w:val="00CE2692"/>
    <w:rsid w:val="00CE3D01"/>
    <w:rsid w:val="00CE45D1"/>
    <w:rsid w:val="00CE5D03"/>
    <w:rsid w:val="00D009F1"/>
    <w:rsid w:val="00D113DE"/>
    <w:rsid w:val="00D11859"/>
    <w:rsid w:val="00D13712"/>
    <w:rsid w:val="00D24994"/>
    <w:rsid w:val="00D3039E"/>
    <w:rsid w:val="00D35F81"/>
    <w:rsid w:val="00D36A8C"/>
    <w:rsid w:val="00D41EC9"/>
    <w:rsid w:val="00D4280F"/>
    <w:rsid w:val="00D42D85"/>
    <w:rsid w:val="00D44D35"/>
    <w:rsid w:val="00D526FF"/>
    <w:rsid w:val="00D529C9"/>
    <w:rsid w:val="00D53812"/>
    <w:rsid w:val="00D66942"/>
    <w:rsid w:val="00D675BD"/>
    <w:rsid w:val="00D67C33"/>
    <w:rsid w:val="00D80D9A"/>
    <w:rsid w:val="00D81C33"/>
    <w:rsid w:val="00D877E2"/>
    <w:rsid w:val="00D87D56"/>
    <w:rsid w:val="00D920F1"/>
    <w:rsid w:val="00D948FB"/>
    <w:rsid w:val="00D95ACC"/>
    <w:rsid w:val="00D95DEB"/>
    <w:rsid w:val="00D9740A"/>
    <w:rsid w:val="00DA18A6"/>
    <w:rsid w:val="00DA25E5"/>
    <w:rsid w:val="00DA2C44"/>
    <w:rsid w:val="00DA7C52"/>
    <w:rsid w:val="00DB6CDD"/>
    <w:rsid w:val="00DC05CC"/>
    <w:rsid w:val="00DC1A3E"/>
    <w:rsid w:val="00DD11C8"/>
    <w:rsid w:val="00DD139E"/>
    <w:rsid w:val="00DD4E03"/>
    <w:rsid w:val="00DD5A00"/>
    <w:rsid w:val="00DE2005"/>
    <w:rsid w:val="00DE2564"/>
    <w:rsid w:val="00DE620B"/>
    <w:rsid w:val="00DF008F"/>
    <w:rsid w:val="00DF0885"/>
    <w:rsid w:val="00DF72F8"/>
    <w:rsid w:val="00DF75D8"/>
    <w:rsid w:val="00E01D20"/>
    <w:rsid w:val="00E02D0D"/>
    <w:rsid w:val="00E04B13"/>
    <w:rsid w:val="00E132E0"/>
    <w:rsid w:val="00E21925"/>
    <w:rsid w:val="00E2434F"/>
    <w:rsid w:val="00E26B64"/>
    <w:rsid w:val="00E31243"/>
    <w:rsid w:val="00E331BB"/>
    <w:rsid w:val="00E3751C"/>
    <w:rsid w:val="00E42F2C"/>
    <w:rsid w:val="00E448CA"/>
    <w:rsid w:val="00E47EF8"/>
    <w:rsid w:val="00E50A0E"/>
    <w:rsid w:val="00E543FF"/>
    <w:rsid w:val="00E612EF"/>
    <w:rsid w:val="00E62D75"/>
    <w:rsid w:val="00E65ADA"/>
    <w:rsid w:val="00E7078C"/>
    <w:rsid w:val="00E7085F"/>
    <w:rsid w:val="00E72C4A"/>
    <w:rsid w:val="00E743D4"/>
    <w:rsid w:val="00E759BF"/>
    <w:rsid w:val="00E77BDD"/>
    <w:rsid w:val="00E84C08"/>
    <w:rsid w:val="00E93D38"/>
    <w:rsid w:val="00E97001"/>
    <w:rsid w:val="00EA4A4C"/>
    <w:rsid w:val="00EB0E87"/>
    <w:rsid w:val="00EB2438"/>
    <w:rsid w:val="00EB5A76"/>
    <w:rsid w:val="00EC085A"/>
    <w:rsid w:val="00EC6185"/>
    <w:rsid w:val="00EC7413"/>
    <w:rsid w:val="00ED7C9E"/>
    <w:rsid w:val="00EE081E"/>
    <w:rsid w:val="00EE1080"/>
    <w:rsid w:val="00EE2E69"/>
    <w:rsid w:val="00EF0882"/>
    <w:rsid w:val="00EF3B5F"/>
    <w:rsid w:val="00EF73A9"/>
    <w:rsid w:val="00F0224E"/>
    <w:rsid w:val="00F0747C"/>
    <w:rsid w:val="00F134A9"/>
    <w:rsid w:val="00F1427D"/>
    <w:rsid w:val="00F17AD2"/>
    <w:rsid w:val="00F27A76"/>
    <w:rsid w:val="00F315B1"/>
    <w:rsid w:val="00F33ED1"/>
    <w:rsid w:val="00F34B51"/>
    <w:rsid w:val="00F41FFC"/>
    <w:rsid w:val="00F510E7"/>
    <w:rsid w:val="00F51810"/>
    <w:rsid w:val="00F5332A"/>
    <w:rsid w:val="00F5472E"/>
    <w:rsid w:val="00F61F53"/>
    <w:rsid w:val="00F6543F"/>
    <w:rsid w:val="00F73F07"/>
    <w:rsid w:val="00F808D0"/>
    <w:rsid w:val="00F83D99"/>
    <w:rsid w:val="00F86BDA"/>
    <w:rsid w:val="00F91B7D"/>
    <w:rsid w:val="00F93B16"/>
    <w:rsid w:val="00F93B5F"/>
    <w:rsid w:val="00FA399A"/>
    <w:rsid w:val="00FB3F1A"/>
    <w:rsid w:val="00FB7075"/>
    <w:rsid w:val="00FD7296"/>
    <w:rsid w:val="00FD77E2"/>
    <w:rsid w:val="00FE087A"/>
    <w:rsid w:val="00FF3CFC"/>
    <w:rsid w:val="00FF42E1"/>
    <w:rsid w:val="00FF4C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113CC7"/>
  <w15:chartTrackingRefBased/>
  <w15:docId w15:val="{E8B82496-C171-4973-85B9-1499C5E73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 text"/>
    <w:qFormat/>
    <w:rsid w:val="006E7989"/>
    <w:rPr>
      <w:rFonts w:ascii="Gill Sans MT" w:hAnsi="Gill Sans MT"/>
    </w:rPr>
  </w:style>
  <w:style w:type="paragraph" w:styleId="Heading1">
    <w:name w:val="heading 1"/>
    <w:basedOn w:val="Normal"/>
    <w:next w:val="Normal"/>
    <w:link w:val="Heading1Char"/>
    <w:uiPriority w:val="9"/>
    <w:qFormat/>
    <w:rsid w:val="006E7989"/>
    <w:pPr>
      <w:keepNext/>
      <w:keepLines/>
      <w:spacing w:before="240" w:after="0"/>
      <w:outlineLvl w:val="0"/>
    </w:pPr>
    <w:rPr>
      <w:rFonts w:eastAsiaTheme="majorEastAsia" w:cstheme="majorBidi"/>
      <w:color w:val="C00000"/>
      <w:sz w:val="36"/>
      <w:szCs w:val="32"/>
    </w:rPr>
  </w:style>
  <w:style w:type="paragraph" w:styleId="Heading2">
    <w:name w:val="heading 2"/>
    <w:basedOn w:val="Normal"/>
    <w:next w:val="Normal"/>
    <w:link w:val="Heading2Char"/>
    <w:uiPriority w:val="9"/>
    <w:unhideWhenUsed/>
    <w:qFormat/>
    <w:rsid w:val="00232B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E79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7989"/>
  </w:style>
  <w:style w:type="paragraph" w:styleId="Footer">
    <w:name w:val="footer"/>
    <w:basedOn w:val="Normal"/>
    <w:link w:val="FooterChar"/>
    <w:uiPriority w:val="99"/>
    <w:unhideWhenUsed/>
    <w:rsid w:val="006E79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7989"/>
  </w:style>
  <w:style w:type="character" w:styleId="Hyperlink">
    <w:name w:val="Hyperlink"/>
    <w:basedOn w:val="DefaultParagraphFont"/>
    <w:uiPriority w:val="99"/>
    <w:unhideWhenUsed/>
    <w:rsid w:val="006E7989"/>
    <w:rPr>
      <w:color w:val="0563C1" w:themeColor="hyperlink"/>
      <w:u w:val="single"/>
    </w:rPr>
  </w:style>
  <w:style w:type="table" w:styleId="MediumGrid2-Accent1">
    <w:name w:val="Medium Grid 2 Accent 1"/>
    <w:basedOn w:val="TableNormal"/>
    <w:uiPriority w:val="68"/>
    <w:rsid w:val="006E7989"/>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TableGrid">
    <w:name w:val="Table Grid"/>
    <w:basedOn w:val="TableNormal"/>
    <w:uiPriority w:val="59"/>
    <w:rsid w:val="006E79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E7989"/>
    <w:rPr>
      <w:rFonts w:ascii="Gill Sans MT" w:eastAsiaTheme="majorEastAsia" w:hAnsi="Gill Sans MT" w:cstheme="majorBidi"/>
      <w:color w:val="C00000"/>
      <w:sz w:val="36"/>
      <w:szCs w:val="32"/>
    </w:rPr>
  </w:style>
  <w:style w:type="table" w:styleId="ListTable1Light">
    <w:name w:val="List Table 1 Light"/>
    <w:basedOn w:val="TableNormal"/>
    <w:uiPriority w:val="46"/>
    <w:rsid w:val="00C76BC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ListParagraph">
    <w:name w:val="List Paragraph"/>
    <w:basedOn w:val="Normal"/>
    <w:uiPriority w:val="34"/>
    <w:qFormat/>
    <w:rsid w:val="00232BA3"/>
    <w:pPr>
      <w:ind w:left="720"/>
      <w:contextualSpacing/>
    </w:pPr>
  </w:style>
  <w:style w:type="character" w:customStyle="1" w:styleId="Heading2Char">
    <w:name w:val="Heading 2 Char"/>
    <w:basedOn w:val="DefaultParagraphFont"/>
    <w:link w:val="Heading2"/>
    <w:uiPriority w:val="9"/>
    <w:rsid w:val="00232BA3"/>
    <w:rPr>
      <w:rFonts w:asciiTheme="majorHAnsi" w:eastAsiaTheme="majorEastAsia" w:hAnsiTheme="majorHAnsi" w:cstheme="majorBidi"/>
      <w:color w:val="2E74B5" w:themeColor="accent1" w:themeShade="BF"/>
      <w:sz w:val="26"/>
      <w:szCs w:val="26"/>
    </w:rPr>
  </w:style>
  <w:style w:type="paragraph" w:styleId="BalloonText">
    <w:name w:val="Balloon Text"/>
    <w:basedOn w:val="Normal"/>
    <w:link w:val="BalloonTextChar"/>
    <w:uiPriority w:val="99"/>
    <w:semiHidden/>
    <w:unhideWhenUsed/>
    <w:rsid w:val="00714F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FEA"/>
    <w:rPr>
      <w:rFonts w:ascii="Segoe UI" w:hAnsi="Segoe UI" w:cs="Segoe UI"/>
      <w:sz w:val="18"/>
      <w:szCs w:val="18"/>
    </w:rPr>
  </w:style>
  <w:style w:type="paragraph" w:styleId="PlainText">
    <w:name w:val="Plain Text"/>
    <w:basedOn w:val="Normal"/>
    <w:link w:val="PlainTextChar"/>
    <w:uiPriority w:val="99"/>
    <w:semiHidden/>
    <w:unhideWhenUsed/>
    <w:rsid w:val="004957A3"/>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4957A3"/>
    <w:rPr>
      <w:rFonts w:ascii="Calibri" w:hAnsi="Calibri" w:cs="Consolas"/>
      <w:szCs w:val="21"/>
    </w:rPr>
  </w:style>
  <w:style w:type="character" w:styleId="CommentReference">
    <w:name w:val="annotation reference"/>
    <w:basedOn w:val="DefaultParagraphFont"/>
    <w:uiPriority w:val="99"/>
    <w:semiHidden/>
    <w:unhideWhenUsed/>
    <w:rsid w:val="003D2B46"/>
    <w:rPr>
      <w:sz w:val="16"/>
      <w:szCs w:val="16"/>
    </w:rPr>
  </w:style>
  <w:style w:type="paragraph" w:styleId="CommentText">
    <w:name w:val="annotation text"/>
    <w:basedOn w:val="Normal"/>
    <w:link w:val="CommentTextChar"/>
    <w:uiPriority w:val="99"/>
    <w:semiHidden/>
    <w:unhideWhenUsed/>
    <w:rsid w:val="003D2B46"/>
    <w:pPr>
      <w:spacing w:line="240" w:lineRule="auto"/>
    </w:pPr>
    <w:rPr>
      <w:sz w:val="20"/>
      <w:szCs w:val="20"/>
    </w:rPr>
  </w:style>
  <w:style w:type="character" w:customStyle="1" w:styleId="CommentTextChar">
    <w:name w:val="Comment Text Char"/>
    <w:basedOn w:val="DefaultParagraphFont"/>
    <w:link w:val="CommentText"/>
    <w:uiPriority w:val="99"/>
    <w:semiHidden/>
    <w:rsid w:val="003D2B46"/>
    <w:rPr>
      <w:rFonts w:ascii="Gill Sans MT" w:hAnsi="Gill Sans MT"/>
      <w:sz w:val="20"/>
      <w:szCs w:val="20"/>
    </w:rPr>
  </w:style>
  <w:style w:type="paragraph" w:styleId="CommentSubject">
    <w:name w:val="annotation subject"/>
    <w:basedOn w:val="CommentText"/>
    <w:next w:val="CommentText"/>
    <w:link w:val="CommentSubjectChar"/>
    <w:uiPriority w:val="99"/>
    <w:semiHidden/>
    <w:unhideWhenUsed/>
    <w:rsid w:val="003D2B46"/>
    <w:rPr>
      <w:b/>
      <w:bCs/>
    </w:rPr>
  </w:style>
  <w:style w:type="character" w:customStyle="1" w:styleId="CommentSubjectChar">
    <w:name w:val="Comment Subject Char"/>
    <w:basedOn w:val="CommentTextChar"/>
    <w:link w:val="CommentSubject"/>
    <w:uiPriority w:val="99"/>
    <w:semiHidden/>
    <w:rsid w:val="003D2B46"/>
    <w:rPr>
      <w:rFonts w:ascii="Gill Sans MT" w:hAnsi="Gill Sans MT"/>
      <w:b/>
      <w:bCs/>
      <w:sz w:val="20"/>
      <w:szCs w:val="20"/>
    </w:rPr>
  </w:style>
  <w:style w:type="paragraph" w:customStyle="1" w:styleId="Default">
    <w:name w:val="Default"/>
    <w:rsid w:val="00931261"/>
    <w:pPr>
      <w:autoSpaceDE w:val="0"/>
      <w:autoSpaceDN w:val="0"/>
      <w:adjustRightInd w:val="0"/>
      <w:spacing w:after="0" w:line="240" w:lineRule="auto"/>
    </w:pPr>
    <w:rPr>
      <w:rFonts w:ascii="Gill Sans MT" w:hAnsi="Gill Sans MT" w:cs="Gill Sans MT"/>
      <w:color w:val="000000"/>
      <w:sz w:val="24"/>
      <w:szCs w:val="24"/>
    </w:rPr>
  </w:style>
  <w:style w:type="paragraph" w:styleId="Revision">
    <w:name w:val="Revision"/>
    <w:hidden/>
    <w:uiPriority w:val="99"/>
    <w:semiHidden/>
    <w:rsid w:val="00D95DEB"/>
    <w:pPr>
      <w:spacing w:after="0" w:line="240" w:lineRule="auto"/>
    </w:pPr>
    <w:rPr>
      <w:rFonts w:ascii="Gill Sans MT" w:hAnsi="Gill Sans MT"/>
    </w:rPr>
  </w:style>
  <w:style w:type="table" w:styleId="GridTable2-Accent1">
    <w:name w:val="Grid Table 2 Accent 1"/>
    <w:basedOn w:val="TableNormal"/>
    <w:uiPriority w:val="47"/>
    <w:rsid w:val="00C34498"/>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5">
    <w:name w:val="Grid Table 4 Accent 5"/>
    <w:basedOn w:val="TableNormal"/>
    <w:uiPriority w:val="49"/>
    <w:rsid w:val="00C34498"/>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4594">
      <w:bodyDiv w:val="1"/>
      <w:marLeft w:val="0"/>
      <w:marRight w:val="0"/>
      <w:marTop w:val="0"/>
      <w:marBottom w:val="0"/>
      <w:divBdr>
        <w:top w:val="none" w:sz="0" w:space="0" w:color="auto"/>
        <w:left w:val="none" w:sz="0" w:space="0" w:color="auto"/>
        <w:bottom w:val="none" w:sz="0" w:space="0" w:color="auto"/>
        <w:right w:val="none" w:sz="0" w:space="0" w:color="auto"/>
      </w:divBdr>
    </w:div>
    <w:div w:id="325481563">
      <w:bodyDiv w:val="1"/>
      <w:marLeft w:val="0"/>
      <w:marRight w:val="0"/>
      <w:marTop w:val="0"/>
      <w:marBottom w:val="0"/>
      <w:divBdr>
        <w:top w:val="none" w:sz="0" w:space="0" w:color="auto"/>
        <w:left w:val="none" w:sz="0" w:space="0" w:color="auto"/>
        <w:bottom w:val="none" w:sz="0" w:space="0" w:color="auto"/>
        <w:right w:val="none" w:sz="0" w:space="0" w:color="auto"/>
      </w:divBdr>
    </w:div>
    <w:div w:id="777678273">
      <w:bodyDiv w:val="1"/>
      <w:marLeft w:val="0"/>
      <w:marRight w:val="0"/>
      <w:marTop w:val="0"/>
      <w:marBottom w:val="0"/>
      <w:divBdr>
        <w:top w:val="none" w:sz="0" w:space="0" w:color="auto"/>
        <w:left w:val="none" w:sz="0" w:space="0" w:color="auto"/>
        <w:bottom w:val="none" w:sz="0" w:space="0" w:color="auto"/>
        <w:right w:val="none" w:sz="0" w:space="0" w:color="auto"/>
      </w:divBdr>
    </w:div>
    <w:div w:id="1040860946">
      <w:bodyDiv w:val="1"/>
      <w:marLeft w:val="0"/>
      <w:marRight w:val="0"/>
      <w:marTop w:val="0"/>
      <w:marBottom w:val="0"/>
      <w:divBdr>
        <w:top w:val="none" w:sz="0" w:space="0" w:color="auto"/>
        <w:left w:val="none" w:sz="0" w:space="0" w:color="auto"/>
        <w:bottom w:val="none" w:sz="0" w:space="0" w:color="auto"/>
        <w:right w:val="none" w:sz="0" w:space="0" w:color="auto"/>
      </w:divBdr>
    </w:div>
    <w:div w:id="1125539206">
      <w:bodyDiv w:val="1"/>
      <w:marLeft w:val="0"/>
      <w:marRight w:val="0"/>
      <w:marTop w:val="0"/>
      <w:marBottom w:val="0"/>
      <w:divBdr>
        <w:top w:val="none" w:sz="0" w:space="0" w:color="auto"/>
        <w:left w:val="none" w:sz="0" w:space="0" w:color="auto"/>
        <w:bottom w:val="none" w:sz="0" w:space="0" w:color="auto"/>
        <w:right w:val="none" w:sz="0" w:space="0" w:color="auto"/>
      </w:divBdr>
    </w:div>
    <w:div w:id="1518033076">
      <w:bodyDiv w:val="1"/>
      <w:marLeft w:val="0"/>
      <w:marRight w:val="0"/>
      <w:marTop w:val="0"/>
      <w:marBottom w:val="0"/>
      <w:divBdr>
        <w:top w:val="none" w:sz="0" w:space="0" w:color="auto"/>
        <w:left w:val="none" w:sz="0" w:space="0" w:color="auto"/>
        <w:bottom w:val="none" w:sz="0" w:space="0" w:color="auto"/>
        <w:right w:val="none" w:sz="0" w:space="0" w:color="auto"/>
      </w:divBdr>
    </w:div>
    <w:div w:id="183116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tscontracts@stategrowth.tas.gov.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ransport.tas.gov.au/passenger/operators" TargetMode="External"/><Relationship Id="rId17" Type="http://schemas.openxmlformats.org/officeDocument/2006/relationships/hyperlink" Target="mailto:ptscontracts@stategrowth.tas.gov.au"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smania@nhvr.gov.au" TargetMode="External"/><Relationship Id="rId5" Type="http://schemas.openxmlformats.org/officeDocument/2006/relationships/webSettings" Target="webSettings.xml"/><Relationship Id="rId15" Type="http://schemas.openxmlformats.org/officeDocument/2006/relationships/hyperlink" Target="mailto:ptscontracts@stategrowth.tas.gov.au" TargetMode="External"/><Relationship Id="rId10" Type="http://schemas.openxmlformats.org/officeDocument/2006/relationships/hyperlink" Target="mailto:transport.safety@stategrowth.tas.gov.a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transport.tas.gov.au/latest_news/the_national_heavy_vehicle_regulator_update" TargetMode="External"/><Relationship Id="rId14" Type="http://schemas.openxmlformats.org/officeDocument/2006/relationships/hyperlink" Target="https://www.transport.tas.gov.au/passenger/student_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7A4839-AE04-46D0-A2C6-BC8721806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1418</Words>
  <Characters>8085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Department of State Growth</Company>
  <LinksUpToDate>false</LinksUpToDate>
  <CharactersWithSpaces>9485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Lukasek, Ann</dc:creator>
  <cp:keywords/>
  <dc:description/>
  <cp:lastModifiedBy>Kluver, Mathew</cp:lastModifiedBy>
  <cp:revision>2</cp:revision>
  <cp:lastPrinted>2018-08-24T01:44:00Z</cp:lastPrinted>
  <dcterms:created xsi:type="dcterms:W3CDTF">2018-08-27T02:09:00Z</dcterms:created>
  <dcterms:modified xsi:type="dcterms:W3CDTF">2018-08-27T02:09:00Z</dcterms:modified>
</cp:coreProperties>
</file>