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C4" w:rsidRPr="006C66FC" w:rsidRDefault="00A765C4" w:rsidP="00A765C4">
      <w:pPr>
        <w:pStyle w:val="Heading1"/>
      </w:pPr>
      <w:r w:rsidRPr="006C66FC">
        <w:t>Estimate of insitu CBR with a 9 kg Dynamic Cone Penetrometer</w:t>
      </w:r>
    </w:p>
    <w:p w:rsidR="00A765C4" w:rsidRPr="00A765C4" w:rsidRDefault="00A765C4" w:rsidP="00A765C4">
      <w:pPr>
        <w:pStyle w:val="Heading2"/>
        <w:rPr>
          <w:i w:val="0"/>
        </w:rPr>
      </w:pPr>
      <w:bookmarkStart w:id="0" w:name="_Toc247005309"/>
      <w:bookmarkStart w:id="1" w:name="_Toc287006315"/>
      <w:bookmarkStart w:id="2" w:name="_Toc357777234"/>
      <w:r w:rsidRPr="00A765C4">
        <w:rPr>
          <w:i w:val="0"/>
        </w:rPr>
        <w:t>Scope</w:t>
      </w:r>
      <w:bookmarkEnd w:id="0"/>
      <w:bookmarkEnd w:id="1"/>
      <w:bookmarkEnd w:id="2"/>
    </w:p>
    <w:p w:rsidR="00A765C4" w:rsidRDefault="00A765C4" w:rsidP="00A765C4">
      <w:pPr>
        <w:contextualSpacing/>
      </w:pPr>
      <w:r>
        <w:t xml:space="preserve">The following describes a method of estimating the </w:t>
      </w:r>
      <w:proofErr w:type="spellStart"/>
      <w:r>
        <w:t>Insitu</w:t>
      </w:r>
      <w:proofErr w:type="spellEnd"/>
      <w:r>
        <w:t xml:space="preserve"> CBR of cohesive fine grained so</w:t>
      </w:r>
      <w:r w:rsidR="00133E9D">
        <w:t>i</w:t>
      </w:r>
      <w:r>
        <w:t xml:space="preserve">ls using a 9 kg dynamic cone penetrometer.  The test method follows </w:t>
      </w:r>
      <w:r w:rsidRPr="0015389A">
        <w:rPr>
          <w:i/>
        </w:rPr>
        <w:t>AS1289.6.3.2 “Soil Strength and Consolidation Tests – Determination of the penetrometer resistance of a soil-9 kg dynamic cone penetrometer test”</w:t>
      </w:r>
      <w:r>
        <w:t>.</w:t>
      </w:r>
      <w:bookmarkStart w:id="3" w:name="_GoBack"/>
      <w:bookmarkEnd w:id="3"/>
    </w:p>
    <w:p w:rsidR="00A765C4" w:rsidRDefault="00A765C4" w:rsidP="00A765C4">
      <w:pPr>
        <w:contextualSpacing/>
      </w:pPr>
    </w:p>
    <w:p w:rsidR="00A765C4" w:rsidRDefault="00A765C4" w:rsidP="00A765C4">
      <w:pPr>
        <w:contextualSpacing/>
      </w:pPr>
      <w:r>
        <w:t>The testing, whenever practical, shall be undertaken when the cut level is in the order of 100mm above formation level and extended to at least 100mm below the subgrade zone.</w:t>
      </w:r>
    </w:p>
    <w:p w:rsidR="00A765C4" w:rsidRDefault="00A765C4" w:rsidP="00A765C4">
      <w:pPr>
        <w:contextualSpacing/>
      </w:pPr>
    </w:p>
    <w:p w:rsidR="00A765C4" w:rsidRPr="00A765C4" w:rsidRDefault="00A765C4" w:rsidP="00A765C4">
      <w:pPr>
        <w:pStyle w:val="Heading2"/>
        <w:rPr>
          <w:i w:val="0"/>
        </w:rPr>
      </w:pPr>
      <w:bookmarkStart w:id="4" w:name="_Toc247005310"/>
      <w:bookmarkStart w:id="5" w:name="_Toc287006316"/>
      <w:bookmarkStart w:id="6" w:name="_Toc357777235"/>
      <w:r w:rsidRPr="00A765C4">
        <w:rPr>
          <w:i w:val="0"/>
        </w:rPr>
        <w:t>Apparatus</w:t>
      </w:r>
      <w:bookmarkEnd w:id="4"/>
      <w:bookmarkEnd w:id="5"/>
      <w:bookmarkEnd w:id="6"/>
    </w:p>
    <w:p w:rsidR="00A765C4" w:rsidRDefault="00A765C4" w:rsidP="00A765C4">
      <w:pPr>
        <w:contextualSpacing/>
      </w:pPr>
      <w:r>
        <w:t xml:space="preserve">As per </w:t>
      </w:r>
      <w:r w:rsidRPr="0015389A">
        <w:rPr>
          <w:i/>
        </w:rPr>
        <w:t>AS12</w:t>
      </w:r>
      <w:r>
        <w:rPr>
          <w:i/>
        </w:rPr>
        <w:t>89.6.</w:t>
      </w:r>
      <w:r w:rsidRPr="0015389A">
        <w:rPr>
          <w:i/>
        </w:rPr>
        <w:t>3.2</w:t>
      </w:r>
      <w:r>
        <w:t>.</w:t>
      </w:r>
    </w:p>
    <w:p w:rsidR="00A765C4" w:rsidRDefault="00A765C4" w:rsidP="00A765C4">
      <w:pPr>
        <w:contextualSpacing/>
      </w:pPr>
    </w:p>
    <w:p w:rsidR="00A765C4" w:rsidRPr="00A765C4" w:rsidRDefault="00A765C4" w:rsidP="00A765C4">
      <w:pPr>
        <w:pStyle w:val="Heading2"/>
        <w:rPr>
          <w:i w:val="0"/>
        </w:rPr>
      </w:pPr>
      <w:bookmarkStart w:id="7" w:name="_Toc247005311"/>
      <w:bookmarkStart w:id="8" w:name="_Toc287006317"/>
      <w:bookmarkStart w:id="9" w:name="_Toc357777236"/>
      <w:r w:rsidRPr="00A765C4">
        <w:rPr>
          <w:i w:val="0"/>
        </w:rPr>
        <w:t>Procedure</w:t>
      </w:r>
      <w:bookmarkEnd w:id="7"/>
      <w:bookmarkEnd w:id="8"/>
      <w:bookmarkEnd w:id="9"/>
    </w:p>
    <w:p w:rsidR="00A765C4" w:rsidRDefault="00A765C4" w:rsidP="00A765C4">
      <w:pPr>
        <w:contextualSpacing/>
      </w:pPr>
      <w:r>
        <w:t xml:space="preserve">Generally as per </w:t>
      </w:r>
      <w:r>
        <w:rPr>
          <w:i/>
        </w:rPr>
        <w:t>AS1289.6.</w:t>
      </w:r>
      <w:r w:rsidRPr="0015389A">
        <w:rPr>
          <w:i/>
        </w:rPr>
        <w:t>3.2</w:t>
      </w:r>
      <w:r>
        <w:t xml:space="preserve"> with the following explanations.</w:t>
      </w:r>
    </w:p>
    <w:p w:rsidR="00A765C4" w:rsidRDefault="00A765C4" w:rsidP="00A765C4">
      <w:pPr>
        <w:contextualSpacing/>
      </w:pPr>
    </w:p>
    <w:p w:rsidR="00A765C4" w:rsidRDefault="00A765C4" w:rsidP="00A765C4">
      <w:pPr>
        <w:pStyle w:val="ListParagraph"/>
        <w:numPr>
          <w:ilvl w:val="0"/>
          <w:numId w:val="1"/>
        </w:numPr>
        <w:ind w:left="851" w:hanging="284"/>
      </w:pPr>
      <w:r>
        <w:t>Record the cumulative penetration (mm) after every second fall of the hammer until;</w:t>
      </w:r>
    </w:p>
    <w:p w:rsidR="00A765C4" w:rsidRDefault="00A765C4" w:rsidP="00A765C4">
      <w:pPr>
        <w:pStyle w:val="ListParagraph"/>
        <w:numPr>
          <w:ilvl w:val="0"/>
          <w:numId w:val="2"/>
        </w:numPr>
        <w:tabs>
          <w:tab w:val="left" w:pos="1701"/>
        </w:tabs>
        <w:ind w:left="1418" w:hanging="284"/>
        <w:jc w:val="both"/>
      </w:pPr>
      <w:r>
        <w:t xml:space="preserve">The cone has penetrated to at least 100mm below the subgrade zone, or </w:t>
      </w:r>
    </w:p>
    <w:p w:rsidR="00A765C4" w:rsidRDefault="00A765C4" w:rsidP="00A765C4">
      <w:pPr>
        <w:pStyle w:val="ListParagraph"/>
        <w:numPr>
          <w:ilvl w:val="0"/>
          <w:numId w:val="2"/>
        </w:numPr>
        <w:tabs>
          <w:tab w:val="left" w:pos="1701"/>
        </w:tabs>
        <w:ind w:left="1418" w:hanging="284"/>
        <w:jc w:val="both"/>
      </w:pPr>
      <w:r>
        <w:t xml:space="preserve">After 20 falls of the hammer when in the event that the cone has not penetrated to 100mm below the subgrade zone. </w:t>
      </w:r>
    </w:p>
    <w:p w:rsidR="00A765C4" w:rsidRDefault="00A765C4" w:rsidP="00A765C4">
      <w:pPr>
        <w:pStyle w:val="ListParagraph"/>
        <w:numPr>
          <w:ilvl w:val="0"/>
          <w:numId w:val="1"/>
        </w:numPr>
        <w:ind w:left="851" w:hanging="284"/>
      </w:pPr>
      <w:r>
        <w:t>Calculate the penetration (mm) per hammer fall for each of the reading sets.</w:t>
      </w:r>
    </w:p>
    <w:p w:rsidR="00A765C4" w:rsidRDefault="00A765C4" w:rsidP="00A765C4">
      <w:pPr>
        <w:pStyle w:val="ListParagraph"/>
        <w:numPr>
          <w:ilvl w:val="0"/>
          <w:numId w:val="1"/>
        </w:numPr>
        <w:ind w:left="851" w:hanging="284"/>
      </w:pPr>
      <w:r>
        <w:t xml:space="preserve">Determine the </w:t>
      </w:r>
      <w:proofErr w:type="spellStart"/>
      <w:r>
        <w:t>insitu</w:t>
      </w:r>
      <w:proofErr w:type="spellEnd"/>
      <w:r>
        <w:t xml:space="preserve"> CBR for each of the reading sets using </w:t>
      </w:r>
      <w:r w:rsidRPr="00A765C4">
        <w:t>the table below</w:t>
      </w:r>
      <w:r>
        <w:t xml:space="preserve"> and record. </w:t>
      </w:r>
    </w:p>
    <w:p w:rsidR="00A765C4" w:rsidRDefault="00A765C4" w:rsidP="00A765C4">
      <w:pPr>
        <w:pStyle w:val="Heading4"/>
        <w:jc w:val="center"/>
      </w:pPr>
    </w:p>
    <w:p w:rsidR="00A765C4" w:rsidRPr="00A765C4" w:rsidRDefault="00A765C4" w:rsidP="00A765C4">
      <w:pPr>
        <w:pStyle w:val="Heading4"/>
        <w:jc w:val="center"/>
      </w:pPr>
      <w:r w:rsidRPr="00A765C4">
        <w:t xml:space="preserve">Estimation of </w:t>
      </w:r>
      <w:proofErr w:type="spellStart"/>
      <w:r w:rsidRPr="00A765C4">
        <w:t>Insitu</w:t>
      </w:r>
      <w:proofErr w:type="spellEnd"/>
      <w:r w:rsidRPr="00A765C4">
        <w:t xml:space="preserve"> CBR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1516"/>
      </w:tblGrid>
      <w:tr w:rsidR="00A765C4" w:rsidTr="00146188">
        <w:trPr>
          <w:trHeight w:val="20"/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A765C4" w:rsidRDefault="00A765C4" w:rsidP="00146188">
            <w:pPr>
              <w:pStyle w:val="Heading4"/>
              <w:spacing w:after="0"/>
              <w:jc w:val="center"/>
            </w:pPr>
            <w:r>
              <w:t>Penetration (mm) fall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765C4" w:rsidRDefault="00A765C4" w:rsidP="00146188">
            <w:pPr>
              <w:pStyle w:val="Heading4"/>
              <w:spacing w:after="0"/>
              <w:jc w:val="center"/>
            </w:pPr>
            <w:r>
              <w:t>CBR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&gt;90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&lt;2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60-90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2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50-59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3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40-49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4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30-39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5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25-29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7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15-24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10</w:t>
            </w:r>
          </w:p>
        </w:tc>
      </w:tr>
      <w:tr w:rsidR="00A765C4" w:rsidTr="00146188">
        <w:trPr>
          <w:jc w:val="center"/>
        </w:trPr>
        <w:tc>
          <w:tcPr>
            <w:tcW w:w="2809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&lt;15</w:t>
            </w:r>
          </w:p>
        </w:tc>
        <w:tc>
          <w:tcPr>
            <w:tcW w:w="1516" w:type="dxa"/>
            <w:vAlign w:val="center"/>
          </w:tcPr>
          <w:p w:rsidR="00A765C4" w:rsidRDefault="00A765C4" w:rsidP="00146188">
            <w:pPr>
              <w:spacing w:after="0"/>
              <w:contextualSpacing/>
              <w:jc w:val="center"/>
            </w:pPr>
            <w:r>
              <w:t>&gt;10</w:t>
            </w:r>
          </w:p>
        </w:tc>
      </w:tr>
    </w:tbl>
    <w:p w:rsidR="00A765C4" w:rsidRDefault="00A765C4" w:rsidP="00A765C4">
      <w:pPr>
        <w:contextualSpacing/>
      </w:pPr>
    </w:p>
    <w:p w:rsidR="00A765C4" w:rsidRDefault="00A765C4" w:rsidP="00A765C4">
      <w:pPr>
        <w:pStyle w:val="ListParagraph"/>
        <w:numPr>
          <w:ilvl w:val="0"/>
          <w:numId w:val="1"/>
        </w:numPr>
        <w:ind w:left="851" w:hanging="284"/>
      </w:pPr>
      <w:r>
        <w:t>Determine the lowest CBR, averaged over any 150mm depth interval, or thereabouts, within the subgrade zone (Note 1).</w:t>
      </w:r>
    </w:p>
    <w:p w:rsidR="00A765C4" w:rsidRDefault="00A765C4" w:rsidP="00A765C4">
      <w:pPr>
        <w:contextualSpacing/>
      </w:pPr>
    </w:p>
    <w:p w:rsidR="00A765C4" w:rsidRDefault="00A765C4" w:rsidP="00A765C4">
      <w:pPr>
        <w:pStyle w:val="Heading2"/>
      </w:pPr>
      <w:bookmarkStart w:id="10" w:name="_Toc287006318"/>
      <w:bookmarkStart w:id="11" w:name="_Toc357777237"/>
      <w:r w:rsidRPr="009F47D8">
        <w:t>Representative CBR</w:t>
      </w:r>
      <w:bookmarkEnd w:id="10"/>
      <w:bookmarkEnd w:id="11"/>
    </w:p>
    <w:p w:rsidR="00A765C4" w:rsidRDefault="00A765C4" w:rsidP="00A765C4">
      <w:pPr>
        <w:contextualSpacing/>
      </w:pPr>
      <w:r>
        <w:t>The</w:t>
      </w:r>
      <w:r w:rsidRPr="004133C6">
        <w:t xml:space="preserve"> Representative</w:t>
      </w:r>
      <w:r>
        <w:t xml:space="preserve"> </w:t>
      </w:r>
      <w:proofErr w:type="spellStart"/>
      <w:r>
        <w:t>I</w:t>
      </w:r>
      <w:r w:rsidRPr="00321168">
        <w:t>nsitu</w:t>
      </w:r>
      <w:proofErr w:type="spellEnd"/>
      <w:r w:rsidRPr="00321168">
        <w:t xml:space="preserve"> CBR for the subgrade zone</w:t>
      </w:r>
      <w:r>
        <w:t xml:space="preserve"> is the lowest average CBR recorded within the particular lot, determined in accordance with </w:t>
      </w:r>
      <w:r w:rsidRPr="00A765C4">
        <w:t>Step 4 of the procedure above.</w:t>
      </w:r>
    </w:p>
    <w:p w:rsidR="00A765C4" w:rsidRDefault="00A765C4" w:rsidP="00A765C4">
      <w:pPr>
        <w:contextualSpacing/>
      </w:pPr>
    </w:p>
    <w:p w:rsidR="00A765C4" w:rsidRPr="00A765C4" w:rsidRDefault="00A765C4" w:rsidP="00A765C4">
      <w:pPr>
        <w:pStyle w:val="Heading2"/>
        <w:rPr>
          <w:i w:val="0"/>
        </w:rPr>
      </w:pPr>
      <w:bookmarkStart w:id="12" w:name="_Toc247005312"/>
      <w:bookmarkStart w:id="13" w:name="_Toc287006319"/>
      <w:bookmarkStart w:id="14" w:name="_Toc357777238"/>
      <w:r w:rsidRPr="00A765C4">
        <w:rPr>
          <w:i w:val="0"/>
        </w:rPr>
        <w:t>Report</w:t>
      </w:r>
      <w:bookmarkEnd w:id="12"/>
      <w:bookmarkEnd w:id="13"/>
      <w:bookmarkEnd w:id="14"/>
    </w:p>
    <w:p w:rsidR="00A765C4" w:rsidRDefault="00A765C4" w:rsidP="00A765C4">
      <w:pPr>
        <w:contextualSpacing/>
      </w:pPr>
      <w:r>
        <w:t>The report shall include:</w:t>
      </w:r>
    </w:p>
    <w:p w:rsidR="00A765C4" w:rsidRDefault="00A765C4" w:rsidP="00A765C4">
      <w:pPr>
        <w:pStyle w:val="ListParagraph"/>
        <w:numPr>
          <w:ilvl w:val="0"/>
          <w:numId w:val="3"/>
        </w:numPr>
        <w:ind w:left="851" w:hanging="284"/>
      </w:pPr>
      <w:r>
        <w:t>Table of the number of hammer falls, penetration (mm) and estimated CBR for each test site within the particular lot, including the chainage and offset;</w:t>
      </w:r>
    </w:p>
    <w:p w:rsidR="00A765C4" w:rsidRDefault="00A765C4" w:rsidP="00A765C4">
      <w:pPr>
        <w:pStyle w:val="ListParagraph"/>
        <w:numPr>
          <w:ilvl w:val="0"/>
          <w:numId w:val="3"/>
        </w:numPr>
        <w:ind w:left="851" w:hanging="284"/>
      </w:pPr>
      <w:r>
        <w:t xml:space="preserve">Representative </w:t>
      </w:r>
      <w:proofErr w:type="spellStart"/>
      <w:r>
        <w:t>Insitu</w:t>
      </w:r>
      <w:proofErr w:type="spellEnd"/>
      <w:r>
        <w:t xml:space="preserve"> CBR;</w:t>
      </w:r>
    </w:p>
    <w:p w:rsidR="00A765C4" w:rsidRPr="00A765C4" w:rsidRDefault="00A765C4" w:rsidP="00A765C4">
      <w:pPr>
        <w:pStyle w:val="ListParagraph"/>
        <w:numPr>
          <w:ilvl w:val="0"/>
          <w:numId w:val="3"/>
        </w:numPr>
        <w:ind w:left="851" w:hanging="284"/>
      </w:pPr>
      <w:r>
        <w:t xml:space="preserve">The mean of all the test results, calculated in accordance with </w:t>
      </w:r>
      <w:r w:rsidRPr="00A765C4">
        <w:t>Step 4 of the procedure above.</w:t>
      </w:r>
    </w:p>
    <w:p w:rsidR="00A765C4" w:rsidRDefault="00A765C4" w:rsidP="00A765C4">
      <w:pPr>
        <w:contextualSpacing/>
        <w:rPr>
          <w:i/>
        </w:rPr>
      </w:pPr>
    </w:p>
    <w:p w:rsidR="00A765C4" w:rsidRDefault="00A765C4" w:rsidP="00A765C4">
      <w:pPr>
        <w:contextualSpacing/>
        <w:rPr>
          <w:i/>
        </w:rPr>
      </w:pPr>
    </w:p>
    <w:p w:rsidR="00A765C4" w:rsidRPr="0069268F" w:rsidRDefault="00A765C4" w:rsidP="00A765C4">
      <w:pPr>
        <w:contextualSpacing/>
        <w:rPr>
          <w:i/>
        </w:rPr>
      </w:pPr>
      <w:r w:rsidRPr="0069268F">
        <w:rPr>
          <w:i/>
        </w:rPr>
        <w:lastRenderedPageBreak/>
        <w:t>Notes:</w:t>
      </w:r>
    </w:p>
    <w:p w:rsidR="00A765C4" w:rsidRPr="00411997" w:rsidRDefault="00A765C4" w:rsidP="00A765C4">
      <w:pPr>
        <w:contextualSpacing/>
        <w:rPr>
          <w:i/>
        </w:rPr>
      </w:pPr>
      <w:r w:rsidRPr="00411997">
        <w:rPr>
          <w:i/>
        </w:rPr>
        <w:t>The estimate should be derived from the whole number of blows to produce approximately 150mm of</w:t>
      </w:r>
      <w:r>
        <w:rPr>
          <w:i/>
        </w:rPr>
        <w:t xml:space="preserve"> penetration</w:t>
      </w:r>
      <w:r w:rsidRPr="00411997">
        <w:rPr>
          <w:i/>
        </w:rPr>
        <w:t xml:space="preserve">. </w:t>
      </w:r>
      <w:r>
        <w:rPr>
          <w:i/>
        </w:rPr>
        <w:t xml:space="preserve"> </w:t>
      </w:r>
      <w:r w:rsidRPr="00411997">
        <w:rPr>
          <w:i/>
        </w:rPr>
        <w:t xml:space="preserve">The depth interval may range between 100 and 200mm.   </w:t>
      </w:r>
    </w:p>
    <w:p w:rsidR="00DC32EE" w:rsidRDefault="00DC32EE"/>
    <w:sectPr w:rsidR="00DC32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6F" w:rsidRDefault="000C5E6F" w:rsidP="00ED63FD">
      <w:pPr>
        <w:spacing w:after="0"/>
      </w:pPr>
      <w:r>
        <w:separator/>
      </w:r>
    </w:p>
  </w:endnote>
  <w:endnote w:type="continuationSeparator" w:id="0">
    <w:p w:rsidR="000C5E6F" w:rsidRDefault="000C5E6F" w:rsidP="00ED6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FD" w:rsidRPr="00C22A9E" w:rsidRDefault="00ED63FD" w:rsidP="00ED63FD">
    <w:pPr>
      <w:pBdr>
        <w:top w:val="single" w:sz="6" w:space="1" w:color="000000"/>
      </w:pBdr>
      <w:jc w:val="right"/>
    </w:pPr>
    <w:r w:rsidRPr="00C22A9E">
      <w:t xml:space="preserve">Department of State Growth – </w:t>
    </w:r>
    <w:r>
      <w:t>May 2019</w:t>
    </w:r>
  </w:p>
  <w:p w:rsidR="00ED63FD" w:rsidRDefault="00ED63FD" w:rsidP="00ED63FD">
    <w:pPr>
      <w:pStyle w:val="Footer"/>
      <w:jc w:val="right"/>
    </w:pPr>
    <w:r>
      <w:t xml:space="preserve">(Page </w:t>
    </w:r>
    <w:r>
      <w:fldChar w:fldCharType="begin"/>
    </w:r>
    <w:r>
      <w:instrText xml:space="preserve"> PAGE   \* MERGEFORMAT </w:instrText>
    </w:r>
    <w:r>
      <w:fldChar w:fldCharType="separate"/>
    </w:r>
    <w:r w:rsidR="00133E9D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33E9D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6F" w:rsidRDefault="000C5E6F" w:rsidP="00ED63FD">
      <w:pPr>
        <w:spacing w:after="0"/>
      </w:pPr>
      <w:r>
        <w:separator/>
      </w:r>
    </w:p>
  </w:footnote>
  <w:footnote w:type="continuationSeparator" w:id="0">
    <w:p w:rsidR="000C5E6F" w:rsidRDefault="000C5E6F" w:rsidP="00ED6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FD" w:rsidRDefault="00ED63FD" w:rsidP="00ED63FD">
    <w:pPr>
      <w:jc w:val="right"/>
    </w:pPr>
    <w:r>
      <w:t>Department of State Growth</w:t>
    </w:r>
  </w:p>
  <w:p w:rsidR="00ED63FD" w:rsidRPr="00ED63FD" w:rsidRDefault="00ED63FD" w:rsidP="00ED6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878"/>
    <w:multiLevelType w:val="hybridMultilevel"/>
    <w:tmpl w:val="A55C4718"/>
    <w:lvl w:ilvl="0" w:tplc="8828D4F0">
      <w:start w:val="1"/>
      <w:numFmt w:val="lowerRoman"/>
      <w:lvlText w:val="%1."/>
      <w:lvlJc w:val="left"/>
      <w:pPr>
        <w:ind w:left="2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78" w:hanging="360"/>
      </w:pPr>
    </w:lvl>
    <w:lvl w:ilvl="2" w:tplc="0C09001B" w:tentative="1">
      <w:start w:val="1"/>
      <w:numFmt w:val="lowerRoman"/>
      <w:lvlText w:val="%3."/>
      <w:lvlJc w:val="right"/>
      <w:pPr>
        <w:ind w:left="3798" w:hanging="180"/>
      </w:pPr>
    </w:lvl>
    <w:lvl w:ilvl="3" w:tplc="0C09000F" w:tentative="1">
      <w:start w:val="1"/>
      <w:numFmt w:val="decimal"/>
      <w:lvlText w:val="%4."/>
      <w:lvlJc w:val="left"/>
      <w:pPr>
        <w:ind w:left="4518" w:hanging="360"/>
      </w:pPr>
    </w:lvl>
    <w:lvl w:ilvl="4" w:tplc="0C090019" w:tentative="1">
      <w:start w:val="1"/>
      <w:numFmt w:val="lowerLetter"/>
      <w:lvlText w:val="%5."/>
      <w:lvlJc w:val="left"/>
      <w:pPr>
        <w:ind w:left="5238" w:hanging="360"/>
      </w:pPr>
    </w:lvl>
    <w:lvl w:ilvl="5" w:tplc="0C09001B" w:tentative="1">
      <w:start w:val="1"/>
      <w:numFmt w:val="lowerRoman"/>
      <w:lvlText w:val="%6."/>
      <w:lvlJc w:val="right"/>
      <w:pPr>
        <w:ind w:left="5958" w:hanging="180"/>
      </w:pPr>
    </w:lvl>
    <w:lvl w:ilvl="6" w:tplc="0C09000F" w:tentative="1">
      <w:start w:val="1"/>
      <w:numFmt w:val="decimal"/>
      <w:lvlText w:val="%7."/>
      <w:lvlJc w:val="left"/>
      <w:pPr>
        <w:ind w:left="6678" w:hanging="360"/>
      </w:pPr>
    </w:lvl>
    <w:lvl w:ilvl="7" w:tplc="0C090019" w:tentative="1">
      <w:start w:val="1"/>
      <w:numFmt w:val="lowerLetter"/>
      <w:lvlText w:val="%8."/>
      <w:lvlJc w:val="left"/>
      <w:pPr>
        <w:ind w:left="7398" w:hanging="360"/>
      </w:pPr>
    </w:lvl>
    <w:lvl w:ilvl="8" w:tplc="0C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" w15:restartNumberingAfterBreak="0">
    <w:nsid w:val="067F6FA8"/>
    <w:multiLevelType w:val="hybridMultilevel"/>
    <w:tmpl w:val="92960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1B6C"/>
    <w:multiLevelType w:val="hybridMultilevel"/>
    <w:tmpl w:val="445E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4"/>
    <w:rsid w:val="000C5E6F"/>
    <w:rsid w:val="00133E9D"/>
    <w:rsid w:val="006C7078"/>
    <w:rsid w:val="00A765C4"/>
    <w:rsid w:val="00DC32EE"/>
    <w:rsid w:val="00E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35B19-ED9C-4AA2-820D-455CA61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C4"/>
    <w:pPr>
      <w:tabs>
        <w:tab w:val="left" w:pos="567"/>
        <w:tab w:val="left" w:pos="1134"/>
      </w:tabs>
      <w:spacing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65C4"/>
    <w:pPr>
      <w:keepNext/>
      <w:suppressAutoHyphens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link w:val="Heading2Char"/>
    <w:qFormat/>
    <w:rsid w:val="00A765C4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765C4"/>
    <w:pPr>
      <w:keepNext/>
      <w:tabs>
        <w:tab w:val="center" w:pos="4820"/>
        <w:tab w:val="center" w:pos="9356"/>
      </w:tabs>
      <w:suppressAutoHyphens/>
      <w:contextualSpacing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5C4"/>
    <w:rPr>
      <w:rFonts w:ascii="Verdana" w:eastAsia="Times New Roman" w:hAnsi="Verdana" w:cs="Times New Roman"/>
      <w:b/>
      <w:bCs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A765C4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765C4"/>
    <w:rPr>
      <w:rFonts w:ascii="Verdana" w:eastAsia="Times New Roman" w:hAnsi="Verdan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rsid w:val="00A765C4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ED63FD"/>
    <w:pPr>
      <w:tabs>
        <w:tab w:val="clear" w:pos="567"/>
        <w:tab w:val="clear" w:pos="113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3F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3FD"/>
    <w:pPr>
      <w:tabs>
        <w:tab w:val="clear" w:pos="567"/>
        <w:tab w:val="clear" w:pos="113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3FD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rsid w:val="00ED6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Giana, Frank</dc:creator>
  <cp:keywords/>
  <dc:description/>
  <cp:lastModifiedBy>Giana, Frank</cp:lastModifiedBy>
  <cp:revision>3</cp:revision>
  <dcterms:created xsi:type="dcterms:W3CDTF">2019-05-16T23:10:00Z</dcterms:created>
  <dcterms:modified xsi:type="dcterms:W3CDTF">2019-05-31T05:34:00Z</dcterms:modified>
</cp:coreProperties>
</file>