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42824" w14:textId="77777777" w:rsidR="006E7989" w:rsidRPr="00E84C08" w:rsidRDefault="004032CC" w:rsidP="00F87816">
      <w:pPr>
        <w:pStyle w:val="Title"/>
        <w:jc w:val="right"/>
      </w:pPr>
      <w:bookmarkStart w:id="0" w:name="_GoBack"/>
      <w:bookmarkEnd w:id="0"/>
      <w:r w:rsidRPr="004957A3">
        <w:rPr>
          <w:b/>
          <w:noProof/>
          <w:lang w:val="en-AU" w:eastAsia="en-AU"/>
        </w:rPr>
        <w:drawing>
          <wp:anchor distT="0" distB="0" distL="114300" distR="114300" simplePos="0" relativeHeight="251653120" behindDoc="1" locked="0" layoutInCell="1" allowOverlap="1" wp14:anchorId="5D96E78E" wp14:editId="6DB55378">
            <wp:simplePos x="0" y="0"/>
            <wp:positionH relativeFrom="page">
              <wp:align>left</wp:align>
            </wp:positionH>
            <wp:positionV relativeFrom="paragraph">
              <wp:posOffset>-553840</wp:posOffset>
            </wp:positionV>
            <wp:extent cx="7591646" cy="10736341"/>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646" cy="10736341"/>
                    </a:xfrm>
                    <a:prstGeom prst="rect">
                      <a:avLst/>
                    </a:prstGeom>
                  </pic:spPr>
                </pic:pic>
              </a:graphicData>
            </a:graphic>
            <wp14:sizeRelH relativeFrom="page">
              <wp14:pctWidth>0</wp14:pctWidth>
            </wp14:sizeRelH>
            <wp14:sizeRelV relativeFrom="page">
              <wp14:pctHeight>0</wp14:pctHeight>
            </wp14:sizeRelV>
          </wp:anchor>
        </w:drawing>
      </w:r>
      <w:r w:rsidR="006D3E7E" w:rsidRPr="006D3E7E">
        <w:t>Transporter</w:t>
      </w:r>
    </w:p>
    <w:p w14:paraId="3A94CF4F" w14:textId="77777777" w:rsidR="00E84C08" w:rsidRPr="006E7989" w:rsidRDefault="00E84C08" w:rsidP="00F87816"/>
    <w:p w14:paraId="79E1E88E" w14:textId="61D41052" w:rsidR="006E7989" w:rsidRPr="006E7989" w:rsidRDefault="00F87816" w:rsidP="00F87816">
      <w:pPr>
        <w:tabs>
          <w:tab w:val="left" w:pos="6385"/>
        </w:tabs>
      </w:pPr>
      <w:r>
        <w:tab/>
      </w:r>
    </w:p>
    <w:p w14:paraId="6AA38E23" w14:textId="6E7B1563" w:rsidR="006E7989" w:rsidRPr="006E7989" w:rsidRDefault="009A039B" w:rsidP="00F87816">
      <w:r>
        <w:tab/>
      </w:r>
    </w:p>
    <w:p w14:paraId="1F90CCFA" w14:textId="77777777" w:rsidR="006E7989" w:rsidRPr="006E7989" w:rsidRDefault="006E7989" w:rsidP="00F87816"/>
    <w:p w14:paraId="11145AC1" w14:textId="77777777" w:rsidR="006E7989" w:rsidRPr="006E7989" w:rsidRDefault="006E7989" w:rsidP="00F87816"/>
    <w:p w14:paraId="54EA5FF9" w14:textId="6FA9D818" w:rsidR="00E84C08" w:rsidRPr="00F87816" w:rsidRDefault="00E84C08" w:rsidP="00F87816">
      <w:pPr>
        <w:pStyle w:val="Heading2"/>
        <w:jc w:val="right"/>
      </w:pPr>
      <w:r>
        <w:rPr>
          <w:sz w:val="28"/>
        </w:rPr>
        <w:tab/>
      </w:r>
      <w:r w:rsidR="00F87816">
        <w:rPr>
          <w:sz w:val="28"/>
        </w:rPr>
        <w:tab/>
      </w:r>
      <w:r w:rsidR="00F87816">
        <w:rPr>
          <w:sz w:val="28"/>
        </w:rPr>
        <w:tab/>
      </w:r>
      <w:r w:rsidR="00F87816">
        <w:rPr>
          <w:sz w:val="28"/>
        </w:rPr>
        <w:tab/>
      </w:r>
      <w:r w:rsidR="00F87816">
        <w:rPr>
          <w:sz w:val="28"/>
        </w:rPr>
        <w:tab/>
      </w:r>
      <w:r w:rsidR="00DA6836" w:rsidRPr="00F87816">
        <w:rPr>
          <w:color w:val="auto"/>
        </w:rPr>
        <w:t>Ma</w:t>
      </w:r>
      <w:r w:rsidR="00980048" w:rsidRPr="00F87816">
        <w:rPr>
          <w:color w:val="auto"/>
        </w:rPr>
        <w:t>y</w:t>
      </w:r>
      <w:r w:rsidR="00B60DC8" w:rsidRPr="00F87816">
        <w:rPr>
          <w:color w:val="auto"/>
        </w:rPr>
        <w:t xml:space="preserve"> 201</w:t>
      </w:r>
      <w:r w:rsidR="009A0B65" w:rsidRPr="00F87816">
        <w:rPr>
          <w:color w:val="auto"/>
        </w:rPr>
        <w:t>9</w:t>
      </w:r>
    </w:p>
    <w:p w14:paraId="3E70C6B2" w14:textId="17E1E59E" w:rsidR="0083367A" w:rsidRPr="00F87816" w:rsidRDefault="005E02FB" w:rsidP="00F87816">
      <w:pPr>
        <w:pStyle w:val="Heading1"/>
      </w:pPr>
      <w:r>
        <w:t>In gear</w:t>
      </w:r>
    </w:p>
    <w:p w14:paraId="6065E903" w14:textId="4B3FA09D" w:rsidR="002B3DBF" w:rsidRPr="00F87816" w:rsidRDefault="002B3DBF" w:rsidP="00F87816">
      <w:r w:rsidRPr="00F87816">
        <w:t xml:space="preserve">Term 2 and </w:t>
      </w:r>
      <w:proofErr w:type="gramStart"/>
      <w:r w:rsidR="009A6978" w:rsidRPr="00F87816">
        <w:t>Autumn</w:t>
      </w:r>
      <w:proofErr w:type="gramEnd"/>
      <w:r w:rsidRPr="00F87816">
        <w:t xml:space="preserve"> are </w:t>
      </w:r>
      <w:r w:rsidR="009A6978" w:rsidRPr="00F87816">
        <w:t xml:space="preserve">both </w:t>
      </w:r>
      <w:r w:rsidRPr="00F87816">
        <w:t>now underway, but there’s no sign of the colder weather yet</w:t>
      </w:r>
      <w:r w:rsidR="009A6978" w:rsidRPr="00F87816">
        <w:t xml:space="preserve"> - at least not in Hobart, maybe it’s colder where you are? </w:t>
      </w:r>
      <w:r w:rsidRPr="00F87816">
        <w:t xml:space="preserve">We’ve been lucky with the weather but I’m sure some of us will be wanting rain soon. </w:t>
      </w:r>
    </w:p>
    <w:p w14:paraId="6152EB0B" w14:textId="02300EF9" w:rsidR="000E2172" w:rsidRDefault="002B3DBF" w:rsidP="00F87816">
      <w:pPr>
        <w:pStyle w:val="Heading1"/>
      </w:pPr>
      <w:r>
        <w:t>P</w:t>
      </w:r>
      <w:r w:rsidR="007F0FBD">
        <w:t>roject 2018 update</w:t>
      </w:r>
    </w:p>
    <w:p w14:paraId="0D690596" w14:textId="09469AEA" w:rsidR="00186C8F" w:rsidRPr="00F87816" w:rsidRDefault="00186C8F" w:rsidP="00AE184A">
      <w:pPr>
        <w:spacing w:after="120"/>
        <w:rPr>
          <w:b/>
        </w:rPr>
      </w:pPr>
      <w:r w:rsidRPr="00F87816">
        <w:rPr>
          <w:b/>
        </w:rPr>
        <w:t xml:space="preserve">School </w:t>
      </w:r>
      <w:r w:rsidR="00F87816">
        <w:rPr>
          <w:b/>
        </w:rPr>
        <w:t>bus s</w:t>
      </w:r>
      <w:r w:rsidRPr="00F87816">
        <w:rPr>
          <w:b/>
        </w:rPr>
        <w:t>ervices</w:t>
      </w:r>
    </w:p>
    <w:p w14:paraId="1EF14A1C" w14:textId="3BB7114F" w:rsidR="00186C8F" w:rsidRPr="00186C8F" w:rsidRDefault="00186C8F" w:rsidP="00F87816">
      <w:r w:rsidRPr="00186C8F">
        <w:t xml:space="preserve">At the beginning of April, the Project 2018 team </w:t>
      </w:r>
      <w:r w:rsidR="007D6B8C">
        <w:t>started</w:t>
      </w:r>
      <w:r w:rsidRPr="00186C8F">
        <w:t xml:space="preserve"> sending out validation emails to operators</w:t>
      </w:r>
      <w:r w:rsidR="007D6B8C">
        <w:t xml:space="preserve">. These emails contained all </w:t>
      </w:r>
      <w:r w:rsidRPr="00186C8F">
        <w:t>the contract specific information from which bus contract offers will be made (e</w:t>
      </w:r>
      <w:r>
        <w:t>.</w:t>
      </w:r>
      <w:r w:rsidRPr="00186C8F">
        <w:t>g. route, timetable, approved vehicle, and other elements of t</w:t>
      </w:r>
      <w:r w:rsidR="007D6B8C">
        <w:t>he school bus cost model).  These</w:t>
      </w:r>
      <w:r w:rsidRPr="00186C8F">
        <w:t xml:space="preserve"> email</w:t>
      </w:r>
      <w:r w:rsidR="007D6B8C">
        <w:t>s</w:t>
      </w:r>
      <w:r w:rsidRPr="00186C8F">
        <w:t xml:space="preserve"> also provided an estimate of the Annual Service Fee and Capital Payments that together make up the contract offer payment (as at 1 July 2018).</w:t>
      </w:r>
    </w:p>
    <w:p w14:paraId="5A1F246E" w14:textId="149C2261" w:rsidR="007D6B8C" w:rsidRDefault="007D6B8C" w:rsidP="00F87816">
      <w:r>
        <w:t>Operators are being sent t</w:t>
      </w:r>
      <w:r w:rsidR="00186C8F" w:rsidRPr="00186C8F">
        <w:t xml:space="preserve">hese emails </w:t>
      </w:r>
      <w:r>
        <w:t xml:space="preserve">to check and </w:t>
      </w:r>
      <w:r w:rsidR="00186C8F" w:rsidRPr="00186C8F">
        <w:t xml:space="preserve">confirm that all information is correct before contract offers are formally sent. </w:t>
      </w:r>
      <w:r>
        <w:t xml:space="preserve">Not every operator has been sent an email so if you haven’t received one, please don’t be concerned. </w:t>
      </w:r>
      <w:r w:rsidR="00186C8F" w:rsidRPr="00186C8F">
        <w:t xml:space="preserve"> </w:t>
      </w:r>
    </w:p>
    <w:p w14:paraId="7384588B" w14:textId="503294DF" w:rsidR="007D6B8C" w:rsidRDefault="007D6B8C" w:rsidP="00F87816">
      <w:r>
        <w:t xml:space="preserve">The Project 2018 team is </w:t>
      </w:r>
      <w:r w:rsidR="00186C8F" w:rsidRPr="00186C8F">
        <w:t xml:space="preserve">asking that </w:t>
      </w:r>
      <w:proofErr w:type="gramStart"/>
      <w:r w:rsidRPr="00186C8F">
        <w:t>operators</w:t>
      </w:r>
      <w:proofErr w:type="gramEnd"/>
      <w:r w:rsidR="00186C8F" w:rsidRPr="00186C8F">
        <w:t xml:space="preserve"> review </w:t>
      </w:r>
      <w:r>
        <w:t xml:space="preserve">the information </w:t>
      </w:r>
      <w:r w:rsidR="00186C8F" w:rsidRPr="00186C8F">
        <w:t>and respond to these requests as soon as possible</w:t>
      </w:r>
      <w:r>
        <w:t xml:space="preserve"> so they may</w:t>
      </w:r>
      <w:r w:rsidR="00186C8F" w:rsidRPr="00186C8F">
        <w:t xml:space="preserve"> expedite the contract offer process</w:t>
      </w:r>
      <w:r>
        <w:t xml:space="preserve">. However, they do </w:t>
      </w:r>
      <w:r w:rsidR="00186C8F" w:rsidRPr="00186C8F">
        <w:t>realise that some operators may need time to review the information</w:t>
      </w:r>
      <w:r w:rsidR="002B3DBF">
        <w:t xml:space="preserve">. </w:t>
      </w:r>
    </w:p>
    <w:p w14:paraId="196FC50E" w14:textId="1AA9ED62" w:rsidR="00186C8F" w:rsidRPr="00186C8F" w:rsidRDefault="002B3DBF" w:rsidP="00F87816">
      <w:r>
        <w:t xml:space="preserve">Also, </w:t>
      </w:r>
      <w:r w:rsidR="00186C8F" w:rsidRPr="00186C8F">
        <w:t xml:space="preserve">with the volume of </w:t>
      </w:r>
      <w:r w:rsidR="001162EB">
        <w:t>validation emails</w:t>
      </w:r>
      <w:r w:rsidR="00186C8F" w:rsidRPr="00186C8F">
        <w:t xml:space="preserve"> going out, </w:t>
      </w:r>
      <w:r>
        <w:t xml:space="preserve">please be aware that </w:t>
      </w:r>
      <w:r w:rsidR="007D6B8C">
        <w:t>the Project 2018 team</w:t>
      </w:r>
      <w:r w:rsidR="00186C8F" w:rsidRPr="00186C8F">
        <w:t xml:space="preserve"> may not be able to respond to all </w:t>
      </w:r>
      <w:r w:rsidR="00AE184A">
        <w:t>e</w:t>
      </w:r>
      <w:r w:rsidR="007D6B8C">
        <w:t>n</w:t>
      </w:r>
      <w:r w:rsidR="007D6B8C" w:rsidRPr="00186C8F">
        <w:t>quiries</w:t>
      </w:r>
      <w:r w:rsidR="00186C8F" w:rsidRPr="00186C8F">
        <w:t xml:space="preserve"> coming in as quickly as operators may like.</w:t>
      </w:r>
    </w:p>
    <w:p w14:paraId="1AA6C75B" w14:textId="6AD8CEE2" w:rsidR="00186C8F" w:rsidRPr="00186C8F" w:rsidRDefault="007F7C08" w:rsidP="00F87816">
      <w:r>
        <w:t>T</w:t>
      </w:r>
      <w:r w:rsidR="00186C8F" w:rsidRPr="00186C8F">
        <w:t xml:space="preserve">he latest drafts of </w:t>
      </w:r>
      <w:r>
        <w:t xml:space="preserve">the </w:t>
      </w:r>
      <w:r w:rsidR="00186C8F" w:rsidRPr="00186C8F">
        <w:t>contract documentation (the Formal Instrument of Agreement and Standard Contract conditions)</w:t>
      </w:r>
      <w:r>
        <w:t>,</w:t>
      </w:r>
      <w:r w:rsidR="00186C8F" w:rsidRPr="00186C8F">
        <w:t xml:space="preserve"> as well as the School Bus Funding Model Calculator</w:t>
      </w:r>
      <w:r>
        <w:t>, have been published on the Transport website and can be found here:</w:t>
      </w:r>
      <w:r w:rsidR="00AE184A">
        <w:t xml:space="preserve"> </w:t>
      </w:r>
      <w:hyperlink r:id="rId9" w:history="1">
        <w:r w:rsidR="002B3DBF" w:rsidRPr="00A71ECE">
          <w:rPr>
            <w:rStyle w:val="Hyperlink"/>
          </w:rPr>
          <w:t>https://www.transport.tas.gov.au/project2018/new_contract_information</w:t>
        </w:r>
      </w:hyperlink>
      <w:r w:rsidR="002B3DBF">
        <w:t xml:space="preserve"> </w:t>
      </w:r>
    </w:p>
    <w:p w14:paraId="2175079D" w14:textId="46314DB7" w:rsidR="00186C8F" w:rsidRDefault="007F7C08" w:rsidP="00F87816">
      <w:r>
        <w:t>T</w:t>
      </w:r>
      <w:r w:rsidR="00186C8F" w:rsidRPr="00186C8F">
        <w:t xml:space="preserve">he validation </w:t>
      </w:r>
      <w:r>
        <w:t>email</w:t>
      </w:r>
      <w:r w:rsidR="00186C8F" w:rsidRPr="00186C8F">
        <w:t xml:space="preserve"> </w:t>
      </w:r>
      <w:r>
        <w:t>and the</w:t>
      </w:r>
      <w:r w:rsidR="00186C8F" w:rsidRPr="00186C8F">
        <w:t xml:space="preserve"> contract documents </w:t>
      </w:r>
      <w:r>
        <w:t xml:space="preserve">together will put you </w:t>
      </w:r>
      <w:r w:rsidR="00186C8F" w:rsidRPr="00186C8F">
        <w:t xml:space="preserve">in a strong position to consider the formal contract offer that will </w:t>
      </w:r>
      <w:r>
        <w:t>be sent to you</w:t>
      </w:r>
      <w:r w:rsidR="00186C8F" w:rsidRPr="00186C8F">
        <w:t xml:space="preserve">.  You can also use the School Bus Funding Model Calculator to look at other cost estimate scenarios to see how they might affect your contract payment.  You will need Microsoft Excel on your computer to do this. </w:t>
      </w:r>
    </w:p>
    <w:p w14:paraId="3A010F00" w14:textId="1ECBBB86" w:rsidR="00186C8F" w:rsidRDefault="007F7C08" w:rsidP="00F87816">
      <w:r>
        <w:t>Once you have received your formal contract offer, y</w:t>
      </w:r>
      <w:r w:rsidR="00186C8F" w:rsidRPr="00186C8F">
        <w:t>ou will still be provided with two months to consider and decide whether to accept your contract offer.</w:t>
      </w:r>
    </w:p>
    <w:p w14:paraId="5ACD7E97" w14:textId="3D1C19DA" w:rsidR="00186C8F" w:rsidRPr="00F87816" w:rsidRDefault="00186C8F" w:rsidP="00AE184A">
      <w:pPr>
        <w:keepNext/>
        <w:spacing w:after="120"/>
        <w:rPr>
          <w:b/>
        </w:rPr>
      </w:pPr>
      <w:r w:rsidRPr="00F87816">
        <w:rPr>
          <w:b/>
        </w:rPr>
        <w:lastRenderedPageBreak/>
        <w:t xml:space="preserve">General </w:t>
      </w:r>
      <w:r w:rsidR="00F87816">
        <w:rPr>
          <w:b/>
        </w:rPr>
        <w:t>a</w:t>
      </w:r>
      <w:r w:rsidRPr="00F87816">
        <w:rPr>
          <w:b/>
        </w:rPr>
        <w:t xml:space="preserve">ccess </w:t>
      </w:r>
      <w:r w:rsidR="00F87816">
        <w:rPr>
          <w:b/>
        </w:rPr>
        <w:t>services</w:t>
      </w:r>
    </w:p>
    <w:p w14:paraId="4DF299A3" w14:textId="3387A31B" w:rsidR="00186C8F" w:rsidRPr="00186C8F" w:rsidRDefault="00186C8F" w:rsidP="00F87816">
      <w:r w:rsidRPr="00186C8F">
        <w:t xml:space="preserve">The consultation process has commenced for </w:t>
      </w:r>
      <w:r w:rsidR="009D4D91">
        <w:t xml:space="preserve">the northern </w:t>
      </w:r>
      <w:r w:rsidRPr="00186C8F">
        <w:t xml:space="preserve">general access bus </w:t>
      </w:r>
      <w:r w:rsidR="009D4D91">
        <w:t>routes</w:t>
      </w:r>
      <w:r w:rsidRPr="00186C8F">
        <w:t xml:space="preserve"> </w:t>
      </w:r>
      <w:r w:rsidR="009D4D91">
        <w:t xml:space="preserve">which </w:t>
      </w:r>
      <w:r w:rsidRPr="00186C8F">
        <w:t>servic</w:t>
      </w:r>
      <w:r w:rsidR="009D4D91">
        <w:t>e</w:t>
      </w:r>
      <w:r w:rsidRPr="00186C8F">
        <w:t xml:space="preserve"> the towns and regions around Launceston and north</w:t>
      </w:r>
      <w:r w:rsidR="009D4D91">
        <w:t>ern Tasmania</w:t>
      </w:r>
      <w:r w:rsidRPr="00186C8F">
        <w:t>.</w:t>
      </w:r>
      <w:r w:rsidR="009D4D91">
        <w:t xml:space="preserve"> This includes a review of the </w:t>
      </w:r>
      <w:r w:rsidRPr="00186C8F">
        <w:t xml:space="preserve">outer-urban and regional routes surrounding Launceston </w:t>
      </w:r>
      <w:r w:rsidR="009D4D91">
        <w:t xml:space="preserve">which are </w:t>
      </w:r>
      <w:r w:rsidRPr="00186C8F">
        <w:t xml:space="preserve">operated by Manion’s Coaches, Lee’s Coaches, </w:t>
      </w:r>
      <w:r w:rsidR="009D4D91">
        <w:t xml:space="preserve">RD &amp; FH </w:t>
      </w:r>
      <w:proofErr w:type="spellStart"/>
      <w:r w:rsidRPr="00186C8F">
        <w:t>Sainty</w:t>
      </w:r>
      <w:proofErr w:type="spellEnd"/>
      <w:r w:rsidRPr="00186C8F">
        <w:t xml:space="preserve">, </w:t>
      </w:r>
      <w:proofErr w:type="spellStart"/>
      <w:r w:rsidRPr="00186C8F">
        <w:t>Tassielink</w:t>
      </w:r>
      <w:proofErr w:type="spellEnd"/>
      <w:r w:rsidRPr="00186C8F">
        <w:t xml:space="preserve"> Transit, and </w:t>
      </w:r>
      <w:proofErr w:type="spellStart"/>
      <w:r w:rsidRPr="00186C8F">
        <w:t>Calow’s</w:t>
      </w:r>
      <w:proofErr w:type="spellEnd"/>
      <w:r w:rsidRPr="00186C8F">
        <w:t xml:space="preserve"> Coaches.</w:t>
      </w:r>
    </w:p>
    <w:p w14:paraId="6EFCF36E" w14:textId="12845DC4" w:rsidR="00186C8F" w:rsidRDefault="009D4D91" w:rsidP="00F87816">
      <w:r>
        <w:t>T</w:t>
      </w:r>
      <w:r w:rsidR="00186C8F" w:rsidRPr="00186C8F">
        <w:t xml:space="preserve">he consultation documents and proposed changes </w:t>
      </w:r>
      <w:r>
        <w:t xml:space="preserve">can be viewed here: </w:t>
      </w:r>
      <w:hyperlink r:id="rId10" w:history="1">
        <w:r w:rsidRPr="00A71ECE">
          <w:rPr>
            <w:rStyle w:val="Hyperlink"/>
          </w:rPr>
          <w:t>www.transport.tas.gov.au/haveyoursay</w:t>
        </w:r>
      </w:hyperlink>
    </w:p>
    <w:p w14:paraId="0316B7E8" w14:textId="4A6946E4" w:rsidR="00186C8F" w:rsidRPr="00186C8F" w:rsidRDefault="00186C8F" w:rsidP="00F87816">
      <w:r w:rsidRPr="00186C8F">
        <w:t>The pro</w:t>
      </w:r>
      <w:r w:rsidR="002E287A">
        <w:t>posed changes to routes, timetables</w:t>
      </w:r>
      <w:r w:rsidRPr="00186C8F">
        <w:t xml:space="preserve"> and </w:t>
      </w:r>
      <w:r w:rsidR="002E287A">
        <w:t xml:space="preserve">service </w:t>
      </w:r>
      <w:r w:rsidRPr="00186C8F">
        <w:t>frequency will make catching a bus faster, easier and more convenient for the majority of passengers</w:t>
      </w:r>
      <w:r w:rsidR="002E287A">
        <w:t>,</w:t>
      </w:r>
      <w:r w:rsidRPr="00186C8F">
        <w:t xml:space="preserve"> by ensuring there are buses where the majority of people need them.</w:t>
      </w:r>
    </w:p>
    <w:p w14:paraId="42A3C6E9" w14:textId="43D1858D" w:rsidR="00186C8F" w:rsidRPr="00186C8F" w:rsidRDefault="00186C8F" w:rsidP="00F87816">
      <w:r w:rsidRPr="00186C8F">
        <w:t xml:space="preserve">Local Councils, community groups, the local tourism industry and business groups, welfare and service organisations, and bus service operators are all being directly consulted </w:t>
      </w:r>
      <w:r w:rsidR="002E287A">
        <w:t xml:space="preserve">with </w:t>
      </w:r>
      <w:r w:rsidRPr="00186C8F">
        <w:t xml:space="preserve">on the proposed changes. </w:t>
      </w:r>
    </w:p>
    <w:p w14:paraId="05E08D0C" w14:textId="77777777" w:rsidR="00186C8F" w:rsidRDefault="00186C8F" w:rsidP="00F87816">
      <w:r w:rsidRPr="00186C8F">
        <w:t>Consultation will also be occurring on the Launceston urban bus network, operated by Metro Tasmania.</w:t>
      </w:r>
    </w:p>
    <w:p w14:paraId="1217A3D2" w14:textId="58DCD2A8" w:rsidR="00E64AB4" w:rsidRDefault="00980048" w:rsidP="00F87816">
      <w:pPr>
        <w:pStyle w:val="Heading1"/>
      </w:pPr>
      <w:r>
        <w:t>A</w:t>
      </w:r>
      <w:r w:rsidR="00E64AB4">
        <w:t>ccreditation</w:t>
      </w:r>
    </w:p>
    <w:p w14:paraId="3D6F627C" w14:textId="71B80492" w:rsidR="00D54C51" w:rsidRPr="00D54C51" w:rsidRDefault="00D54C51" w:rsidP="00F87816">
      <w:r w:rsidRPr="00D54C51">
        <w:t xml:space="preserve">The Transport Commission, the Department of State Growth and </w:t>
      </w:r>
      <w:r w:rsidR="007605CA">
        <w:t xml:space="preserve">bus </w:t>
      </w:r>
      <w:r w:rsidRPr="00D54C51">
        <w:t>operators all want a safe passenger transport s</w:t>
      </w:r>
      <w:r w:rsidR="007605CA">
        <w:t>ystem</w:t>
      </w:r>
      <w:r w:rsidRPr="00D54C51">
        <w:t xml:space="preserve"> so that passengers </w:t>
      </w:r>
      <w:r w:rsidR="007605CA">
        <w:t xml:space="preserve">can </w:t>
      </w:r>
      <w:r w:rsidRPr="00D54C51">
        <w:t xml:space="preserve">have confidence in Tasmania’s public passenger transport.  One element to ensure safety </w:t>
      </w:r>
      <w:r w:rsidR="007605CA">
        <w:t>i</w:t>
      </w:r>
      <w:r w:rsidRPr="00D54C51">
        <w:t>s that an operator has appropriate and effective safety, security and related systems that meet the Accreditation Standards.</w:t>
      </w:r>
    </w:p>
    <w:p w14:paraId="3531C458" w14:textId="09ECC827" w:rsidR="00D54C51" w:rsidRPr="00D54C51" w:rsidRDefault="00D54C51" w:rsidP="00F87816">
      <w:r w:rsidRPr="00D54C51">
        <w:t xml:space="preserve">The Accreditation Standards sets the minimum safety specification and requirements that an operator is required to meet.  The Accreditation Standards reflect a systematic approach to managing risks by a set of </w:t>
      </w:r>
      <w:r>
        <w:t>a</w:t>
      </w:r>
      <w:r w:rsidRPr="00D54C51">
        <w:t>ctions that need to be undertaken by the operator to ensure on-go</w:t>
      </w:r>
      <w:r>
        <w:t>i</w:t>
      </w:r>
      <w:r w:rsidRPr="00D54C51">
        <w:t>ng conformance, through:</w:t>
      </w:r>
    </w:p>
    <w:p w14:paraId="7C74CC11" w14:textId="77777777" w:rsidR="00D54C51" w:rsidRPr="00D54C51" w:rsidRDefault="00D54C51" w:rsidP="00F87816">
      <w:pPr>
        <w:pStyle w:val="ListParagraph"/>
        <w:numPr>
          <w:ilvl w:val="0"/>
          <w:numId w:val="24"/>
        </w:numPr>
      </w:pPr>
      <w:r w:rsidRPr="00D54C51">
        <w:t>Identifying, assessing and controlling passenger transport safety risks (such as ensuring buses used for the Service are mechanically sound)</w:t>
      </w:r>
    </w:p>
    <w:p w14:paraId="5652A28E" w14:textId="77777777" w:rsidR="00D54C51" w:rsidRPr="00D54C51" w:rsidRDefault="00D54C51" w:rsidP="00F87816">
      <w:pPr>
        <w:pStyle w:val="ListParagraph"/>
        <w:numPr>
          <w:ilvl w:val="0"/>
          <w:numId w:val="24"/>
        </w:numPr>
      </w:pPr>
      <w:r w:rsidRPr="00D54C51">
        <w:t>Monitoring the system to maintain a safe operation (such as ensuring that drivers engaged by the operator understand how to report a vehicle defect that they detect as part of a pre-departure inspection or when driving it on road) and</w:t>
      </w:r>
    </w:p>
    <w:p w14:paraId="66F55717" w14:textId="3B32FDAC" w:rsidR="00D54C51" w:rsidRPr="00D54C51" w:rsidRDefault="00D54C51" w:rsidP="00F87816">
      <w:pPr>
        <w:pStyle w:val="ListParagraph"/>
        <w:numPr>
          <w:ilvl w:val="0"/>
          <w:numId w:val="24"/>
        </w:numPr>
      </w:pPr>
      <w:r w:rsidRPr="00D54C51">
        <w:t>Continuing to improve the overall performance of the System.</w:t>
      </w:r>
    </w:p>
    <w:p w14:paraId="25DEF8EA" w14:textId="04633C0D" w:rsidR="009A6978" w:rsidRDefault="00D54C51" w:rsidP="00F87816">
      <w:r w:rsidRPr="00D54C51">
        <w:t xml:space="preserve">Operators are required by law </w:t>
      </w:r>
      <w:r w:rsidR="007605CA">
        <w:t xml:space="preserve">to ensure </w:t>
      </w:r>
      <w:r w:rsidRPr="00D54C51">
        <w:t xml:space="preserve">that their Systems conform </w:t>
      </w:r>
      <w:proofErr w:type="gramStart"/>
      <w:r w:rsidRPr="00D54C51">
        <w:t>with</w:t>
      </w:r>
      <w:proofErr w:type="gramEnd"/>
      <w:r w:rsidRPr="00D54C51">
        <w:t xml:space="preserve"> the Accreditation Standards. For the Systems to conform</w:t>
      </w:r>
      <w:r w:rsidR="00587621">
        <w:t>,</w:t>
      </w:r>
      <w:r w:rsidRPr="00D54C51">
        <w:t xml:space="preserve"> each criterion </w:t>
      </w:r>
      <w:r w:rsidR="00587621">
        <w:t>of</w:t>
      </w:r>
      <w:r w:rsidRPr="00D54C51">
        <w:t xml:space="preserve"> the applicable Accreditation</w:t>
      </w:r>
      <w:r w:rsidR="00587621">
        <w:t xml:space="preserve"> Standard</w:t>
      </w:r>
      <w:r w:rsidRPr="00D54C51">
        <w:t xml:space="preserve"> must be met</w:t>
      </w:r>
      <w:r w:rsidR="00587621">
        <w:t>.</w:t>
      </w:r>
      <w:r w:rsidRPr="00D54C51">
        <w:t xml:space="preserve"> </w:t>
      </w:r>
      <w:r w:rsidR="00587621">
        <w:t xml:space="preserve">Operators are required to have implemented </w:t>
      </w:r>
      <w:r w:rsidRPr="00D54C51">
        <w:t>the appropriate</w:t>
      </w:r>
      <w:r w:rsidR="00980048">
        <w:t xml:space="preserve"> s</w:t>
      </w:r>
      <w:r w:rsidRPr="00D54C51">
        <w:t xml:space="preserve">ystems </w:t>
      </w:r>
      <w:r w:rsidR="00587621">
        <w:t>and also to</w:t>
      </w:r>
      <w:r w:rsidRPr="00D54C51">
        <w:t xml:space="preserve"> </w:t>
      </w:r>
      <w:r w:rsidR="00587621">
        <w:t>have</w:t>
      </w:r>
      <w:r w:rsidR="00587621" w:rsidRPr="00D54C51">
        <w:t xml:space="preserve"> </w:t>
      </w:r>
      <w:r w:rsidRPr="00D54C51">
        <w:t xml:space="preserve">embedded </w:t>
      </w:r>
      <w:r w:rsidR="00587621">
        <w:t xml:space="preserve">the proper use of the systems </w:t>
      </w:r>
      <w:r w:rsidRPr="00D54C51">
        <w:t>into the day to day management and operation of the service.</w:t>
      </w:r>
      <w:r w:rsidR="00980048">
        <w:t xml:space="preserve"> </w:t>
      </w:r>
    </w:p>
    <w:p w14:paraId="7129769D" w14:textId="31FAFFA8" w:rsidR="009A6978" w:rsidRDefault="00D54C51" w:rsidP="00F87816">
      <w:r w:rsidRPr="00D54C51">
        <w:t xml:space="preserve">The Commission must assess whether the Systems conform to the Accreditation Standards.  </w:t>
      </w:r>
      <w:r w:rsidR="00587621">
        <w:t>As p</w:t>
      </w:r>
      <w:r w:rsidRPr="00D54C51">
        <w:t>art of forming this</w:t>
      </w:r>
      <w:r w:rsidR="00980048">
        <w:t xml:space="preserve"> </w:t>
      </w:r>
      <w:r w:rsidRPr="00D54C51">
        <w:t>assessment the Commission uses the information gathered in an audit and detailed in the audit report to make a determination about the appropriateness and effectiveness of the Systems.  The purpose of the audit is to:</w:t>
      </w:r>
    </w:p>
    <w:p w14:paraId="12FC419E" w14:textId="77777777" w:rsidR="009A6978" w:rsidRDefault="00D54C51" w:rsidP="00F87816">
      <w:pPr>
        <w:pStyle w:val="ListParagraph"/>
        <w:numPr>
          <w:ilvl w:val="0"/>
          <w:numId w:val="24"/>
        </w:numPr>
      </w:pPr>
      <w:r w:rsidRPr="009A6978">
        <w:t>Verify objective evidence relating to the Systems</w:t>
      </w:r>
    </w:p>
    <w:p w14:paraId="1A17D869" w14:textId="726DF614" w:rsidR="00D54C51" w:rsidRPr="009A6978" w:rsidRDefault="00D54C51" w:rsidP="00F87816">
      <w:pPr>
        <w:pStyle w:val="ListParagraph"/>
        <w:numPr>
          <w:ilvl w:val="0"/>
          <w:numId w:val="24"/>
        </w:numPr>
      </w:pPr>
      <w:r w:rsidRPr="009A6978">
        <w:t>Assess how successfully the Systems have been implemented and</w:t>
      </w:r>
    </w:p>
    <w:p w14:paraId="5823F640" w14:textId="315BB21F" w:rsidR="00D54C51" w:rsidRPr="00D54C51" w:rsidRDefault="00D54C51" w:rsidP="00F87816">
      <w:pPr>
        <w:pStyle w:val="ListParagraph"/>
        <w:numPr>
          <w:ilvl w:val="0"/>
          <w:numId w:val="24"/>
        </w:numPr>
      </w:pPr>
      <w:r w:rsidRPr="00D54C51">
        <w:t>Evaluate the effectiveness of the Systems in meeting the Accreditation Standards.</w:t>
      </w:r>
    </w:p>
    <w:p w14:paraId="1225138A" w14:textId="29FFCADF" w:rsidR="00D54C51" w:rsidRPr="00D54C51" w:rsidRDefault="00D54C51" w:rsidP="00F87816">
      <w:r w:rsidRPr="00D54C51">
        <w:t>The role of the auditor is an important one.  The Transport Commission relies on the information submitted by an audit</w:t>
      </w:r>
      <w:r w:rsidR="00587621">
        <w:t>or</w:t>
      </w:r>
      <w:r w:rsidRPr="00D54C51">
        <w:t xml:space="preserve"> in the audit report to determine the System’s level of conformance to the Accreditation Standards.</w:t>
      </w:r>
    </w:p>
    <w:p w14:paraId="36519465" w14:textId="77777777" w:rsidR="00D54C51" w:rsidRPr="00D54C51" w:rsidRDefault="00D54C51" w:rsidP="00F87816">
      <w:r w:rsidRPr="00D54C51">
        <w:t>The list of approved auditors is available at https://www.transport.tas.gov.au/passenger/operator and passenger information/operators.</w:t>
      </w:r>
    </w:p>
    <w:p w14:paraId="25CD1552" w14:textId="5516A31A" w:rsidR="00D54C51" w:rsidRPr="00D54C51" w:rsidRDefault="00D54C51" w:rsidP="00F87816">
      <w:r w:rsidRPr="00D54C51">
        <w:lastRenderedPageBreak/>
        <w:t>Operator</w:t>
      </w:r>
      <w:r>
        <w:t>s</w:t>
      </w:r>
      <w:r w:rsidRPr="00D54C51">
        <w:t xml:space="preserve"> should make an appointment for an audit </w:t>
      </w:r>
      <w:r w:rsidR="00587621">
        <w:t xml:space="preserve">to be conducted </w:t>
      </w:r>
      <w:r w:rsidRPr="00D54C51">
        <w:t>with enough time to ensure the audit report will be supplied to the Commission before the due date.  Failure to supply an audit report leads to a contravention of a condition of accreditation which is an offence under the Passenger Transport Services Act.</w:t>
      </w:r>
    </w:p>
    <w:p w14:paraId="709D8A5A" w14:textId="13A0AA9B" w:rsidR="007605CA" w:rsidRDefault="00AE184A" w:rsidP="00F87816">
      <w:pPr>
        <w:pStyle w:val="Heading1"/>
      </w:pPr>
      <w:r>
        <w:t>5+5 year c</w:t>
      </w:r>
      <w:r w:rsidR="007605CA">
        <w:t xml:space="preserve">ontracts - </w:t>
      </w:r>
      <w:r w:rsidR="002E1B52">
        <w:t>the</w:t>
      </w:r>
      <w:r w:rsidR="007605CA">
        <w:t xml:space="preserve"> </w:t>
      </w:r>
      <w:r w:rsidR="002E1B52">
        <w:t>ABN,</w:t>
      </w:r>
      <w:r w:rsidR="007605CA">
        <w:t xml:space="preserve"> contract, and accreditation </w:t>
      </w:r>
      <w:r w:rsidR="002E1B52">
        <w:t>holder details must match</w:t>
      </w:r>
    </w:p>
    <w:p w14:paraId="0467211A" w14:textId="77777777" w:rsidR="00920C28" w:rsidRDefault="002C49C3" w:rsidP="00F87816">
      <w:r w:rsidRPr="002C49C3">
        <w:t xml:space="preserve">It will be a requirement of the new contracts that the party name </w:t>
      </w:r>
      <w:r w:rsidR="00A70595">
        <w:t>o</w:t>
      </w:r>
      <w:r w:rsidRPr="002C49C3">
        <w:t xml:space="preserve">n </w:t>
      </w:r>
      <w:r w:rsidR="008714EE">
        <w:t>your</w:t>
      </w:r>
      <w:r w:rsidR="00EA6E9F">
        <w:t xml:space="preserve"> c</w:t>
      </w:r>
      <w:r w:rsidRPr="002C49C3">
        <w:t xml:space="preserve">ontract </w:t>
      </w:r>
      <w:r w:rsidR="008714EE">
        <w:t xml:space="preserve">exactly </w:t>
      </w:r>
      <w:r w:rsidR="00EA6E9F" w:rsidRPr="002C49C3">
        <w:t xml:space="preserve">matches </w:t>
      </w:r>
      <w:r w:rsidR="008714EE">
        <w:t xml:space="preserve">the name on your </w:t>
      </w:r>
      <w:r w:rsidRPr="002C49C3">
        <w:t>accreditation and Australian Business Number (ABN) registration</w:t>
      </w:r>
      <w:r w:rsidR="00A70595">
        <w:t xml:space="preserve"> details</w:t>
      </w:r>
      <w:r w:rsidRPr="002C49C3">
        <w:t xml:space="preserve">. </w:t>
      </w:r>
    </w:p>
    <w:p w14:paraId="78811B40" w14:textId="036D8345" w:rsidR="002C49C3" w:rsidRDefault="002C49C3" w:rsidP="00F87816">
      <w:r w:rsidRPr="002C49C3">
        <w:t xml:space="preserve">Ahead of new contracts being sent out, please check </w:t>
      </w:r>
      <w:r w:rsidR="00E64AB4">
        <w:t>the</w:t>
      </w:r>
      <w:r w:rsidRPr="002C49C3">
        <w:t xml:space="preserve"> names you have used on your accreditation and ABN registration. If these names do not match or it is not the name you intend to use on your new contract, you will need to update these details to match the name that you do intend to use on your contract.</w:t>
      </w:r>
    </w:p>
    <w:p w14:paraId="1B51909C" w14:textId="15BDB7A8" w:rsidR="00920C28" w:rsidRDefault="00920C28" w:rsidP="00F87816">
      <w:r>
        <w:t xml:space="preserve">State Growth is required to make sure it enters into contracts with legal entities. We will do this by checking that </w:t>
      </w:r>
      <w:proofErr w:type="gramStart"/>
      <w:r>
        <w:t>your</w:t>
      </w:r>
      <w:proofErr w:type="gramEnd"/>
      <w:r>
        <w:t xml:space="preserve"> ABN and contract names match. You can check your ABN details here: </w:t>
      </w:r>
      <w:hyperlink r:id="rId11" w:history="1">
        <w:r>
          <w:rPr>
            <w:rStyle w:val="Hyperlink"/>
          </w:rPr>
          <w:t>https://abr.business.gov.au/</w:t>
        </w:r>
      </w:hyperlink>
    </w:p>
    <w:p w14:paraId="3F5A8C59" w14:textId="552AC950" w:rsidR="00920C28" w:rsidRDefault="00920C28" w:rsidP="00F87816">
      <w:r>
        <w:t xml:space="preserve">Second to this, it is a requirement that the contract holder also holds the appropriate accreditation. We will do this by providing details of the contracting party to the Transport Commission and requesting information about the accreditation held by that party. </w:t>
      </w:r>
    </w:p>
    <w:p w14:paraId="62CD490D" w14:textId="467E5AEE" w:rsidR="00920C28" w:rsidRPr="00F87816" w:rsidRDefault="00920C28" w:rsidP="00F87816">
      <w:pPr>
        <w:rPr>
          <w:i/>
        </w:rPr>
      </w:pPr>
      <w:r w:rsidRPr="00F87816">
        <w:rPr>
          <w:i/>
        </w:rPr>
        <w:t>Example</w:t>
      </w:r>
      <w:r w:rsidR="003C10AD" w:rsidRPr="00F87816">
        <w:rPr>
          <w:i/>
        </w:rPr>
        <w:t>:</w:t>
      </w:r>
    </w:p>
    <w:p w14:paraId="11EED81E" w14:textId="77777777" w:rsidR="003C10AD" w:rsidRDefault="00920C28" w:rsidP="00F87816">
      <w:r>
        <w:t>An operator tells State Growth that its ABN is 8</w:t>
      </w:r>
      <w:r w:rsidR="003C10AD">
        <w:t>6 002 93</w:t>
      </w:r>
      <w:r>
        <w:t xml:space="preserve">3 642 and that it wants to enter into the contract as </w:t>
      </w:r>
      <w:r w:rsidR="003C10AD">
        <w:t xml:space="preserve">XYZ Coaches. </w:t>
      </w:r>
      <w:r>
        <w:t xml:space="preserve">State Growth will </w:t>
      </w:r>
      <w:r w:rsidR="003C10AD">
        <w:t xml:space="preserve">check the ABN details to confirm that XYZ Coaches is the holder of that ABN. </w:t>
      </w:r>
    </w:p>
    <w:p w14:paraId="70D17F55" w14:textId="61EDFB82" w:rsidR="003C10AD" w:rsidRDefault="003C10AD" w:rsidP="00F87816">
      <w:r>
        <w:t xml:space="preserve">In this example, State Growth discovers that XYZ Coaches is the trading name and that the legal entity is XYZ Buses Pty Ltd. State Growth would not be able to accept XYZ Coaches as the contract holder but can accept XYZ Buses Pty Ltd. </w:t>
      </w:r>
    </w:p>
    <w:p w14:paraId="42561E61" w14:textId="27C5DA56" w:rsidR="003C10AD" w:rsidRDefault="003C10AD" w:rsidP="00F87816">
      <w:r>
        <w:t xml:space="preserve">State Growth would then check with the Transport Commission that XYZ Buses Pty Ltd holds the appropriate accreditation to operate a regular passenger service in Tasmania and if appropriate, would enter into the contract with XYZ Buses Pty Ltd. </w:t>
      </w:r>
    </w:p>
    <w:p w14:paraId="1E4A69B4" w14:textId="5B57E296" w:rsidR="003C10AD" w:rsidRDefault="003C10AD" w:rsidP="00F87816">
      <w:r>
        <w:t xml:space="preserve">If </w:t>
      </w:r>
      <w:r w:rsidR="00D275EB">
        <w:t xml:space="preserve">the </w:t>
      </w:r>
      <w:r>
        <w:t>operator want</w:t>
      </w:r>
      <w:r w:rsidR="00D275EB">
        <w:t>s</w:t>
      </w:r>
      <w:r>
        <w:t xml:space="preserve"> to hold the contract in </w:t>
      </w:r>
      <w:r w:rsidR="00D275EB">
        <w:t xml:space="preserve">a </w:t>
      </w:r>
      <w:r>
        <w:t xml:space="preserve">name </w:t>
      </w:r>
      <w:r w:rsidR="00D275EB">
        <w:t>for which i</w:t>
      </w:r>
      <w:r w:rsidR="004C289C">
        <w:t>t</w:t>
      </w:r>
      <w:r w:rsidR="00D275EB">
        <w:t xml:space="preserve"> doesn’t have an ABN or accreditation, the operator needs to make the necessary arrangements now</w:t>
      </w:r>
      <w:r>
        <w:t>.</w:t>
      </w:r>
      <w:r w:rsidR="00D275EB">
        <w:t xml:space="preserve"> These arrangements take some time so you need to start this process now if you haven’t already done so.</w:t>
      </w:r>
      <w:r>
        <w:t xml:space="preserve"> </w:t>
      </w:r>
    </w:p>
    <w:p w14:paraId="2EE28043" w14:textId="1B06D751" w:rsidR="00DD6E26" w:rsidRDefault="002E1B52" w:rsidP="00F87816">
      <w:pPr>
        <w:pStyle w:val="Heading1"/>
      </w:pPr>
      <w:r>
        <w:t>Your contract n</w:t>
      </w:r>
      <w:r w:rsidR="00DD6E26">
        <w:t>umbers</w:t>
      </w:r>
      <w:r>
        <w:t xml:space="preserve"> – old numbers and new numbers</w:t>
      </w:r>
    </w:p>
    <w:p w14:paraId="347D2408" w14:textId="77777777" w:rsidR="00AE184A" w:rsidRDefault="00F87816" w:rsidP="00F87816">
      <w:r>
        <w:t>Your</w:t>
      </w:r>
      <w:r w:rsidR="002E1B52">
        <w:t xml:space="preserve"> old contract numbers are still your current contract numbers.</w:t>
      </w:r>
      <w:r w:rsidR="00AE184A">
        <w:t xml:space="preserve"> For most contracts, these are numbers which fall between 1300 and 1900. </w:t>
      </w:r>
    </w:p>
    <w:p w14:paraId="2E7117F7" w14:textId="3FDC0EFD" w:rsidR="002E1B52" w:rsidRDefault="00AE184A" w:rsidP="00F87816">
      <w:r>
        <w:t xml:space="preserve">Most contract numbers starting with a 2 (i.e. in the 2000’s) are not yet active. These are the numbers that will be assigned to your 5+5 year contracts and because of this, Project 2018 are working with you using these numbers to design your new services. </w:t>
      </w:r>
    </w:p>
    <w:p w14:paraId="0145536A" w14:textId="559C7CA4" w:rsidR="009A039B" w:rsidRDefault="009A039B" w:rsidP="00AE184A">
      <w:r w:rsidRPr="009A039B">
        <w:t xml:space="preserve">Occasionally operators will refer to their new contract numbers when requesting changes or </w:t>
      </w:r>
      <w:r w:rsidR="00E64AB4">
        <w:t>mak</w:t>
      </w:r>
      <w:r w:rsidR="00A776D9">
        <w:t>ing</w:t>
      </w:r>
      <w:r w:rsidR="00E64AB4">
        <w:t xml:space="preserve"> </w:t>
      </w:r>
      <w:r w:rsidR="005277E2">
        <w:t>enquiries</w:t>
      </w:r>
      <w:r w:rsidRPr="009A039B">
        <w:t xml:space="preserve"> about their current contracts. When you are emailing or calling </w:t>
      </w:r>
      <w:r w:rsidR="00EA6E9F">
        <w:t xml:space="preserve">the </w:t>
      </w:r>
      <w:r w:rsidRPr="009A039B">
        <w:t>Passenger Transport Contract</w:t>
      </w:r>
      <w:r w:rsidR="00EA6E9F">
        <w:t>s team</w:t>
      </w:r>
      <w:r w:rsidRPr="009A039B">
        <w:t xml:space="preserve"> about a current contract (i.e. a service you currently provide), please refer to your existing contract number as listed on your Short Term Contract.</w:t>
      </w:r>
      <w:r w:rsidR="00EC66F1">
        <w:t xml:space="preserve"> </w:t>
      </w:r>
    </w:p>
    <w:p w14:paraId="18CD0D20" w14:textId="3EFB9879" w:rsidR="00EC66F1" w:rsidRDefault="00EC66F1" w:rsidP="00F87816">
      <w:pPr>
        <w:pStyle w:val="Heading1"/>
      </w:pPr>
      <w:r>
        <w:lastRenderedPageBreak/>
        <w:t>Your new contracts - emergency response plans</w:t>
      </w:r>
    </w:p>
    <w:p w14:paraId="7245AAF1" w14:textId="493C870A" w:rsidR="00EC66F1" w:rsidRDefault="00EC66F1" w:rsidP="00F87816">
      <w:r>
        <w:t xml:space="preserve">The new 5+5 year contracts require you to have an emergency response plan to deal with a variety of emergency situations. Information recently published by the Bus Industry Confederation may be of assistance to you in developing aspects of this plan relating to fire management. </w:t>
      </w:r>
    </w:p>
    <w:p w14:paraId="2A515EFB" w14:textId="57221B6F" w:rsidR="00EC66F1" w:rsidRDefault="00EC66F1" w:rsidP="00F87816">
      <w:pPr>
        <w:rPr>
          <w:rFonts w:ascii="Calibri" w:hAnsi="Calibri"/>
        </w:rPr>
      </w:pPr>
      <w:r>
        <w:t xml:space="preserve">Many of you may already have received a copy of the bus and coach industry’s Fire Evacuation Protocol Advisory, developed as part of a project led by the Bus Industry Confederation.  </w:t>
      </w:r>
    </w:p>
    <w:p w14:paraId="63DDB452" w14:textId="77777777" w:rsidR="00EC66F1" w:rsidRDefault="00EC66F1" w:rsidP="00F87816">
      <w:r>
        <w:t>The number of bus fire incidents in Tasmania has historically been relatively low, particularly when compared to other Australian states.  Notwithstanding this, the Advisory provides useful information and training packages to assist you in improving bus safety for drivers, passengers, pedestrians and other road users, and reducing the risks associated with bus fires.</w:t>
      </w:r>
    </w:p>
    <w:p w14:paraId="15B34C05" w14:textId="5E7968B7" w:rsidR="00EC66F1" w:rsidRDefault="00EC66F1" w:rsidP="00F87816">
      <w:r>
        <w:t xml:space="preserve">A dedicated web page has been built to house a range of training templates, guidelines and video materials to assist you with the implication of fire evaluation protocols.  The web page is available at </w:t>
      </w:r>
      <w:hyperlink r:id="rId12" w:history="1">
        <w:r>
          <w:rPr>
            <w:rStyle w:val="Hyperlink"/>
          </w:rPr>
          <w:t>www.ozebus.com/bus-fire-evac</w:t>
        </w:r>
      </w:hyperlink>
      <w:r w:rsidR="00F87816">
        <w:t xml:space="preserve"> </w:t>
      </w:r>
    </w:p>
    <w:p w14:paraId="5DA70C76" w14:textId="18A33613" w:rsidR="00EC6E02" w:rsidRDefault="009A039B" w:rsidP="00F87816">
      <w:pPr>
        <w:pStyle w:val="Heading1"/>
      </w:pPr>
      <w:r>
        <w:t xml:space="preserve">Payment </w:t>
      </w:r>
      <w:r w:rsidR="00AE184A">
        <w:t>e</w:t>
      </w:r>
      <w:r w:rsidR="00F87816">
        <w:t>nq</w:t>
      </w:r>
      <w:r>
        <w:t>u</w:t>
      </w:r>
      <w:r w:rsidR="00F87816">
        <w:t>i</w:t>
      </w:r>
      <w:r>
        <w:t>ries</w:t>
      </w:r>
    </w:p>
    <w:p w14:paraId="59032BED" w14:textId="77777777" w:rsidR="009A6978" w:rsidRDefault="00EC6E02" w:rsidP="00F87816">
      <w:r w:rsidRPr="009A6978">
        <w:t>Your monthly Recipient Created Tax Invoice (RCTI) are</w:t>
      </w:r>
      <w:r w:rsidR="00E64AB4" w:rsidRPr="009A6978">
        <w:t xml:space="preserve"> now</w:t>
      </w:r>
      <w:r w:rsidRPr="009A6978">
        <w:t xml:space="preserve"> sent</w:t>
      </w:r>
      <w:r w:rsidR="00990CF7" w:rsidRPr="009A6978">
        <w:t xml:space="preserve"> to you</w:t>
      </w:r>
      <w:r w:rsidRPr="009A6978">
        <w:t xml:space="preserve"> from the Department’s Finance </w:t>
      </w:r>
      <w:r w:rsidR="00DD6E26" w:rsidRPr="009A6978">
        <w:t>b</w:t>
      </w:r>
      <w:r w:rsidR="00E64AB4" w:rsidRPr="009A6978">
        <w:t>ran</w:t>
      </w:r>
      <w:r w:rsidR="00DD6E26" w:rsidRPr="009A6978">
        <w:t>ch</w:t>
      </w:r>
      <w:r w:rsidRPr="009A6978">
        <w:t xml:space="preserve">. </w:t>
      </w:r>
      <w:r w:rsidR="00DD6E26" w:rsidRPr="009A6978">
        <w:t>Please do not reply to this email as the Finance team</w:t>
      </w:r>
      <w:r w:rsidR="00E64AB4" w:rsidRPr="009A6978">
        <w:t xml:space="preserve"> member who sends th</w:t>
      </w:r>
      <w:r w:rsidR="00D54C51" w:rsidRPr="009A6978">
        <w:t>ro</w:t>
      </w:r>
      <w:r w:rsidR="00E64AB4" w:rsidRPr="009A6978">
        <w:t>ugh your RCTI</w:t>
      </w:r>
      <w:r w:rsidR="00DD6E26" w:rsidRPr="009A6978">
        <w:t xml:space="preserve"> </w:t>
      </w:r>
      <w:r w:rsidR="00EA6E9F" w:rsidRPr="009A6978">
        <w:t>may</w:t>
      </w:r>
      <w:r w:rsidR="00DD6E26" w:rsidRPr="009A6978">
        <w:t xml:space="preserve"> be unable to </w:t>
      </w:r>
      <w:r w:rsidR="00E64AB4" w:rsidRPr="009A6978">
        <w:t xml:space="preserve">answer your </w:t>
      </w:r>
      <w:r w:rsidR="008714EE" w:rsidRPr="009A6978">
        <w:t>C</w:t>
      </w:r>
      <w:r w:rsidR="00DD6E26" w:rsidRPr="009A6978">
        <w:t>ontract payment</w:t>
      </w:r>
      <w:r w:rsidR="00E64AB4" w:rsidRPr="009A6978">
        <w:t xml:space="preserve">-related </w:t>
      </w:r>
      <w:r w:rsidR="009A039B" w:rsidRPr="009A6978">
        <w:t>qu</w:t>
      </w:r>
      <w:r w:rsidR="00E64AB4" w:rsidRPr="009A6978">
        <w:t>eries</w:t>
      </w:r>
      <w:r w:rsidR="00DD6E26" w:rsidRPr="009A6978">
        <w:t xml:space="preserve">. </w:t>
      </w:r>
      <w:r w:rsidR="00E533C4" w:rsidRPr="009A6978">
        <w:t>For the fastest response, p</w:t>
      </w:r>
      <w:r w:rsidRPr="009A6978">
        <w:t>lease</w:t>
      </w:r>
      <w:r w:rsidR="00990CF7" w:rsidRPr="009A6978">
        <w:t xml:space="preserve"> </w:t>
      </w:r>
      <w:r w:rsidR="00FF1FBF" w:rsidRPr="009A6978">
        <w:t xml:space="preserve">continue to </w:t>
      </w:r>
      <w:r w:rsidR="00E533C4" w:rsidRPr="009A6978">
        <w:t xml:space="preserve">direct </w:t>
      </w:r>
      <w:r w:rsidR="00E64AB4" w:rsidRPr="009A6978">
        <w:t>all</w:t>
      </w:r>
      <w:r w:rsidR="00E533C4" w:rsidRPr="009A6978">
        <w:t xml:space="preserve"> payment</w:t>
      </w:r>
      <w:r w:rsidR="00980048" w:rsidRPr="009A6978">
        <w:t xml:space="preserve"> </w:t>
      </w:r>
      <w:r w:rsidR="00E533C4" w:rsidRPr="009A6978">
        <w:t>related queries to</w:t>
      </w:r>
      <w:r w:rsidR="002C49C3" w:rsidRPr="009A6978">
        <w:t xml:space="preserve"> the</w:t>
      </w:r>
      <w:r w:rsidR="00E533C4" w:rsidRPr="009A6978">
        <w:t xml:space="preserve"> </w:t>
      </w:r>
      <w:r w:rsidRPr="009A6978">
        <w:t xml:space="preserve">Passenger Transport </w:t>
      </w:r>
      <w:r w:rsidR="00E533C4" w:rsidRPr="009A6978">
        <w:t>Contracts</w:t>
      </w:r>
      <w:r w:rsidR="009A039B" w:rsidRPr="009A6978">
        <w:t xml:space="preserve"> team via email </w:t>
      </w:r>
      <w:hyperlink r:id="rId13" w:history="1">
        <w:r w:rsidR="009A039B" w:rsidRPr="009A6978">
          <w:t>ptscontracts@stategrowth.tas.gov.au</w:t>
        </w:r>
      </w:hyperlink>
      <w:r w:rsidR="009A039B" w:rsidRPr="009A6978">
        <w:t xml:space="preserve"> or phone </w:t>
      </w:r>
      <w:r w:rsidRPr="009A6978">
        <w:t>(03) 6166 3343</w:t>
      </w:r>
      <w:r w:rsidR="009A039B" w:rsidRPr="009A6978">
        <w:t>.</w:t>
      </w:r>
    </w:p>
    <w:p w14:paraId="759FD650" w14:textId="5B83C296" w:rsidR="00E743D4" w:rsidRDefault="00E743D4" w:rsidP="00F87816">
      <w:pPr>
        <w:pStyle w:val="Heading1"/>
      </w:pPr>
      <w:r>
        <w:t xml:space="preserve">Bus cost model index (BCMI) </w:t>
      </w:r>
    </w:p>
    <w:p w14:paraId="0FEDC1A3" w14:textId="1993F617" w:rsidR="001D0ABD" w:rsidRPr="00D95DEB" w:rsidRDefault="00E743D4" w:rsidP="00F87816">
      <w:r>
        <w:t xml:space="preserve">The BCMI has been calculated for </w:t>
      </w:r>
      <w:r w:rsidR="00EC6E02">
        <w:t>April</w:t>
      </w:r>
      <w:r w:rsidR="00EC6E02" w:rsidRPr="00D95DEB">
        <w:t xml:space="preserve"> </w:t>
      </w:r>
      <w:r w:rsidRPr="00D95DEB">
        <w:t>201</w:t>
      </w:r>
      <w:r w:rsidR="00EF1D22">
        <w:t>9</w:t>
      </w:r>
      <w:r w:rsidRPr="00D95DEB">
        <w:t xml:space="preserve"> </w:t>
      </w:r>
      <w:r>
        <w:t>and is</w:t>
      </w:r>
      <w:r w:rsidR="00523AFF">
        <w:t xml:space="preserve"> 127.5</w:t>
      </w:r>
      <w:r w:rsidR="00333F8F">
        <w:t>.</w:t>
      </w:r>
      <w:r w:rsidR="00E533C4">
        <w:tab/>
      </w:r>
    </w:p>
    <w:p w14:paraId="2F2A4662" w14:textId="77777777" w:rsidR="00E743D4" w:rsidRPr="00954FE5" w:rsidRDefault="00E743D4" w:rsidP="00F87816">
      <w:pPr>
        <w:pStyle w:val="Heading1"/>
        <w:rPr>
          <w:highlight w:val="yellow"/>
        </w:rPr>
      </w:pPr>
      <w:r>
        <w:t>Capital rates</w:t>
      </w:r>
    </w:p>
    <w:p w14:paraId="65AA0F93" w14:textId="651C5317" w:rsidR="00AA0B87" w:rsidRDefault="00E743D4" w:rsidP="00F87816">
      <w:r w:rsidRPr="00555E87">
        <w:t xml:space="preserve">The Capital Payment rates have been calculated for the quarter </w:t>
      </w:r>
      <w:r w:rsidRPr="008F154C">
        <w:t xml:space="preserve">commencing </w:t>
      </w:r>
      <w:r w:rsidR="00523AFF">
        <w:t>April</w:t>
      </w:r>
      <w:r w:rsidRPr="00D95DEB">
        <w:t xml:space="preserve"> 201</w:t>
      </w:r>
      <w:r w:rsidR="00EF1D22">
        <w:t>9</w:t>
      </w:r>
      <w:r w:rsidRPr="00D95DEB">
        <w:t>.</w:t>
      </w:r>
      <w:r w:rsidR="00523AFF">
        <w:t xml:space="preserve"> There have been no changes from the previous quarter. </w:t>
      </w:r>
      <w:r w:rsidRPr="008F154C">
        <w:t xml:space="preserve">Please consider </w:t>
      </w:r>
      <w:r w:rsidRPr="00555E87">
        <w:t xml:space="preserve">these rates before </w:t>
      </w:r>
      <w:r>
        <w:t xml:space="preserve">requesting bus </w:t>
      </w:r>
      <w:r w:rsidRPr="00555E87">
        <w:t xml:space="preserve">changes </w:t>
      </w:r>
      <w:r>
        <w:t>on</w:t>
      </w:r>
      <w:r w:rsidRPr="00555E87">
        <w:t xml:space="preserve"> your contract.</w:t>
      </w:r>
      <w:r w:rsidR="00AE184A">
        <w:t xml:space="preserve"> </w:t>
      </w:r>
      <w:r w:rsidRPr="00555E87">
        <w:t>For all fare-paying operators, the rates applicable to your monthly contract payment can be found on your Statement of Payment.</w:t>
      </w:r>
    </w:p>
    <w:tbl>
      <w:tblPr>
        <w:tblStyle w:val="ListTable1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43"/>
        <w:gridCol w:w="1701"/>
        <w:gridCol w:w="1701"/>
      </w:tblGrid>
      <w:tr w:rsidR="00E533C4" w:rsidRPr="00066EDD" w14:paraId="5E208046" w14:textId="4F1FCB42" w:rsidTr="00F87816">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8247A02" w14:textId="77777777" w:rsidR="00E533C4" w:rsidRPr="00FD7296" w:rsidRDefault="00E533C4" w:rsidP="00AE184A">
            <w:pPr>
              <w:spacing w:after="0"/>
            </w:pPr>
            <w:r w:rsidRPr="00FD7296">
              <w:t>Contract Type</w:t>
            </w:r>
          </w:p>
        </w:tc>
        <w:tc>
          <w:tcPr>
            <w:tcW w:w="1843" w:type="dxa"/>
            <w:vAlign w:val="center"/>
          </w:tcPr>
          <w:p w14:paraId="7FA752A0" w14:textId="553E8EE0" w:rsidR="00E533C4" w:rsidRPr="00E533C4" w:rsidRDefault="00E533C4" w:rsidP="00AE184A">
            <w:pPr>
              <w:spacing w:after="0"/>
              <w:cnfStyle w:val="100000000000" w:firstRow="1" w:lastRow="0" w:firstColumn="0" w:lastColumn="0" w:oddVBand="0" w:evenVBand="0" w:oddHBand="0" w:evenHBand="0" w:firstRowFirstColumn="0" w:firstRowLastColumn="0" w:lastRowFirstColumn="0" w:lastRowLastColumn="0"/>
              <w:rPr>
                <w:color w:val="FF0000"/>
              </w:rPr>
            </w:pPr>
            <w:r w:rsidRPr="00E533C4">
              <w:t>October 2018</w:t>
            </w:r>
          </w:p>
        </w:tc>
        <w:tc>
          <w:tcPr>
            <w:tcW w:w="1701" w:type="dxa"/>
            <w:vAlign w:val="center"/>
          </w:tcPr>
          <w:p w14:paraId="7926BCA8" w14:textId="06077B1B" w:rsidR="00E533C4" w:rsidRPr="00EF1D22" w:rsidRDefault="00E533C4" w:rsidP="00AE184A">
            <w:pPr>
              <w:spacing w:after="0"/>
              <w:cnfStyle w:val="100000000000" w:firstRow="1" w:lastRow="0" w:firstColumn="0" w:lastColumn="0" w:oddVBand="0" w:evenVBand="0" w:oddHBand="0" w:evenHBand="0" w:firstRowFirstColumn="0" w:firstRowLastColumn="0" w:lastRowFirstColumn="0" w:lastRowLastColumn="0"/>
              <w:rPr>
                <w:color w:val="FF0000"/>
              </w:rPr>
            </w:pPr>
            <w:r w:rsidRPr="00B95097">
              <w:t>January 2019</w:t>
            </w:r>
          </w:p>
        </w:tc>
        <w:tc>
          <w:tcPr>
            <w:tcW w:w="1701" w:type="dxa"/>
            <w:vAlign w:val="center"/>
          </w:tcPr>
          <w:p w14:paraId="11C5746D" w14:textId="74BE1DF2" w:rsidR="00E533C4" w:rsidRPr="00B95097" w:rsidRDefault="00E533C4" w:rsidP="00AE184A">
            <w:pPr>
              <w:spacing w:after="0"/>
              <w:cnfStyle w:val="100000000000" w:firstRow="1" w:lastRow="0" w:firstColumn="0" w:lastColumn="0" w:oddVBand="0" w:evenVBand="0" w:oddHBand="0" w:evenHBand="0" w:firstRowFirstColumn="0" w:firstRowLastColumn="0" w:lastRowFirstColumn="0" w:lastRowLastColumn="0"/>
            </w:pPr>
            <w:r w:rsidRPr="00E533C4">
              <w:t>April 2019</w:t>
            </w:r>
          </w:p>
        </w:tc>
      </w:tr>
      <w:tr w:rsidR="00E533C4" w:rsidRPr="00066EDD" w14:paraId="6179D192" w14:textId="5F103E15" w:rsidTr="00F878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1FE5F864" w14:textId="77777777" w:rsidR="00E533C4" w:rsidRPr="00F87816" w:rsidRDefault="00E533C4" w:rsidP="00AE184A">
            <w:pPr>
              <w:spacing w:after="0"/>
              <w:rPr>
                <w:b w:val="0"/>
              </w:rPr>
            </w:pPr>
            <w:r w:rsidRPr="00F87816">
              <w:rPr>
                <w:b w:val="0"/>
              </w:rPr>
              <w:t>Urban Fringe Student Only</w:t>
            </w:r>
          </w:p>
        </w:tc>
        <w:tc>
          <w:tcPr>
            <w:tcW w:w="1843" w:type="dxa"/>
            <w:shd w:val="clear" w:color="auto" w:fill="BDD6EE" w:themeFill="accent1" w:themeFillTint="66"/>
            <w:vAlign w:val="center"/>
          </w:tcPr>
          <w:p w14:paraId="63A7A69B" w14:textId="5BFBFA3F" w:rsidR="00E533C4" w:rsidRPr="00EF1D22" w:rsidRDefault="00E533C4" w:rsidP="00AE184A">
            <w:pPr>
              <w:spacing w:after="0"/>
              <w:cnfStyle w:val="000000100000" w:firstRow="0" w:lastRow="0" w:firstColumn="0" w:lastColumn="0" w:oddVBand="0" w:evenVBand="0" w:oddHBand="1" w:evenHBand="0" w:firstRowFirstColumn="0" w:firstRowLastColumn="0" w:lastRowFirstColumn="0" w:lastRowLastColumn="0"/>
              <w:rPr>
                <w:color w:val="FF0000"/>
              </w:rPr>
            </w:pPr>
            <w:r w:rsidRPr="00E02D0D">
              <w:t>$1.01</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14:paraId="6C4656B8" w14:textId="187DBB8D" w:rsidR="00E533C4" w:rsidRPr="00B95097" w:rsidRDefault="00E533C4" w:rsidP="00AE184A">
            <w:pPr>
              <w:spacing w:after="0"/>
              <w:cnfStyle w:val="000000100000" w:firstRow="0" w:lastRow="0" w:firstColumn="0" w:lastColumn="0" w:oddVBand="0" w:evenVBand="0" w:oddHBand="1" w:evenHBand="0" w:firstRowFirstColumn="0" w:firstRowLastColumn="0" w:lastRowFirstColumn="0" w:lastRowLastColumn="0"/>
            </w:pPr>
            <w:r>
              <w:t>$1.18</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14:paraId="0D2A8638" w14:textId="23D92AE7" w:rsidR="00E533C4" w:rsidRDefault="00E533C4" w:rsidP="00AE184A">
            <w:pPr>
              <w:spacing w:after="0"/>
              <w:cnfStyle w:val="000000100000" w:firstRow="0" w:lastRow="0" w:firstColumn="0" w:lastColumn="0" w:oddVBand="0" w:evenVBand="0" w:oddHBand="1" w:evenHBand="0" w:firstRowFirstColumn="0" w:firstRowLastColumn="0" w:lastRowFirstColumn="0" w:lastRowLastColumn="0"/>
            </w:pPr>
            <w:r>
              <w:t>$1.18</w:t>
            </w:r>
          </w:p>
        </w:tc>
      </w:tr>
      <w:tr w:rsidR="00E533C4" w:rsidRPr="00066EDD" w14:paraId="3462517C" w14:textId="336BDCF9" w:rsidTr="00F87816">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969AA47" w14:textId="77777777" w:rsidR="00E533C4" w:rsidRPr="00F87816" w:rsidRDefault="00E533C4" w:rsidP="00AE184A">
            <w:pPr>
              <w:spacing w:after="0"/>
              <w:rPr>
                <w:b w:val="0"/>
                <w:i/>
              </w:rPr>
            </w:pPr>
            <w:r w:rsidRPr="00F87816">
              <w:rPr>
                <w:b w:val="0"/>
              </w:rPr>
              <w:t>Rural Fare Paying</w:t>
            </w:r>
          </w:p>
        </w:tc>
        <w:tc>
          <w:tcPr>
            <w:tcW w:w="1843" w:type="dxa"/>
            <w:vAlign w:val="center"/>
          </w:tcPr>
          <w:p w14:paraId="34B90AE9" w14:textId="6CBC18AD" w:rsidR="00E533C4" w:rsidRPr="00EF1D22" w:rsidRDefault="00E533C4" w:rsidP="00AE184A">
            <w:pPr>
              <w:spacing w:after="0"/>
              <w:cnfStyle w:val="000000000000" w:firstRow="0" w:lastRow="0" w:firstColumn="0" w:lastColumn="0" w:oddVBand="0" w:evenVBand="0" w:oddHBand="0" w:evenHBand="0" w:firstRowFirstColumn="0" w:firstRowLastColumn="0" w:lastRowFirstColumn="0" w:lastRowLastColumn="0"/>
              <w:rPr>
                <w:color w:val="FF0000"/>
              </w:rPr>
            </w:pPr>
            <w:r w:rsidRPr="00E02D0D">
              <w:t>$1.01</w:t>
            </w:r>
          </w:p>
        </w:tc>
        <w:tc>
          <w:tcPr>
            <w:tcW w:w="1701" w:type="dxa"/>
            <w:tcBorders>
              <w:left w:val="single" w:sz="4" w:space="0" w:color="auto"/>
              <w:right w:val="single" w:sz="4" w:space="0" w:color="auto"/>
            </w:tcBorders>
            <w:shd w:val="clear" w:color="auto" w:fill="auto"/>
          </w:tcPr>
          <w:p w14:paraId="3966B609" w14:textId="2A90DED3" w:rsidR="00E533C4" w:rsidRPr="00B95097" w:rsidRDefault="00E533C4" w:rsidP="00AE184A">
            <w:pPr>
              <w:spacing w:after="0"/>
              <w:cnfStyle w:val="000000000000" w:firstRow="0" w:lastRow="0" w:firstColumn="0" w:lastColumn="0" w:oddVBand="0" w:evenVBand="0" w:oddHBand="0" w:evenHBand="0" w:firstRowFirstColumn="0" w:firstRowLastColumn="0" w:lastRowFirstColumn="0" w:lastRowLastColumn="0"/>
            </w:pPr>
            <w:r>
              <w:t>$1.18</w:t>
            </w:r>
          </w:p>
        </w:tc>
        <w:tc>
          <w:tcPr>
            <w:tcW w:w="1701" w:type="dxa"/>
            <w:tcBorders>
              <w:left w:val="single" w:sz="4" w:space="0" w:color="auto"/>
              <w:right w:val="single" w:sz="4" w:space="0" w:color="auto"/>
            </w:tcBorders>
          </w:tcPr>
          <w:p w14:paraId="4C091300" w14:textId="5D4FAE97" w:rsidR="00E533C4" w:rsidRDefault="00E533C4" w:rsidP="00AE184A">
            <w:pPr>
              <w:spacing w:after="0"/>
              <w:cnfStyle w:val="000000000000" w:firstRow="0" w:lastRow="0" w:firstColumn="0" w:lastColumn="0" w:oddVBand="0" w:evenVBand="0" w:oddHBand="0" w:evenHBand="0" w:firstRowFirstColumn="0" w:firstRowLastColumn="0" w:lastRowFirstColumn="0" w:lastRowLastColumn="0"/>
            </w:pPr>
            <w:r>
              <w:t>$1.18</w:t>
            </w:r>
          </w:p>
        </w:tc>
      </w:tr>
      <w:tr w:rsidR="00E533C4" w:rsidRPr="00066EDD" w14:paraId="65DEFF66" w14:textId="132AB8FA" w:rsidTr="00F878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3ADCD033" w14:textId="77777777" w:rsidR="00E533C4" w:rsidRPr="00F87816" w:rsidRDefault="00E533C4" w:rsidP="00AE184A">
            <w:pPr>
              <w:spacing w:after="0"/>
              <w:rPr>
                <w:b w:val="0"/>
              </w:rPr>
            </w:pPr>
            <w:r w:rsidRPr="00F87816">
              <w:rPr>
                <w:b w:val="0"/>
              </w:rPr>
              <w:t>Long Distance Student Only</w:t>
            </w:r>
          </w:p>
        </w:tc>
        <w:tc>
          <w:tcPr>
            <w:tcW w:w="1843" w:type="dxa"/>
            <w:shd w:val="clear" w:color="auto" w:fill="BDD6EE" w:themeFill="accent1" w:themeFillTint="66"/>
            <w:vAlign w:val="center"/>
          </w:tcPr>
          <w:p w14:paraId="0A2855A1" w14:textId="070BA43B" w:rsidR="00E533C4" w:rsidRPr="00EF1D22" w:rsidRDefault="00E533C4" w:rsidP="00AE184A">
            <w:pPr>
              <w:spacing w:after="0"/>
              <w:cnfStyle w:val="000000100000" w:firstRow="0" w:lastRow="0" w:firstColumn="0" w:lastColumn="0" w:oddVBand="0" w:evenVBand="0" w:oddHBand="1" w:evenHBand="0" w:firstRowFirstColumn="0" w:firstRowLastColumn="0" w:lastRowFirstColumn="0" w:lastRowLastColumn="0"/>
              <w:rPr>
                <w:color w:val="FF0000"/>
              </w:rPr>
            </w:pPr>
            <w:r w:rsidRPr="00E02D0D">
              <w:t>$1.01</w:t>
            </w:r>
          </w:p>
        </w:tc>
        <w:tc>
          <w:tcPr>
            <w:tcW w:w="1701" w:type="dxa"/>
            <w:tcBorders>
              <w:left w:val="single" w:sz="4" w:space="0" w:color="auto"/>
              <w:right w:val="single" w:sz="4" w:space="0" w:color="auto"/>
            </w:tcBorders>
            <w:shd w:val="clear" w:color="auto" w:fill="BDD6EE" w:themeFill="accent1" w:themeFillTint="66"/>
          </w:tcPr>
          <w:p w14:paraId="66084229" w14:textId="12C10CE3" w:rsidR="00E533C4" w:rsidRPr="00B95097" w:rsidRDefault="00E533C4" w:rsidP="00AE184A">
            <w:pPr>
              <w:spacing w:after="0"/>
              <w:cnfStyle w:val="000000100000" w:firstRow="0" w:lastRow="0" w:firstColumn="0" w:lastColumn="0" w:oddVBand="0" w:evenVBand="0" w:oddHBand="1" w:evenHBand="0" w:firstRowFirstColumn="0" w:firstRowLastColumn="0" w:lastRowFirstColumn="0" w:lastRowLastColumn="0"/>
            </w:pPr>
            <w:r>
              <w:t>$1.18</w:t>
            </w:r>
          </w:p>
        </w:tc>
        <w:tc>
          <w:tcPr>
            <w:tcW w:w="1701" w:type="dxa"/>
            <w:tcBorders>
              <w:left w:val="single" w:sz="4" w:space="0" w:color="auto"/>
              <w:right w:val="single" w:sz="4" w:space="0" w:color="auto"/>
            </w:tcBorders>
            <w:shd w:val="clear" w:color="auto" w:fill="BDD6EE" w:themeFill="accent1" w:themeFillTint="66"/>
          </w:tcPr>
          <w:p w14:paraId="6906F75B" w14:textId="54E9CC6B" w:rsidR="00E533C4" w:rsidRDefault="00E533C4" w:rsidP="00AE184A">
            <w:pPr>
              <w:spacing w:after="0"/>
              <w:cnfStyle w:val="000000100000" w:firstRow="0" w:lastRow="0" w:firstColumn="0" w:lastColumn="0" w:oddVBand="0" w:evenVBand="0" w:oddHBand="1" w:evenHBand="0" w:firstRowFirstColumn="0" w:firstRowLastColumn="0" w:lastRowFirstColumn="0" w:lastRowLastColumn="0"/>
            </w:pPr>
            <w:r>
              <w:t>$1.18</w:t>
            </w:r>
          </w:p>
        </w:tc>
      </w:tr>
      <w:tr w:rsidR="00E533C4" w:rsidRPr="00066EDD" w14:paraId="64DBE405" w14:textId="4B4C422A" w:rsidTr="00F87816">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6F8EA76" w14:textId="77777777" w:rsidR="00E533C4" w:rsidRPr="00F87816" w:rsidRDefault="00E533C4" w:rsidP="00AE184A">
            <w:pPr>
              <w:spacing w:after="0"/>
              <w:rPr>
                <w:b w:val="0"/>
              </w:rPr>
            </w:pPr>
            <w:r w:rsidRPr="00F87816">
              <w:rPr>
                <w:b w:val="0"/>
              </w:rPr>
              <w:t>Long Distance General Access</w:t>
            </w:r>
          </w:p>
        </w:tc>
        <w:tc>
          <w:tcPr>
            <w:tcW w:w="1843" w:type="dxa"/>
            <w:vAlign w:val="center"/>
          </w:tcPr>
          <w:p w14:paraId="18D1EA9B" w14:textId="64A816D1" w:rsidR="00E533C4" w:rsidRPr="00EF1D22" w:rsidRDefault="00E533C4" w:rsidP="00AE184A">
            <w:pPr>
              <w:spacing w:after="0"/>
              <w:cnfStyle w:val="000000000000" w:firstRow="0" w:lastRow="0" w:firstColumn="0" w:lastColumn="0" w:oddVBand="0" w:evenVBand="0" w:oddHBand="0" w:evenHBand="0" w:firstRowFirstColumn="0" w:firstRowLastColumn="0" w:lastRowFirstColumn="0" w:lastRowLastColumn="0"/>
              <w:rPr>
                <w:color w:val="FF0000"/>
              </w:rPr>
            </w:pPr>
            <w:r w:rsidRPr="00E02D0D">
              <w:t>$2.91</w:t>
            </w:r>
          </w:p>
        </w:tc>
        <w:tc>
          <w:tcPr>
            <w:tcW w:w="1701" w:type="dxa"/>
            <w:tcBorders>
              <w:left w:val="single" w:sz="4" w:space="0" w:color="auto"/>
              <w:right w:val="single" w:sz="4" w:space="0" w:color="auto"/>
            </w:tcBorders>
            <w:shd w:val="clear" w:color="auto" w:fill="auto"/>
          </w:tcPr>
          <w:p w14:paraId="7E56D951" w14:textId="131817D7" w:rsidR="00E533C4" w:rsidRPr="00B95097" w:rsidRDefault="00E533C4" w:rsidP="00AE184A">
            <w:pPr>
              <w:spacing w:after="0"/>
              <w:cnfStyle w:val="000000000000" w:firstRow="0" w:lastRow="0" w:firstColumn="0" w:lastColumn="0" w:oddVBand="0" w:evenVBand="0" w:oddHBand="0" w:evenHBand="0" w:firstRowFirstColumn="0" w:firstRowLastColumn="0" w:lastRowFirstColumn="0" w:lastRowLastColumn="0"/>
            </w:pPr>
            <w:r>
              <w:t>$3.03</w:t>
            </w:r>
          </w:p>
        </w:tc>
        <w:tc>
          <w:tcPr>
            <w:tcW w:w="1701" w:type="dxa"/>
            <w:tcBorders>
              <w:left w:val="single" w:sz="4" w:space="0" w:color="auto"/>
              <w:right w:val="single" w:sz="4" w:space="0" w:color="auto"/>
            </w:tcBorders>
          </w:tcPr>
          <w:p w14:paraId="47931282" w14:textId="2853FE7D" w:rsidR="00E533C4" w:rsidRDefault="00E533C4" w:rsidP="00AE184A">
            <w:pPr>
              <w:spacing w:after="0"/>
              <w:cnfStyle w:val="000000000000" w:firstRow="0" w:lastRow="0" w:firstColumn="0" w:lastColumn="0" w:oddVBand="0" w:evenVBand="0" w:oddHBand="0" w:evenHBand="0" w:firstRowFirstColumn="0" w:firstRowLastColumn="0" w:lastRowFirstColumn="0" w:lastRowLastColumn="0"/>
            </w:pPr>
            <w:r>
              <w:t>$3.03</w:t>
            </w:r>
          </w:p>
        </w:tc>
      </w:tr>
      <w:tr w:rsidR="00E533C4" w:rsidRPr="00066EDD" w14:paraId="56CBB6AA" w14:textId="7039E97A" w:rsidTr="00F878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62C78DB9" w14:textId="77777777" w:rsidR="00E533C4" w:rsidRPr="00F87816" w:rsidRDefault="00E533C4" w:rsidP="00AE184A">
            <w:pPr>
              <w:spacing w:after="0"/>
              <w:rPr>
                <w:b w:val="0"/>
              </w:rPr>
            </w:pPr>
            <w:r w:rsidRPr="00F87816">
              <w:rPr>
                <w:b w:val="0"/>
              </w:rPr>
              <w:t>Urban Fringe General Access</w:t>
            </w:r>
          </w:p>
        </w:tc>
        <w:tc>
          <w:tcPr>
            <w:tcW w:w="1843" w:type="dxa"/>
            <w:shd w:val="clear" w:color="auto" w:fill="BDD6EE" w:themeFill="accent1" w:themeFillTint="66"/>
            <w:vAlign w:val="center"/>
          </w:tcPr>
          <w:p w14:paraId="5A8E1175" w14:textId="1F803049" w:rsidR="00E533C4" w:rsidRPr="00EF1D22" w:rsidRDefault="00E533C4" w:rsidP="00AE184A">
            <w:pPr>
              <w:spacing w:after="0"/>
              <w:cnfStyle w:val="000000100000" w:firstRow="0" w:lastRow="0" w:firstColumn="0" w:lastColumn="0" w:oddVBand="0" w:evenVBand="0" w:oddHBand="1" w:evenHBand="0" w:firstRowFirstColumn="0" w:firstRowLastColumn="0" w:lastRowFirstColumn="0" w:lastRowLastColumn="0"/>
              <w:rPr>
                <w:color w:val="FF0000"/>
              </w:rPr>
            </w:pPr>
            <w:r w:rsidRPr="00E02D0D">
              <w:t>$2.91</w:t>
            </w:r>
          </w:p>
        </w:tc>
        <w:tc>
          <w:tcPr>
            <w:tcW w:w="1701" w:type="dxa"/>
            <w:tcBorders>
              <w:left w:val="single" w:sz="4" w:space="0" w:color="auto"/>
              <w:right w:val="single" w:sz="4" w:space="0" w:color="auto"/>
            </w:tcBorders>
            <w:shd w:val="clear" w:color="auto" w:fill="BDD6EE" w:themeFill="accent1" w:themeFillTint="66"/>
          </w:tcPr>
          <w:p w14:paraId="166FB6FD" w14:textId="1E574F80" w:rsidR="00E533C4" w:rsidRPr="00B95097" w:rsidRDefault="00E533C4" w:rsidP="00AE184A">
            <w:pPr>
              <w:spacing w:after="0"/>
              <w:cnfStyle w:val="000000100000" w:firstRow="0" w:lastRow="0" w:firstColumn="0" w:lastColumn="0" w:oddVBand="0" w:evenVBand="0" w:oddHBand="1" w:evenHBand="0" w:firstRowFirstColumn="0" w:firstRowLastColumn="0" w:lastRowFirstColumn="0" w:lastRowLastColumn="0"/>
            </w:pPr>
            <w:r>
              <w:t>$3.03</w:t>
            </w:r>
          </w:p>
        </w:tc>
        <w:tc>
          <w:tcPr>
            <w:tcW w:w="1701" w:type="dxa"/>
            <w:tcBorders>
              <w:left w:val="single" w:sz="4" w:space="0" w:color="auto"/>
              <w:right w:val="single" w:sz="4" w:space="0" w:color="auto"/>
            </w:tcBorders>
            <w:shd w:val="clear" w:color="auto" w:fill="BDD6EE" w:themeFill="accent1" w:themeFillTint="66"/>
          </w:tcPr>
          <w:p w14:paraId="78BEEEDE" w14:textId="3956BE2E" w:rsidR="00E533C4" w:rsidRDefault="00E533C4" w:rsidP="00AE184A">
            <w:pPr>
              <w:spacing w:after="0"/>
              <w:cnfStyle w:val="000000100000" w:firstRow="0" w:lastRow="0" w:firstColumn="0" w:lastColumn="0" w:oddVBand="0" w:evenVBand="0" w:oddHBand="1" w:evenHBand="0" w:firstRowFirstColumn="0" w:firstRowLastColumn="0" w:lastRowFirstColumn="0" w:lastRowLastColumn="0"/>
            </w:pPr>
            <w:r>
              <w:t>$3.03</w:t>
            </w:r>
          </w:p>
        </w:tc>
      </w:tr>
      <w:tr w:rsidR="00E533C4" w:rsidRPr="00066EDD" w14:paraId="39581F5A" w14:textId="4FDEBD19" w:rsidTr="00F87816">
        <w:trPr>
          <w:trHeight w:val="300"/>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02B7EC8" w14:textId="77777777" w:rsidR="00E533C4" w:rsidRPr="00F87816" w:rsidRDefault="00E533C4" w:rsidP="00AE184A">
            <w:pPr>
              <w:spacing w:after="0"/>
              <w:rPr>
                <w:b w:val="0"/>
              </w:rPr>
            </w:pPr>
            <w:r w:rsidRPr="00F87816">
              <w:rPr>
                <w:b w:val="0"/>
              </w:rPr>
              <w:t>Urban</w:t>
            </w:r>
          </w:p>
        </w:tc>
        <w:tc>
          <w:tcPr>
            <w:tcW w:w="1843" w:type="dxa"/>
            <w:vAlign w:val="center"/>
          </w:tcPr>
          <w:p w14:paraId="21DF1F1E" w14:textId="13C92AA0" w:rsidR="00E533C4" w:rsidRPr="00EF1D22" w:rsidRDefault="00E533C4" w:rsidP="00AE184A">
            <w:pPr>
              <w:spacing w:after="0"/>
              <w:cnfStyle w:val="000000000000" w:firstRow="0" w:lastRow="0" w:firstColumn="0" w:lastColumn="0" w:oddVBand="0" w:evenVBand="0" w:oddHBand="0" w:evenHBand="0" w:firstRowFirstColumn="0" w:firstRowLastColumn="0" w:lastRowFirstColumn="0" w:lastRowLastColumn="0"/>
              <w:rPr>
                <w:color w:val="FF0000"/>
              </w:rPr>
            </w:pPr>
            <w:r w:rsidRPr="00E02D0D">
              <w:t>$0.86</w:t>
            </w:r>
          </w:p>
        </w:tc>
        <w:tc>
          <w:tcPr>
            <w:tcW w:w="1701" w:type="dxa"/>
            <w:tcBorders>
              <w:left w:val="single" w:sz="4" w:space="0" w:color="auto"/>
              <w:right w:val="single" w:sz="4" w:space="0" w:color="auto"/>
            </w:tcBorders>
            <w:shd w:val="clear" w:color="auto" w:fill="auto"/>
          </w:tcPr>
          <w:p w14:paraId="795E7FC2" w14:textId="1691A46A" w:rsidR="00E533C4" w:rsidRPr="00B95097" w:rsidRDefault="00E533C4" w:rsidP="00AE184A">
            <w:pPr>
              <w:spacing w:after="0"/>
              <w:cnfStyle w:val="000000000000" w:firstRow="0" w:lastRow="0" w:firstColumn="0" w:lastColumn="0" w:oddVBand="0" w:evenVBand="0" w:oddHBand="0" w:evenHBand="0" w:firstRowFirstColumn="0" w:firstRowLastColumn="0" w:lastRowFirstColumn="0" w:lastRowLastColumn="0"/>
            </w:pPr>
            <w:r>
              <w:t>$0.92</w:t>
            </w:r>
          </w:p>
        </w:tc>
        <w:tc>
          <w:tcPr>
            <w:tcW w:w="1701" w:type="dxa"/>
            <w:tcBorders>
              <w:left w:val="single" w:sz="4" w:space="0" w:color="auto"/>
              <w:right w:val="single" w:sz="4" w:space="0" w:color="auto"/>
            </w:tcBorders>
          </w:tcPr>
          <w:p w14:paraId="2F094B10" w14:textId="4FCAAA1A" w:rsidR="00E533C4" w:rsidRDefault="00E533C4" w:rsidP="00AE184A">
            <w:pPr>
              <w:spacing w:after="0"/>
              <w:cnfStyle w:val="000000000000" w:firstRow="0" w:lastRow="0" w:firstColumn="0" w:lastColumn="0" w:oddVBand="0" w:evenVBand="0" w:oddHBand="0" w:evenHBand="0" w:firstRowFirstColumn="0" w:firstRowLastColumn="0" w:lastRowFirstColumn="0" w:lastRowLastColumn="0"/>
            </w:pPr>
            <w:r>
              <w:t>$0.92</w:t>
            </w:r>
          </w:p>
        </w:tc>
      </w:tr>
      <w:tr w:rsidR="00E533C4" w:rsidRPr="00066EDD" w14:paraId="17C2BFFF" w14:textId="12917CA2" w:rsidTr="00F878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04B78C80" w14:textId="77777777" w:rsidR="00E533C4" w:rsidRPr="00F87816" w:rsidRDefault="00E533C4" w:rsidP="00AE184A">
            <w:pPr>
              <w:spacing w:after="0"/>
              <w:rPr>
                <w:b w:val="0"/>
              </w:rPr>
            </w:pPr>
            <w:r w:rsidRPr="00F87816">
              <w:rPr>
                <w:b w:val="0"/>
              </w:rPr>
              <w:t>Town</w:t>
            </w:r>
          </w:p>
        </w:tc>
        <w:tc>
          <w:tcPr>
            <w:tcW w:w="1843" w:type="dxa"/>
            <w:shd w:val="clear" w:color="auto" w:fill="BDD6EE" w:themeFill="accent1" w:themeFillTint="66"/>
            <w:vAlign w:val="center"/>
          </w:tcPr>
          <w:p w14:paraId="74CF67E4" w14:textId="27750841" w:rsidR="00E533C4" w:rsidRPr="00EF1D22" w:rsidRDefault="00E533C4" w:rsidP="00AE184A">
            <w:pPr>
              <w:spacing w:after="0"/>
              <w:cnfStyle w:val="000000100000" w:firstRow="0" w:lastRow="0" w:firstColumn="0" w:lastColumn="0" w:oddVBand="0" w:evenVBand="0" w:oddHBand="1" w:evenHBand="0" w:firstRowFirstColumn="0" w:firstRowLastColumn="0" w:lastRowFirstColumn="0" w:lastRowLastColumn="0"/>
              <w:rPr>
                <w:color w:val="FF0000"/>
              </w:rPr>
            </w:pPr>
            <w:r w:rsidRPr="00E02D0D">
              <w:t>$0.86</w:t>
            </w:r>
          </w:p>
        </w:tc>
        <w:tc>
          <w:tcPr>
            <w:tcW w:w="1701" w:type="dxa"/>
            <w:tcBorders>
              <w:left w:val="single" w:sz="4" w:space="0" w:color="auto"/>
              <w:bottom w:val="single" w:sz="4" w:space="0" w:color="auto"/>
              <w:right w:val="single" w:sz="4" w:space="0" w:color="auto"/>
            </w:tcBorders>
            <w:shd w:val="clear" w:color="auto" w:fill="BDD6EE" w:themeFill="accent1" w:themeFillTint="66"/>
          </w:tcPr>
          <w:p w14:paraId="5CB14577" w14:textId="5C548F72" w:rsidR="00E533C4" w:rsidRPr="00B95097" w:rsidRDefault="00E533C4" w:rsidP="00AE184A">
            <w:pPr>
              <w:spacing w:after="0"/>
              <w:cnfStyle w:val="000000100000" w:firstRow="0" w:lastRow="0" w:firstColumn="0" w:lastColumn="0" w:oddVBand="0" w:evenVBand="0" w:oddHBand="1" w:evenHBand="0" w:firstRowFirstColumn="0" w:firstRowLastColumn="0" w:lastRowFirstColumn="0" w:lastRowLastColumn="0"/>
            </w:pPr>
            <w:r>
              <w:t>$0.92</w:t>
            </w:r>
          </w:p>
        </w:tc>
        <w:tc>
          <w:tcPr>
            <w:tcW w:w="1701" w:type="dxa"/>
            <w:tcBorders>
              <w:left w:val="single" w:sz="4" w:space="0" w:color="auto"/>
              <w:bottom w:val="single" w:sz="4" w:space="0" w:color="auto"/>
              <w:right w:val="single" w:sz="4" w:space="0" w:color="auto"/>
            </w:tcBorders>
            <w:shd w:val="clear" w:color="auto" w:fill="BDD6EE" w:themeFill="accent1" w:themeFillTint="66"/>
          </w:tcPr>
          <w:p w14:paraId="726701D4" w14:textId="2CEC748C" w:rsidR="00E533C4" w:rsidRDefault="00E533C4" w:rsidP="00AE184A">
            <w:pPr>
              <w:spacing w:after="0"/>
              <w:cnfStyle w:val="000000100000" w:firstRow="0" w:lastRow="0" w:firstColumn="0" w:lastColumn="0" w:oddVBand="0" w:evenVBand="0" w:oddHBand="1" w:evenHBand="0" w:firstRowFirstColumn="0" w:firstRowLastColumn="0" w:lastRowFirstColumn="0" w:lastRowLastColumn="0"/>
            </w:pPr>
            <w:r>
              <w:t>$0.92</w:t>
            </w:r>
          </w:p>
        </w:tc>
      </w:tr>
    </w:tbl>
    <w:p w14:paraId="7EB23B1D" w14:textId="77777777" w:rsidR="00E743D4" w:rsidRPr="00066EDD" w:rsidRDefault="00E743D4" w:rsidP="00F87816"/>
    <w:p w14:paraId="141AB152" w14:textId="77777777" w:rsidR="00E743D4" w:rsidRPr="00954FE5" w:rsidRDefault="00E743D4" w:rsidP="00F87816">
      <w:pPr>
        <w:pStyle w:val="Heading1"/>
      </w:pPr>
      <w:r>
        <w:t xml:space="preserve">Contacting </w:t>
      </w:r>
      <w:r w:rsidR="000B5EEC">
        <w:t>Passenger Transport</w:t>
      </w:r>
    </w:p>
    <w:p w14:paraId="34668F5E" w14:textId="485E2BF4" w:rsidR="00E743D4" w:rsidRPr="00D526FF" w:rsidRDefault="00E743D4" w:rsidP="00F87816">
      <w:r>
        <w:t>For all enquiries or notifications relating to your current contract</w:t>
      </w:r>
      <w:r w:rsidR="00AE184A">
        <w:t>s</w:t>
      </w:r>
      <w:r>
        <w:t xml:space="preserve"> (i.e. a service you currently provide) contact Passenger Transport via email </w:t>
      </w:r>
      <w:hyperlink r:id="rId14" w:history="1">
        <w:r w:rsidRPr="00F42CDF">
          <w:rPr>
            <w:rStyle w:val="Hyperlink"/>
          </w:rPr>
          <w:t>ptscontracts@stategrowth.tas.gov.au</w:t>
        </w:r>
      </w:hyperlink>
      <w:r>
        <w:t xml:space="preserve"> or phone </w:t>
      </w:r>
      <w:r w:rsidR="00EF1D22">
        <w:t xml:space="preserve">03 </w:t>
      </w:r>
      <w:r>
        <w:t>6166 3343</w:t>
      </w:r>
      <w:r w:rsidRPr="00C14152">
        <w:t>.</w:t>
      </w:r>
    </w:p>
    <w:sectPr w:rsidR="00E743D4" w:rsidRPr="00D526FF" w:rsidSect="000E2172">
      <w:footerReference w:type="default" r:id="rId15"/>
      <w:footerReference w:type="first" r:id="rId16"/>
      <w:pgSz w:w="11906" w:h="16838"/>
      <w:pgMar w:top="851" w:right="425" w:bottom="212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3474F" w14:textId="77777777" w:rsidR="00396CCB" w:rsidRDefault="00396CCB" w:rsidP="00F87816">
      <w:r>
        <w:separator/>
      </w:r>
    </w:p>
  </w:endnote>
  <w:endnote w:type="continuationSeparator" w:id="0">
    <w:p w14:paraId="33961C31" w14:textId="77777777" w:rsidR="00396CCB" w:rsidRDefault="00396CCB" w:rsidP="00F8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394848"/>
      <w:docPartObj>
        <w:docPartGallery w:val="Page Numbers (Bottom of Page)"/>
        <w:docPartUnique/>
      </w:docPartObj>
    </w:sdtPr>
    <w:sdtEndPr/>
    <w:sdtContent>
      <w:sdt>
        <w:sdtPr>
          <w:id w:val="-1430108620"/>
          <w:docPartObj>
            <w:docPartGallery w:val="Page Numbers (Top of Page)"/>
            <w:docPartUnique/>
          </w:docPartObj>
        </w:sdtPr>
        <w:sdtEndPr/>
        <w:sdtContent>
          <w:p w14:paraId="79266F80" w14:textId="77777777" w:rsidR="00AC1379" w:rsidRDefault="00AC1379" w:rsidP="00F87816">
            <w:pPr>
              <w:pStyle w:val="Footer"/>
            </w:pPr>
            <w:r>
              <w:t xml:space="preserve">Page </w:t>
            </w:r>
            <w:r>
              <w:rPr>
                <w:sz w:val="24"/>
                <w:szCs w:val="24"/>
              </w:rPr>
              <w:fldChar w:fldCharType="begin"/>
            </w:r>
            <w:r>
              <w:instrText xml:space="preserve"> PAGE </w:instrText>
            </w:r>
            <w:r>
              <w:rPr>
                <w:sz w:val="24"/>
                <w:szCs w:val="24"/>
              </w:rPr>
              <w:fldChar w:fldCharType="separate"/>
            </w:r>
            <w:r w:rsidR="002000A6">
              <w:rPr>
                <w:noProof/>
              </w:rPr>
              <w:t>4</w:t>
            </w:r>
            <w:r>
              <w:rPr>
                <w:sz w:val="24"/>
                <w:szCs w:val="24"/>
              </w:rPr>
              <w:fldChar w:fldCharType="end"/>
            </w:r>
            <w:r>
              <w:t xml:space="preserve"> of </w:t>
            </w:r>
            <w:r w:rsidR="00571E9E">
              <w:rPr>
                <w:noProof/>
              </w:rPr>
              <w:fldChar w:fldCharType="begin"/>
            </w:r>
            <w:r w:rsidR="00571E9E">
              <w:rPr>
                <w:noProof/>
              </w:rPr>
              <w:instrText xml:space="preserve"> NUMPAGES  </w:instrText>
            </w:r>
            <w:r w:rsidR="00571E9E">
              <w:rPr>
                <w:noProof/>
              </w:rPr>
              <w:fldChar w:fldCharType="separate"/>
            </w:r>
            <w:r w:rsidR="002000A6">
              <w:rPr>
                <w:noProof/>
              </w:rPr>
              <w:t>4</w:t>
            </w:r>
            <w:r w:rsidR="00571E9E">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93080"/>
      <w:docPartObj>
        <w:docPartGallery w:val="Page Numbers (Bottom of Page)"/>
        <w:docPartUnique/>
      </w:docPartObj>
    </w:sdtPr>
    <w:sdtEndPr/>
    <w:sdtContent>
      <w:sdt>
        <w:sdtPr>
          <w:id w:val="1446035897"/>
          <w:docPartObj>
            <w:docPartGallery w:val="Page Numbers (Top of Page)"/>
            <w:docPartUnique/>
          </w:docPartObj>
        </w:sdtPr>
        <w:sdtEndPr/>
        <w:sdtContent>
          <w:p w14:paraId="0A2EE659" w14:textId="77777777" w:rsidR="00AC1379" w:rsidRDefault="00AC1379" w:rsidP="00F87816">
            <w:pPr>
              <w:pStyle w:val="Footer"/>
            </w:pPr>
            <w:r>
              <w:t xml:space="preserve">Page </w:t>
            </w:r>
            <w:r>
              <w:rPr>
                <w:sz w:val="24"/>
                <w:szCs w:val="24"/>
              </w:rPr>
              <w:fldChar w:fldCharType="begin"/>
            </w:r>
            <w:r>
              <w:instrText xml:space="preserve"> PAGE </w:instrText>
            </w:r>
            <w:r>
              <w:rPr>
                <w:sz w:val="24"/>
                <w:szCs w:val="24"/>
              </w:rPr>
              <w:fldChar w:fldCharType="separate"/>
            </w:r>
            <w:r w:rsidR="002000A6">
              <w:rPr>
                <w:noProof/>
              </w:rPr>
              <w:t>1</w:t>
            </w:r>
            <w:r>
              <w:rPr>
                <w:sz w:val="24"/>
                <w:szCs w:val="24"/>
              </w:rPr>
              <w:fldChar w:fldCharType="end"/>
            </w:r>
            <w:r>
              <w:t xml:space="preserve"> of </w:t>
            </w:r>
            <w:r w:rsidR="00571E9E">
              <w:rPr>
                <w:noProof/>
              </w:rPr>
              <w:fldChar w:fldCharType="begin"/>
            </w:r>
            <w:r w:rsidR="00571E9E">
              <w:rPr>
                <w:noProof/>
              </w:rPr>
              <w:instrText xml:space="preserve"> NUMPAGES  </w:instrText>
            </w:r>
            <w:r w:rsidR="00571E9E">
              <w:rPr>
                <w:noProof/>
              </w:rPr>
              <w:fldChar w:fldCharType="separate"/>
            </w:r>
            <w:r w:rsidR="002000A6">
              <w:rPr>
                <w:noProof/>
              </w:rPr>
              <w:t>4</w:t>
            </w:r>
            <w:r w:rsidR="00571E9E">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B8F51" w14:textId="77777777" w:rsidR="00396CCB" w:rsidRDefault="00396CCB" w:rsidP="00F87816">
      <w:r>
        <w:separator/>
      </w:r>
    </w:p>
  </w:footnote>
  <w:footnote w:type="continuationSeparator" w:id="0">
    <w:p w14:paraId="6A595993" w14:textId="77777777" w:rsidR="00396CCB" w:rsidRDefault="00396CCB" w:rsidP="00F87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D80"/>
    <w:multiLevelType w:val="hybridMultilevel"/>
    <w:tmpl w:val="E73A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A559D"/>
    <w:multiLevelType w:val="hybridMultilevel"/>
    <w:tmpl w:val="5DA6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4199A"/>
    <w:multiLevelType w:val="hybridMultilevel"/>
    <w:tmpl w:val="D57A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84BA0"/>
    <w:multiLevelType w:val="hybridMultilevel"/>
    <w:tmpl w:val="1406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3A180E"/>
    <w:multiLevelType w:val="hybridMultilevel"/>
    <w:tmpl w:val="18C23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9777E"/>
    <w:multiLevelType w:val="hybridMultilevel"/>
    <w:tmpl w:val="EAC403EC"/>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CA01FA"/>
    <w:multiLevelType w:val="hybridMultilevel"/>
    <w:tmpl w:val="F8B0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84CD6"/>
    <w:multiLevelType w:val="hybridMultilevel"/>
    <w:tmpl w:val="C47686AA"/>
    <w:lvl w:ilvl="0" w:tplc="0C09000F">
      <w:start w:val="1"/>
      <w:numFmt w:val="decimal"/>
      <w:lvlText w:val="%1."/>
      <w:lvlJc w:val="left"/>
      <w:pPr>
        <w:ind w:left="2574" w:hanging="360"/>
      </w:p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0"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DB168A"/>
    <w:multiLevelType w:val="hybridMultilevel"/>
    <w:tmpl w:val="5BAC2996"/>
    <w:lvl w:ilvl="0" w:tplc="C082C3D2">
      <w:start w:val="1"/>
      <w:numFmt w:val="decimal"/>
      <w:lvlText w:val="%1."/>
      <w:lvlJc w:val="left"/>
      <w:pPr>
        <w:ind w:left="720" w:hanging="360"/>
      </w:pPr>
      <w:rPr>
        <w:rFonts w:ascii="Gill Sans MT" w:eastAsiaTheme="minorHAnsi" w:hAnsi="Gill Sans MT"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25680A"/>
    <w:multiLevelType w:val="hybridMultilevel"/>
    <w:tmpl w:val="9FF63C96"/>
    <w:lvl w:ilvl="0" w:tplc="A9E0911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9B7C26"/>
    <w:multiLevelType w:val="hybridMultilevel"/>
    <w:tmpl w:val="6C94E622"/>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4E75857"/>
    <w:multiLevelType w:val="hybridMultilevel"/>
    <w:tmpl w:val="A0C4F762"/>
    <w:lvl w:ilvl="0" w:tplc="0C090003">
      <w:start w:val="1"/>
      <w:numFmt w:val="bullet"/>
      <w:lvlText w:val="o"/>
      <w:lvlJc w:val="left"/>
      <w:pPr>
        <w:ind w:left="1571" w:hanging="360"/>
      </w:pPr>
      <w:rPr>
        <w:rFonts w:ascii="Courier New" w:hAnsi="Courier New" w:cs="Courier New"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55A441DE"/>
    <w:multiLevelType w:val="hybridMultilevel"/>
    <w:tmpl w:val="2F7E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57D91"/>
    <w:multiLevelType w:val="hybridMultilevel"/>
    <w:tmpl w:val="AF86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920E44"/>
    <w:multiLevelType w:val="hybridMultilevel"/>
    <w:tmpl w:val="02D057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10A075D"/>
    <w:multiLevelType w:val="hybridMultilevel"/>
    <w:tmpl w:val="5186F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C16AAB"/>
    <w:multiLevelType w:val="hybridMultilevel"/>
    <w:tmpl w:val="FC561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BD272E"/>
    <w:multiLevelType w:val="hybridMultilevel"/>
    <w:tmpl w:val="7D6E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785147"/>
    <w:multiLevelType w:val="hybridMultilevel"/>
    <w:tmpl w:val="AADA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E851B6"/>
    <w:multiLevelType w:val="hybridMultilevel"/>
    <w:tmpl w:val="0D5CCA5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3" w15:restartNumberingAfterBreak="0">
    <w:nsid w:val="72B00BF1"/>
    <w:multiLevelType w:val="hybridMultilevel"/>
    <w:tmpl w:val="93BC061A"/>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124242"/>
    <w:multiLevelType w:val="hybridMultilevel"/>
    <w:tmpl w:val="6450E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4"/>
  </w:num>
  <w:num w:numId="4">
    <w:abstractNumId w:val="7"/>
  </w:num>
  <w:num w:numId="5">
    <w:abstractNumId w:val="25"/>
  </w:num>
  <w:num w:numId="6">
    <w:abstractNumId w:val="3"/>
  </w:num>
  <w:num w:numId="7">
    <w:abstractNumId w:val="2"/>
  </w:num>
  <w:num w:numId="8">
    <w:abstractNumId w:val="11"/>
  </w:num>
  <w:num w:numId="9">
    <w:abstractNumId w:val="8"/>
  </w:num>
  <w:num w:numId="10">
    <w:abstractNumId w:val="13"/>
  </w:num>
  <w:num w:numId="11">
    <w:abstractNumId w:val="6"/>
  </w:num>
  <w:num w:numId="12">
    <w:abstractNumId w:val="0"/>
  </w:num>
  <w:num w:numId="13">
    <w:abstractNumId w:val="15"/>
  </w:num>
  <w:num w:numId="14">
    <w:abstractNumId w:val="16"/>
  </w:num>
  <w:num w:numId="15">
    <w:abstractNumId w:val="9"/>
  </w:num>
  <w:num w:numId="16">
    <w:abstractNumId w:val="1"/>
  </w:num>
  <w:num w:numId="17">
    <w:abstractNumId w:val="21"/>
  </w:num>
  <w:num w:numId="18">
    <w:abstractNumId w:val="20"/>
  </w:num>
  <w:num w:numId="19">
    <w:abstractNumId w:val="23"/>
  </w:num>
  <w:num w:numId="20">
    <w:abstractNumId w:val="14"/>
  </w:num>
  <w:num w:numId="21">
    <w:abstractNumId w:val="26"/>
  </w:num>
  <w:num w:numId="22">
    <w:abstractNumId w:val="22"/>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04FE3"/>
    <w:rsid w:val="00005969"/>
    <w:rsid w:val="000128DB"/>
    <w:rsid w:val="000131E2"/>
    <w:rsid w:val="0002624D"/>
    <w:rsid w:val="000318C8"/>
    <w:rsid w:val="000365B5"/>
    <w:rsid w:val="00037544"/>
    <w:rsid w:val="0004329D"/>
    <w:rsid w:val="00066EDD"/>
    <w:rsid w:val="00074464"/>
    <w:rsid w:val="0008189B"/>
    <w:rsid w:val="000828D2"/>
    <w:rsid w:val="00090A53"/>
    <w:rsid w:val="00093317"/>
    <w:rsid w:val="000A0AE8"/>
    <w:rsid w:val="000A1308"/>
    <w:rsid w:val="000A2398"/>
    <w:rsid w:val="000A6791"/>
    <w:rsid w:val="000B160F"/>
    <w:rsid w:val="000B3A90"/>
    <w:rsid w:val="000B5EEC"/>
    <w:rsid w:val="000E2172"/>
    <w:rsid w:val="000E33D6"/>
    <w:rsid w:val="000E3B66"/>
    <w:rsid w:val="000E5801"/>
    <w:rsid w:val="000E7F9B"/>
    <w:rsid w:val="000F0C36"/>
    <w:rsid w:val="000F316C"/>
    <w:rsid w:val="000F335B"/>
    <w:rsid w:val="000F4460"/>
    <w:rsid w:val="000F4FB0"/>
    <w:rsid w:val="000F57A6"/>
    <w:rsid w:val="0011197C"/>
    <w:rsid w:val="001159A6"/>
    <w:rsid w:val="001162EB"/>
    <w:rsid w:val="001168F7"/>
    <w:rsid w:val="001251C5"/>
    <w:rsid w:val="00133928"/>
    <w:rsid w:val="00136A8D"/>
    <w:rsid w:val="001445FB"/>
    <w:rsid w:val="00150FD2"/>
    <w:rsid w:val="00154407"/>
    <w:rsid w:val="00156EA1"/>
    <w:rsid w:val="00157D6B"/>
    <w:rsid w:val="001617AD"/>
    <w:rsid w:val="00165072"/>
    <w:rsid w:val="00183C17"/>
    <w:rsid w:val="00186C8F"/>
    <w:rsid w:val="00187DB3"/>
    <w:rsid w:val="001A4B73"/>
    <w:rsid w:val="001A738C"/>
    <w:rsid w:val="001B17D1"/>
    <w:rsid w:val="001B36A5"/>
    <w:rsid w:val="001B48CB"/>
    <w:rsid w:val="001D0ABD"/>
    <w:rsid w:val="001D1292"/>
    <w:rsid w:val="001D14CD"/>
    <w:rsid w:val="001E362C"/>
    <w:rsid w:val="001F0558"/>
    <w:rsid w:val="001F24D6"/>
    <w:rsid w:val="002000A6"/>
    <w:rsid w:val="002105D4"/>
    <w:rsid w:val="002169A9"/>
    <w:rsid w:val="00231083"/>
    <w:rsid w:val="0023174A"/>
    <w:rsid w:val="00232BA3"/>
    <w:rsid w:val="00233019"/>
    <w:rsid w:val="00256E8C"/>
    <w:rsid w:val="00263478"/>
    <w:rsid w:val="00263D22"/>
    <w:rsid w:val="00270277"/>
    <w:rsid w:val="00277513"/>
    <w:rsid w:val="00290610"/>
    <w:rsid w:val="002915A3"/>
    <w:rsid w:val="00293BC5"/>
    <w:rsid w:val="00296544"/>
    <w:rsid w:val="0029774B"/>
    <w:rsid w:val="002A0E91"/>
    <w:rsid w:val="002A567A"/>
    <w:rsid w:val="002B3DBF"/>
    <w:rsid w:val="002C3AC9"/>
    <w:rsid w:val="002C4546"/>
    <w:rsid w:val="002C46D0"/>
    <w:rsid w:val="002C4873"/>
    <w:rsid w:val="002C49C3"/>
    <w:rsid w:val="002C4A41"/>
    <w:rsid w:val="002D4575"/>
    <w:rsid w:val="002E1B52"/>
    <w:rsid w:val="002E2476"/>
    <w:rsid w:val="002E287A"/>
    <w:rsid w:val="002F0DC8"/>
    <w:rsid w:val="002F179C"/>
    <w:rsid w:val="002F507D"/>
    <w:rsid w:val="002F5F66"/>
    <w:rsid w:val="00301DF8"/>
    <w:rsid w:val="00315601"/>
    <w:rsid w:val="0032049D"/>
    <w:rsid w:val="00321B30"/>
    <w:rsid w:val="00322D7B"/>
    <w:rsid w:val="00325109"/>
    <w:rsid w:val="0032715C"/>
    <w:rsid w:val="00333F8F"/>
    <w:rsid w:val="0033791E"/>
    <w:rsid w:val="00337D83"/>
    <w:rsid w:val="00341DE6"/>
    <w:rsid w:val="003636B3"/>
    <w:rsid w:val="0036511A"/>
    <w:rsid w:val="00367819"/>
    <w:rsid w:val="00367D9A"/>
    <w:rsid w:val="00370BEF"/>
    <w:rsid w:val="003736A6"/>
    <w:rsid w:val="00374AC1"/>
    <w:rsid w:val="00381DA1"/>
    <w:rsid w:val="00383B1A"/>
    <w:rsid w:val="003840AB"/>
    <w:rsid w:val="00390F6C"/>
    <w:rsid w:val="0039223E"/>
    <w:rsid w:val="00396CCB"/>
    <w:rsid w:val="003B4010"/>
    <w:rsid w:val="003C078E"/>
    <w:rsid w:val="003C10AD"/>
    <w:rsid w:val="003C5EB5"/>
    <w:rsid w:val="003C6537"/>
    <w:rsid w:val="003D0977"/>
    <w:rsid w:val="003D2B46"/>
    <w:rsid w:val="003D3475"/>
    <w:rsid w:val="003D35A5"/>
    <w:rsid w:val="003E6949"/>
    <w:rsid w:val="003F1451"/>
    <w:rsid w:val="003F20A2"/>
    <w:rsid w:val="003F4DDD"/>
    <w:rsid w:val="003F78C4"/>
    <w:rsid w:val="004018FC"/>
    <w:rsid w:val="004032CC"/>
    <w:rsid w:val="00410BA0"/>
    <w:rsid w:val="0041189C"/>
    <w:rsid w:val="004342D5"/>
    <w:rsid w:val="00434A69"/>
    <w:rsid w:val="0043614D"/>
    <w:rsid w:val="004429DE"/>
    <w:rsid w:val="0044391A"/>
    <w:rsid w:val="00454196"/>
    <w:rsid w:val="00457F48"/>
    <w:rsid w:val="00474F8E"/>
    <w:rsid w:val="004754F9"/>
    <w:rsid w:val="004867D2"/>
    <w:rsid w:val="004936FC"/>
    <w:rsid w:val="0049569F"/>
    <w:rsid w:val="004957A3"/>
    <w:rsid w:val="00495950"/>
    <w:rsid w:val="00496492"/>
    <w:rsid w:val="00496B6C"/>
    <w:rsid w:val="004A75D2"/>
    <w:rsid w:val="004B3D3A"/>
    <w:rsid w:val="004B6C67"/>
    <w:rsid w:val="004B712A"/>
    <w:rsid w:val="004C1085"/>
    <w:rsid w:val="004C289C"/>
    <w:rsid w:val="004C2A0A"/>
    <w:rsid w:val="004C30D9"/>
    <w:rsid w:val="004D022D"/>
    <w:rsid w:val="004D4847"/>
    <w:rsid w:val="004D4BCB"/>
    <w:rsid w:val="004E167B"/>
    <w:rsid w:val="004E5F84"/>
    <w:rsid w:val="004E6647"/>
    <w:rsid w:val="004F3CE5"/>
    <w:rsid w:val="004F4451"/>
    <w:rsid w:val="004F55E1"/>
    <w:rsid w:val="004F6337"/>
    <w:rsid w:val="0051424A"/>
    <w:rsid w:val="005207CA"/>
    <w:rsid w:val="00520E66"/>
    <w:rsid w:val="00523AFF"/>
    <w:rsid w:val="00524001"/>
    <w:rsid w:val="005246BC"/>
    <w:rsid w:val="0052636F"/>
    <w:rsid w:val="005277E2"/>
    <w:rsid w:val="00534224"/>
    <w:rsid w:val="00541C80"/>
    <w:rsid w:val="00553C9A"/>
    <w:rsid w:val="00553CE1"/>
    <w:rsid w:val="00555E87"/>
    <w:rsid w:val="00556058"/>
    <w:rsid w:val="00571E9E"/>
    <w:rsid w:val="005726D0"/>
    <w:rsid w:val="005769C9"/>
    <w:rsid w:val="00583C1B"/>
    <w:rsid w:val="00583D4E"/>
    <w:rsid w:val="00585D44"/>
    <w:rsid w:val="00586F12"/>
    <w:rsid w:val="00587621"/>
    <w:rsid w:val="005A17A0"/>
    <w:rsid w:val="005A193A"/>
    <w:rsid w:val="005A4A7C"/>
    <w:rsid w:val="005A6F55"/>
    <w:rsid w:val="005A7688"/>
    <w:rsid w:val="005C18F3"/>
    <w:rsid w:val="005C5961"/>
    <w:rsid w:val="005C6047"/>
    <w:rsid w:val="005C644C"/>
    <w:rsid w:val="005D78C7"/>
    <w:rsid w:val="005E02FB"/>
    <w:rsid w:val="005E1BFF"/>
    <w:rsid w:val="005F7ED3"/>
    <w:rsid w:val="00603F2A"/>
    <w:rsid w:val="00612115"/>
    <w:rsid w:val="00613178"/>
    <w:rsid w:val="00613257"/>
    <w:rsid w:val="00613509"/>
    <w:rsid w:val="006306E3"/>
    <w:rsid w:val="00637C36"/>
    <w:rsid w:val="006530DF"/>
    <w:rsid w:val="00654ED9"/>
    <w:rsid w:val="006568D6"/>
    <w:rsid w:val="00656C58"/>
    <w:rsid w:val="00661B31"/>
    <w:rsid w:val="00662A6C"/>
    <w:rsid w:val="00676E42"/>
    <w:rsid w:val="006775D9"/>
    <w:rsid w:val="00680E6B"/>
    <w:rsid w:val="00681B46"/>
    <w:rsid w:val="0068384D"/>
    <w:rsid w:val="006968DC"/>
    <w:rsid w:val="006A62AD"/>
    <w:rsid w:val="006A739F"/>
    <w:rsid w:val="006B0B21"/>
    <w:rsid w:val="006B1E13"/>
    <w:rsid w:val="006B52C2"/>
    <w:rsid w:val="006C1E68"/>
    <w:rsid w:val="006C5A86"/>
    <w:rsid w:val="006D13F6"/>
    <w:rsid w:val="006D3E7E"/>
    <w:rsid w:val="006D448A"/>
    <w:rsid w:val="006D46A6"/>
    <w:rsid w:val="006E2B62"/>
    <w:rsid w:val="006E60FE"/>
    <w:rsid w:val="006E7989"/>
    <w:rsid w:val="006F0EF7"/>
    <w:rsid w:val="006F124A"/>
    <w:rsid w:val="006F524B"/>
    <w:rsid w:val="00712E77"/>
    <w:rsid w:val="00714FEA"/>
    <w:rsid w:val="0071620E"/>
    <w:rsid w:val="0072008E"/>
    <w:rsid w:val="00722A99"/>
    <w:rsid w:val="0072461A"/>
    <w:rsid w:val="0072481F"/>
    <w:rsid w:val="00732865"/>
    <w:rsid w:val="00745168"/>
    <w:rsid w:val="00746716"/>
    <w:rsid w:val="00753B8A"/>
    <w:rsid w:val="007543F1"/>
    <w:rsid w:val="007605CA"/>
    <w:rsid w:val="007624F4"/>
    <w:rsid w:val="00764248"/>
    <w:rsid w:val="00776DA9"/>
    <w:rsid w:val="00781905"/>
    <w:rsid w:val="00793716"/>
    <w:rsid w:val="007B02F1"/>
    <w:rsid w:val="007C0427"/>
    <w:rsid w:val="007C7A40"/>
    <w:rsid w:val="007D08DA"/>
    <w:rsid w:val="007D1D07"/>
    <w:rsid w:val="007D69E8"/>
    <w:rsid w:val="007D6B8C"/>
    <w:rsid w:val="007F0CA4"/>
    <w:rsid w:val="007F0FBD"/>
    <w:rsid w:val="007F49F4"/>
    <w:rsid w:val="007F4A12"/>
    <w:rsid w:val="007F7622"/>
    <w:rsid w:val="007F7C08"/>
    <w:rsid w:val="008058DD"/>
    <w:rsid w:val="00807FD9"/>
    <w:rsid w:val="00810753"/>
    <w:rsid w:val="008170C4"/>
    <w:rsid w:val="00822C95"/>
    <w:rsid w:val="0083367A"/>
    <w:rsid w:val="008467F1"/>
    <w:rsid w:val="008514CF"/>
    <w:rsid w:val="00857486"/>
    <w:rsid w:val="0086390F"/>
    <w:rsid w:val="00863B55"/>
    <w:rsid w:val="00864E0E"/>
    <w:rsid w:val="008714EE"/>
    <w:rsid w:val="00880474"/>
    <w:rsid w:val="008A63BE"/>
    <w:rsid w:val="008B5351"/>
    <w:rsid w:val="008B629B"/>
    <w:rsid w:val="008B688D"/>
    <w:rsid w:val="008C142C"/>
    <w:rsid w:val="008C1704"/>
    <w:rsid w:val="008C33D4"/>
    <w:rsid w:val="008C3B23"/>
    <w:rsid w:val="008C527F"/>
    <w:rsid w:val="008C536B"/>
    <w:rsid w:val="008C6D9C"/>
    <w:rsid w:val="008C7696"/>
    <w:rsid w:val="008E42C0"/>
    <w:rsid w:val="008E6D8D"/>
    <w:rsid w:val="008F0B3A"/>
    <w:rsid w:val="008F154C"/>
    <w:rsid w:val="00901631"/>
    <w:rsid w:val="00903A93"/>
    <w:rsid w:val="00907756"/>
    <w:rsid w:val="00920C28"/>
    <w:rsid w:val="00922403"/>
    <w:rsid w:val="00930172"/>
    <w:rsid w:val="00931261"/>
    <w:rsid w:val="009336F8"/>
    <w:rsid w:val="00933D5F"/>
    <w:rsid w:val="0093659A"/>
    <w:rsid w:val="00936A32"/>
    <w:rsid w:val="009505E2"/>
    <w:rsid w:val="00954FE5"/>
    <w:rsid w:val="00957CC8"/>
    <w:rsid w:val="0096184D"/>
    <w:rsid w:val="00962BF6"/>
    <w:rsid w:val="00963A1A"/>
    <w:rsid w:val="0097423F"/>
    <w:rsid w:val="00974CD9"/>
    <w:rsid w:val="00977849"/>
    <w:rsid w:val="00980048"/>
    <w:rsid w:val="00981220"/>
    <w:rsid w:val="0098236F"/>
    <w:rsid w:val="009879CE"/>
    <w:rsid w:val="00990CF7"/>
    <w:rsid w:val="00992590"/>
    <w:rsid w:val="009975C7"/>
    <w:rsid w:val="009A039B"/>
    <w:rsid w:val="009A0B65"/>
    <w:rsid w:val="009A2744"/>
    <w:rsid w:val="009A6978"/>
    <w:rsid w:val="009B7C8A"/>
    <w:rsid w:val="009C1554"/>
    <w:rsid w:val="009C34F3"/>
    <w:rsid w:val="009D00B6"/>
    <w:rsid w:val="009D4194"/>
    <w:rsid w:val="009D4D91"/>
    <w:rsid w:val="009E2026"/>
    <w:rsid w:val="009E68B0"/>
    <w:rsid w:val="009E7D51"/>
    <w:rsid w:val="00A01139"/>
    <w:rsid w:val="00A02F28"/>
    <w:rsid w:val="00A055BA"/>
    <w:rsid w:val="00A14BFA"/>
    <w:rsid w:val="00A226AF"/>
    <w:rsid w:val="00A26469"/>
    <w:rsid w:val="00A32C5C"/>
    <w:rsid w:val="00A3722E"/>
    <w:rsid w:val="00A378E2"/>
    <w:rsid w:val="00A437FA"/>
    <w:rsid w:val="00A44665"/>
    <w:rsid w:val="00A57BC0"/>
    <w:rsid w:val="00A60DC9"/>
    <w:rsid w:val="00A651D5"/>
    <w:rsid w:val="00A70595"/>
    <w:rsid w:val="00A76564"/>
    <w:rsid w:val="00A776D9"/>
    <w:rsid w:val="00A81578"/>
    <w:rsid w:val="00A84BB8"/>
    <w:rsid w:val="00A93BD6"/>
    <w:rsid w:val="00A96F0E"/>
    <w:rsid w:val="00AA004D"/>
    <w:rsid w:val="00AA0B87"/>
    <w:rsid w:val="00AA317D"/>
    <w:rsid w:val="00AC1379"/>
    <w:rsid w:val="00AC2CF7"/>
    <w:rsid w:val="00AC2EFE"/>
    <w:rsid w:val="00AC79BF"/>
    <w:rsid w:val="00AD19C0"/>
    <w:rsid w:val="00AD1C7F"/>
    <w:rsid w:val="00AD5D4B"/>
    <w:rsid w:val="00AE17E9"/>
    <w:rsid w:val="00AE184A"/>
    <w:rsid w:val="00AE46D7"/>
    <w:rsid w:val="00AF46E5"/>
    <w:rsid w:val="00AF75AC"/>
    <w:rsid w:val="00B0108B"/>
    <w:rsid w:val="00B11382"/>
    <w:rsid w:val="00B1255B"/>
    <w:rsid w:val="00B13235"/>
    <w:rsid w:val="00B45B4D"/>
    <w:rsid w:val="00B60DC8"/>
    <w:rsid w:val="00B646CF"/>
    <w:rsid w:val="00B6498E"/>
    <w:rsid w:val="00B72FB3"/>
    <w:rsid w:val="00B77612"/>
    <w:rsid w:val="00B902CB"/>
    <w:rsid w:val="00B95097"/>
    <w:rsid w:val="00BA439E"/>
    <w:rsid w:val="00BA763F"/>
    <w:rsid w:val="00BB5A47"/>
    <w:rsid w:val="00BC3EEF"/>
    <w:rsid w:val="00BD3707"/>
    <w:rsid w:val="00BD513C"/>
    <w:rsid w:val="00BE341E"/>
    <w:rsid w:val="00BF5754"/>
    <w:rsid w:val="00C05A87"/>
    <w:rsid w:val="00C05E8B"/>
    <w:rsid w:val="00C064F4"/>
    <w:rsid w:val="00C11837"/>
    <w:rsid w:val="00C14152"/>
    <w:rsid w:val="00C207DE"/>
    <w:rsid w:val="00C22537"/>
    <w:rsid w:val="00C22A6E"/>
    <w:rsid w:val="00C27261"/>
    <w:rsid w:val="00C334D8"/>
    <w:rsid w:val="00C457C5"/>
    <w:rsid w:val="00C478B4"/>
    <w:rsid w:val="00C627B6"/>
    <w:rsid w:val="00C63C23"/>
    <w:rsid w:val="00C6498C"/>
    <w:rsid w:val="00C64DAB"/>
    <w:rsid w:val="00C6508F"/>
    <w:rsid w:val="00C734BF"/>
    <w:rsid w:val="00C76A77"/>
    <w:rsid w:val="00C76BC3"/>
    <w:rsid w:val="00C8156E"/>
    <w:rsid w:val="00C81D5A"/>
    <w:rsid w:val="00C866CB"/>
    <w:rsid w:val="00C96E72"/>
    <w:rsid w:val="00CA5651"/>
    <w:rsid w:val="00CA6828"/>
    <w:rsid w:val="00CB088B"/>
    <w:rsid w:val="00CB274D"/>
    <w:rsid w:val="00CB3702"/>
    <w:rsid w:val="00CB40F2"/>
    <w:rsid w:val="00CB5D74"/>
    <w:rsid w:val="00CD2640"/>
    <w:rsid w:val="00CD36A7"/>
    <w:rsid w:val="00CD6785"/>
    <w:rsid w:val="00CD684A"/>
    <w:rsid w:val="00CD69C4"/>
    <w:rsid w:val="00CD7485"/>
    <w:rsid w:val="00CE2692"/>
    <w:rsid w:val="00CE3D01"/>
    <w:rsid w:val="00CE45D1"/>
    <w:rsid w:val="00CE5D03"/>
    <w:rsid w:val="00D009F1"/>
    <w:rsid w:val="00D103D7"/>
    <w:rsid w:val="00D113DE"/>
    <w:rsid w:val="00D11859"/>
    <w:rsid w:val="00D13712"/>
    <w:rsid w:val="00D23431"/>
    <w:rsid w:val="00D24994"/>
    <w:rsid w:val="00D275EB"/>
    <w:rsid w:val="00D3039E"/>
    <w:rsid w:val="00D35F81"/>
    <w:rsid w:val="00D36A8C"/>
    <w:rsid w:val="00D41EC9"/>
    <w:rsid w:val="00D4280F"/>
    <w:rsid w:val="00D42D85"/>
    <w:rsid w:val="00D44D35"/>
    <w:rsid w:val="00D526FF"/>
    <w:rsid w:val="00D529C9"/>
    <w:rsid w:val="00D53812"/>
    <w:rsid w:val="00D54C51"/>
    <w:rsid w:val="00D65EE3"/>
    <w:rsid w:val="00D66942"/>
    <w:rsid w:val="00D675BD"/>
    <w:rsid w:val="00D67C33"/>
    <w:rsid w:val="00D80D9A"/>
    <w:rsid w:val="00D81C33"/>
    <w:rsid w:val="00D87D56"/>
    <w:rsid w:val="00D920F1"/>
    <w:rsid w:val="00D948FB"/>
    <w:rsid w:val="00D95DEB"/>
    <w:rsid w:val="00D9740A"/>
    <w:rsid w:val="00DA18A6"/>
    <w:rsid w:val="00DA25E5"/>
    <w:rsid w:val="00DA2C44"/>
    <w:rsid w:val="00DA6836"/>
    <w:rsid w:val="00DB6CDD"/>
    <w:rsid w:val="00DC05CC"/>
    <w:rsid w:val="00DC1A3E"/>
    <w:rsid w:val="00DD11C8"/>
    <w:rsid w:val="00DD139E"/>
    <w:rsid w:val="00DD4E03"/>
    <w:rsid w:val="00DD5971"/>
    <w:rsid w:val="00DD5A00"/>
    <w:rsid w:val="00DD6E26"/>
    <w:rsid w:val="00DE2564"/>
    <w:rsid w:val="00DE620B"/>
    <w:rsid w:val="00DF008F"/>
    <w:rsid w:val="00DF0885"/>
    <w:rsid w:val="00DF75D8"/>
    <w:rsid w:val="00DF7E65"/>
    <w:rsid w:val="00E01D20"/>
    <w:rsid w:val="00E04B13"/>
    <w:rsid w:val="00E132E0"/>
    <w:rsid w:val="00E21925"/>
    <w:rsid w:val="00E2434F"/>
    <w:rsid w:val="00E26B64"/>
    <w:rsid w:val="00E31243"/>
    <w:rsid w:val="00E331BB"/>
    <w:rsid w:val="00E3751C"/>
    <w:rsid w:val="00E42F2C"/>
    <w:rsid w:val="00E448CA"/>
    <w:rsid w:val="00E47EF8"/>
    <w:rsid w:val="00E50A0E"/>
    <w:rsid w:val="00E533C4"/>
    <w:rsid w:val="00E543FF"/>
    <w:rsid w:val="00E612EF"/>
    <w:rsid w:val="00E62D75"/>
    <w:rsid w:val="00E64AB4"/>
    <w:rsid w:val="00E65ADA"/>
    <w:rsid w:val="00E7078C"/>
    <w:rsid w:val="00E7085F"/>
    <w:rsid w:val="00E72C4A"/>
    <w:rsid w:val="00E743D4"/>
    <w:rsid w:val="00E77BDD"/>
    <w:rsid w:val="00E84C08"/>
    <w:rsid w:val="00EA4A4C"/>
    <w:rsid w:val="00EA6E9F"/>
    <w:rsid w:val="00EB0E87"/>
    <w:rsid w:val="00EB2438"/>
    <w:rsid w:val="00EB5A76"/>
    <w:rsid w:val="00EC085A"/>
    <w:rsid w:val="00EC4A70"/>
    <w:rsid w:val="00EC6185"/>
    <w:rsid w:val="00EC66F1"/>
    <w:rsid w:val="00EC6E02"/>
    <w:rsid w:val="00ED7C9E"/>
    <w:rsid w:val="00EE081E"/>
    <w:rsid w:val="00EE1080"/>
    <w:rsid w:val="00EE2E69"/>
    <w:rsid w:val="00EF0882"/>
    <w:rsid w:val="00EF1D22"/>
    <w:rsid w:val="00EF3B5F"/>
    <w:rsid w:val="00F0224E"/>
    <w:rsid w:val="00F0747C"/>
    <w:rsid w:val="00F134A9"/>
    <w:rsid w:val="00F13E4B"/>
    <w:rsid w:val="00F1427D"/>
    <w:rsid w:val="00F17AD2"/>
    <w:rsid w:val="00F27A76"/>
    <w:rsid w:val="00F315B1"/>
    <w:rsid w:val="00F33ED1"/>
    <w:rsid w:val="00F34B51"/>
    <w:rsid w:val="00F510E7"/>
    <w:rsid w:val="00F51810"/>
    <w:rsid w:val="00F5332A"/>
    <w:rsid w:val="00F53410"/>
    <w:rsid w:val="00F5472E"/>
    <w:rsid w:val="00F61F53"/>
    <w:rsid w:val="00F677A3"/>
    <w:rsid w:val="00F73F07"/>
    <w:rsid w:val="00F83D99"/>
    <w:rsid w:val="00F86BDA"/>
    <w:rsid w:val="00F87816"/>
    <w:rsid w:val="00F91B7D"/>
    <w:rsid w:val="00F93B16"/>
    <w:rsid w:val="00F93B5F"/>
    <w:rsid w:val="00FA399A"/>
    <w:rsid w:val="00FB3F1A"/>
    <w:rsid w:val="00FB7075"/>
    <w:rsid w:val="00FC2F97"/>
    <w:rsid w:val="00FD7296"/>
    <w:rsid w:val="00FD77E2"/>
    <w:rsid w:val="00FE087A"/>
    <w:rsid w:val="00FF1FBF"/>
    <w:rsid w:val="00FF42E1"/>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3033"/>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F87816"/>
    <w:pPr>
      <w:spacing w:after="240"/>
    </w:pPr>
    <w:rPr>
      <w:rFonts w:ascii="Gill Sans MT" w:hAnsi="Gill Sans MT"/>
      <w:lang w:val="en-GB"/>
    </w:rPr>
  </w:style>
  <w:style w:type="paragraph" w:styleId="Heading1">
    <w:name w:val="heading 1"/>
    <w:basedOn w:val="Normal"/>
    <w:next w:val="Normal"/>
    <w:link w:val="Heading1Char"/>
    <w:uiPriority w:val="9"/>
    <w:qFormat/>
    <w:rsid w:val="00F87816"/>
    <w:pPr>
      <w:keepNext/>
      <w:keepLines/>
      <w:spacing w:after="120"/>
      <w:ind w:right="424"/>
      <w:jc w:val="both"/>
      <w:outlineLvl w:val="0"/>
    </w:pPr>
    <w:rPr>
      <w:rFonts w:eastAsiaTheme="majorEastAsia" w:cstheme="majorBidi"/>
      <w:color w:val="009999"/>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7816"/>
    <w:rPr>
      <w:rFonts w:ascii="Gill Sans MT" w:eastAsiaTheme="majorEastAsia" w:hAnsi="Gill Sans MT" w:cstheme="majorBidi"/>
      <w:color w:val="009999"/>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 w:type="paragraph" w:styleId="PlainText">
    <w:name w:val="Plain Text"/>
    <w:basedOn w:val="Normal"/>
    <w:link w:val="PlainTextChar"/>
    <w:uiPriority w:val="99"/>
    <w:semiHidden/>
    <w:unhideWhenUsed/>
    <w:rsid w:val="004957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957A3"/>
    <w:rPr>
      <w:rFonts w:ascii="Calibri" w:hAnsi="Calibri" w:cs="Consolas"/>
      <w:szCs w:val="21"/>
    </w:rPr>
  </w:style>
  <w:style w:type="character" w:styleId="CommentReference">
    <w:name w:val="annotation reference"/>
    <w:basedOn w:val="DefaultParagraphFont"/>
    <w:uiPriority w:val="99"/>
    <w:semiHidden/>
    <w:unhideWhenUsed/>
    <w:rsid w:val="003D2B46"/>
    <w:rPr>
      <w:sz w:val="16"/>
      <w:szCs w:val="16"/>
    </w:rPr>
  </w:style>
  <w:style w:type="paragraph" w:styleId="CommentText">
    <w:name w:val="annotation text"/>
    <w:basedOn w:val="Normal"/>
    <w:link w:val="CommentTextChar"/>
    <w:uiPriority w:val="99"/>
    <w:semiHidden/>
    <w:unhideWhenUsed/>
    <w:rsid w:val="003D2B46"/>
    <w:pPr>
      <w:spacing w:line="240" w:lineRule="auto"/>
    </w:pPr>
    <w:rPr>
      <w:sz w:val="20"/>
      <w:szCs w:val="20"/>
    </w:rPr>
  </w:style>
  <w:style w:type="character" w:customStyle="1" w:styleId="CommentTextChar">
    <w:name w:val="Comment Text Char"/>
    <w:basedOn w:val="DefaultParagraphFont"/>
    <w:link w:val="CommentText"/>
    <w:uiPriority w:val="99"/>
    <w:semiHidden/>
    <w:rsid w:val="003D2B4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D2B46"/>
    <w:rPr>
      <w:b/>
      <w:bCs/>
    </w:rPr>
  </w:style>
  <w:style w:type="character" w:customStyle="1" w:styleId="CommentSubjectChar">
    <w:name w:val="Comment Subject Char"/>
    <w:basedOn w:val="CommentTextChar"/>
    <w:link w:val="CommentSubject"/>
    <w:uiPriority w:val="99"/>
    <w:semiHidden/>
    <w:rsid w:val="003D2B46"/>
    <w:rPr>
      <w:rFonts w:ascii="Gill Sans MT" w:hAnsi="Gill Sans MT"/>
      <w:b/>
      <w:bCs/>
      <w:sz w:val="20"/>
      <w:szCs w:val="20"/>
    </w:rPr>
  </w:style>
  <w:style w:type="paragraph" w:customStyle="1" w:styleId="Default">
    <w:name w:val="Default"/>
    <w:rsid w:val="00931261"/>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D95DEB"/>
    <w:pPr>
      <w:spacing w:after="0" w:line="240" w:lineRule="auto"/>
    </w:pPr>
    <w:rPr>
      <w:rFonts w:ascii="Gill Sans MT" w:hAnsi="Gill Sans MT"/>
    </w:rPr>
  </w:style>
  <w:style w:type="paragraph" w:customStyle="1" w:styleId="DIERBodyText">
    <w:name w:val="DIERBodyText"/>
    <w:basedOn w:val="Normal"/>
    <w:rsid w:val="002F179C"/>
    <w:pPr>
      <w:spacing w:after="300" w:line="240" w:lineRule="auto"/>
      <w:jc w:val="both"/>
    </w:pPr>
    <w:rPr>
      <w:rFonts w:ascii="Arial" w:hAnsi="Arial" w:cs="Arial"/>
    </w:rPr>
  </w:style>
  <w:style w:type="paragraph" w:customStyle="1" w:styleId="DIERAddressBlock">
    <w:name w:val="DIERAddressBlock"/>
    <w:basedOn w:val="Normal"/>
    <w:rsid w:val="002F179C"/>
    <w:pPr>
      <w:spacing w:after="0" w:line="240" w:lineRule="auto"/>
      <w:jc w:val="both"/>
    </w:pPr>
    <w:rPr>
      <w:rFonts w:ascii="Arial" w:hAnsi="Arial" w:cs="Arial"/>
    </w:rPr>
  </w:style>
  <w:style w:type="character" w:styleId="FollowedHyperlink">
    <w:name w:val="FollowedHyperlink"/>
    <w:basedOn w:val="DefaultParagraphFont"/>
    <w:uiPriority w:val="99"/>
    <w:semiHidden/>
    <w:unhideWhenUsed/>
    <w:rsid w:val="00EC66F1"/>
    <w:rPr>
      <w:color w:val="954F72" w:themeColor="followedHyperlink"/>
      <w:u w:val="single"/>
    </w:rPr>
  </w:style>
  <w:style w:type="paragraph" w:styleId="Title">
    <w:name w:val="Title"/>
    <w:basedOn w:val="Normal"/>
    <w:next w:val="Normal"/>
    <w:link w:val="TitleChar"/>
    <w:uiPriority w:val="10"/>
    <w:qFormat/>
    <w:rsid w:val="00F87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816"/>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6066">
      <w:bodyDiv w:val="1"/>
      <w:marLeft w:val="0"/>
      <w:marRight w:val="0"/>
      <w:marTop w:val="0"/>
      <w:marBottom w:val="0"/>
      <w:divBdr>
        <w:top w:val="none" w:sz="0" w:space="0" w:color="auto"/>
        <w:left w:val="none" w:sz="0" w:space="0" w:color="auto"/>
        <w:bottom w:val="none" w:sz="0" w:space="0" w:color="auto"/>
        <w:right w:val="none" w:sz="0" w:space="0" w:color="auto"/>
      </w:divBdr>
    </w:div>
    <w:div w:id="90784594">
      <w:bodyDiv w:val="1"/>
      <w:marLeft w:val="0"/>
      <w:marRight w:val="0"/>
      <w:marTop w:val="0"/>
      <w:marBottom w:val="0"/>
      <w:divBdr>
        <w:top w:val="none" w:sz="0" w:space="0" w:color="auto"/>
        <w:left w:val="none" w:sz="0" w:space="0" w:color="auto"/>
        <w:bottom w:val="none" w:sz="0" w:space="0" w:color="auto"/>
        <w:right w:val="none" w:sz="0" w:space="0" w:color="auto"/>
      </w:divBdr>
    </w:div>
    <w:div w:id="325481563">
      <w:bodyDiv w:val="1"/>
      <w:marLeft w:val="0"/>
      <w:marRight w:val="0"/>
      <w:marTop w:val="0"/>
      <w:marBottom w:val="0"/>
      <w:divBdr>
        <w:top w:val="none" w:sz="0" w:space="0" w:color="auto"/>
        <w:left w:val="none" w:sz="0" w:space="0" w:color="auto"/>
        <w:bottom w:val="none" w:sz="0" w:space="0" w:color="auto"/>
        <w:right w:val="none" w:sz="0" w:space="0" w:color="auto"/>
      </w:divBdr>
    </w:div>
    <w:div w:id="1040860946">
      <w:bodyDiv w:val="1"/>
      <w:marLeft w:val="0"/>
      <w:marRight w:val="0"/>
      <w:marTop w:val="0"/>
      <w:marBottom w:val="0"/>
      <w:divBdr>
        <w:top w:val="none" w:sz="0" w:space="0" w:color="auto"/>
        <w:left w:val="none" w:sz="0" w:space="0" w:color="auto"/>
        <w:bottom w:val="none" w:sz="0" w:space="0" w:color="auto"/>
        <w:right w:val="none" w:sz="0" w:space="0" w:color="auto"/>
      </w:divBdr>
    </w:div>
    <w:div w:id="1071777210">
      <w:bodyDiv w:val="1"/>
      <w:marLeft w:val="0"/>
      <w:marRight w:val="0"/>
      <w:marTop w:val="0"/>
      <w:marBottom w:val="0"/>
      <w:divBdr>
        <w:top w:val="none" w:sz="0" w:space="0" w:color="auto"/>
        <w:left w:val="none" w:sz="0" w:space="0" w:color="auto"/>
        <w:bottom w:val="none" w:sz="0" w:space="0" w:color="auto"/>
        <w:right w:val="none" w:sz="0" w:space="0" w:color="auto"/>
      </w:divBdr>
    </w:div>
    <w:div w:id="1125539206">
      <w:bodyDiv w:val="1"/>
      <w:marLeft w:val="0"/>
      <w:marRight w:val="0"/>
      <w:marTop w:val="0"/>
      <w:marBottom w:val="0"/>
      <w:divBdr>
        <w:top w:val="none" w:sz="0" w:space="0" w:color="auto"/>
        <w:left w:val="none" w:sz="0" w:space="0" w:color="auto"/>
        <w:bottom w:val="none" w:sz="0" w:space="0" w:color="auto"/>
        <w:right w:val="none" w:sz="0" w:space="0" w:color="auto"/>
      </w:divBdr>
    </w:div>
    <w:div w:id="1130975392">
      <w:bodyDiv w:val="1"/>
      <w:marLeft w:val="0"/>
      <w:marRight w:val="0"/>
      <w:marTop w:val="0"/>
      <w:marBottom w:val="0"/>
      <w:divBdr>
        <w:top w:val="none" w:sz="0" w:space="0" w:color="auto"/>
        <w:left w:val="none" w:sz="0" w:space="0" w:color="auto"/>
        <w:bottom w:val="none" w:sz="0" w:space="0" w:color="auto"/>
        <w:right w:val="none" w:sz="0" w:space="0" w:color="auto"/>
      </w:divBdr>
    </w:div>
    <w:div w:id="1831169584">
      <w:bodyDiv w:val="1"/>
      <w:marLeft w:val="0"/>
      <w:marRight w:val="0"/>
      <w:marTop w:val="0"/>
      <w:marBottom w:val="0"/>
      <w:divBdr>
        <w:top w:val="none" w:sz="0" w:space="0" w:color="auto"/>
        <w:left w:val="none" w:sz="0" w:space="0" w:color="auto"/>
        <w:bottom w:val="none" w:sz="0" w:space="0" w:color="auto"/>
        <w:right w:val="none" w:sz="0" w:space="0" w:color="auto"/>
      </w:divBdr>
    </w:div>
    <w:div w:id="1934244388">
      <w:bodyDiv w:val="1"/>
      <w:marLeft w:val="0"/>
      <w:marRight w:val="0"/>
      <w:marTop w:val="0"/>
      <w:marBottom w:val="0"/>
      <w:divBdr>
        <w:top w:val="none" w:sz="0" w:space="0" w:color="auto"/>
        <w:left w:val="none" w:sz="0" w:space="0" w:color="auto"/>
        <w:bottom w:val="none" w:sz="0" w:space="0" w:color="auto"/>
        <w:right w:val="none" w:sz="0" w:space="0" w:color="auto"/>
      </w:divBdr>
    </w:div>
    <w:div w:id="2062556091">
      <w:bodyDiv w:val="1"/>
      <w:marLeft w:val="0"/>
      <w:marRight w:val="0"/>
      <w:marTop w:val="0"/>
      <w:marBottom w:val="0"/>
      <w:divBdr>
        <w:top w:val="none" w:sz="0" w:space="0" w:color="auto"/>
        <w:left w:val="none" w:sz="0" w:space="0" w:color="auto"/>
        <w:bottom w:val="none" w:sz="0" w:space="0" w:color="auto"/>
        <w:right w:val="none" w:sz="0" w:space="0" w:color="auto"/>
      </w:divBdr>
    </w:div>
    <w:div w:id="21094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tscontracts@stategrowth.ta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ebus.com/bus-fire-eva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r.business.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ansport.tas.gov.au/haveyoursay" TargetMode="External"/><Relationship Id="rId4" Type="http://schemas.openxmlformats.org/officeDocument/2006/relationships/settings" Target="settings.xml"/><Relationship Id="rId9" Type="http://schemas.openxmlformats.org/officeDocument/2006/relationships/hyperlink" Target="https://www.transport.tas.gov.au/project2018/new_contract_information" TargetMode="External"/><Relationship Id="rId14" Type="http://schemas.openxmlformats.org/officeDocument/2006/relationships/hyperlink" Target="mailto:ptscontracts@stategrowt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AF25-970C-4908-8DEF-63930243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Whitty, Anna</cp:lastModifiedBy>
  <cp:revision>2</cp:revision>
  <cp:lastPrinted>2019-01-31T23:37:00Z</cp:lastPrinted>
  <dcterms:created xsi:type="dcterms:W3CDTF">2019-05-05T22:59:00Z</dcterms:created>
  <dcterms:modified xsi:type="dcterms:W3CDTF">2019-05-05T22:59:00Z</dcterms:modified>
</cp:coreProperties>
</file>