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28FE2" w14:textId="77777777" w:rsidR="006E7989" w:rsidRPr="00E84C08" w:rsidRDefault="004032CC" w:rsidP="00FD7296">
      <w:pPr>
        <w:spacing w:after="120"/>
        <w:ind w:right="424"/>
        <w:jc w:val="right"/>
        <w:rPr>
          <w:sz w:val="80"/>
          <w:szCs w:val="80"/>
        </w:rPr>
      </w:pPr>
      <w:bookmarkStart w:id="0" w:name="_GoBack"/>
      <w:bookmarkEnd w:id="0"/>
      <w:r w:rsidRPr="004957A3">
        <w:rPr>
          <w:b/>
          <w:noProof/>
          <w:sz w:val="80"/>
          <w:szCs w:val="80"/>
          <w:lang w:eastAsia="en-AU"/>
        </w:rPr>
        <w:drawing>
          <wp:anchor distT="0" distB="0" distL="114300" distR="114300" simplePos="0" relativeHeight="251653120" behindDoc="1" locked="0" layoutInCell="1" allowOverlap="1" wp14:anchorId="12144680" wp14:editId="43FFE919">
            <wp:simplePos x="0" y="0"/>
            <wp:positionH relativeFrom="page">
              <wp:posOffset>59</wp:posOffset>
            </wp:positionH>
            <wp:positionV relativeFrom="paragraph">
              <wp:posOffset>-784860</wp:posOffset>
            </wp:positionV>
            <wp:extent cx="7591646" cy="10736341"/>
            <wp:effectExtent l="0" t="0" r="0" b="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image fact she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1646" cy="10736341"/>
                    </a:xfrm>
                    <a:prstGeom prst="rect">
                      <a:avLst/>
                    </a:prstGeom>
                  </pic:spPr>
                </pic:pic>
              </a:graphicData>
            </a:graphic>
            <wp14:sizeRelH relativeFrom="page">
              <wp14:pctWidth>0</wp14:pctWidth>
            </wp14:sizeRelH>
            <wp14:sizeRelV relativeFrom="page">
              <wp14:pctHeight>0</wp14:pctHeight>
            </wp14:sizeRelV>
          </wp:anchor>
        </w:drawing>
      </w:r>
      <w:r w:rsidR="006D3E7E" w:rsidRPr="006D3E7E">
        <w:rPr>
          <w:sz w:val="80"/>
          <w:szCs w:val="80"/>
        </w:rPr>
        <w:t>Transporter</w:t>
      </w:r>
    </w:p>
    <w:p w14:paraId="0026BB21" w14:textId="77777777" w:rsidR="00E84C08" w:rsidRPr="006E7989" w:rsidRDefault="00E84C08" w:rsidP="00FD7296">
      <w:pPr>
        <w:ind w:right="424"/>
      </w:pPr>
    </w:p>
    <w:p w14:paraId="68E59549" w14:textId="77777777" w:rsidR="006E7989" w:rsidRPr="006E7989" w:rsidRDefault="006E7989" w:rsidP="00FD7296">
      <w:pPr>
        <w:ind w:right="424"/>
      </w:pPr>
    </w:p>
    <w:p w14:paraId="4A9D097B" w14:textId="77777777" w:rsidR="006E7989" w:rsidRPr="006E7989" w:rsidRDefault="006E7989" w:rsidP="00FD7296">
      <w:pPr>
        <w:ind w:right="424"/>
      </w:pPr>
    </w:p>
    <w:p w14:paraId="0581947F" w14:textId="77777777" w:rsidR="006E7989" w:rsidRPr="006E7989" w:rsidRDefault="006E7989" w:rsidP="00FD7296">
      <w:pPr>
        <w:ind w:right="424"/>
      </w:pPr>
    </w:p>
    <w:p w14:paraId="572A7353" w14:textId="77777777" w:rsidR="006E7989" w:rsidRPr="00144AD4" w:rsidRDefault="006E7989" w:rsidP="00FD7296">
      <w:pPr>
        <w:spacing w:after="0"/>
        <w:ind w:right="424"/>
      </w:pPr>
    </w:p>
    <w:p w14:paraId="129710EB" w14:textId="77777777" w:rsidR="00E84C08" w:rsidRPr="00534224" w:rsidRDefault="00E84C08" w:rsidP="00FD7296">
      <w:pPr>
        <w:pStyle w:val="Heading1"/>
        <w:tabs>
          <w:tab w:val="right" w:pos="10773"/>
        </w:tabs>
        <w:ind w:right="424"/>
        <w:jc w:val="both"/>
        <w:rPr>
          <w:color w:val="auto"/>
          <w:sz w:val="32"/>
        </w:rPr>
      </w:pPr>
      <w:r>
        <w:rPr>
          <w:color w:val="auto"/>
          <w:sz w:val="28"/>
        </w:rPr>
        <w:tab/>
      </w:r>
      <w:r w:rsidR="00D41D2F">
        <w:rPr>
          <w:color w:val="auto"/>
          <w:sz w:val="32"/>
        </w:rPr>
        <w:t>October</w:t>
      </w:r>
      <w:r w:rsidR="00B60DC8" w:rsidRPr="00144AD4">
        <w:rPr>
          <w:color w:val="auto"/>
          <w:sz w:val="32"/>
        </w:rPr>
        <w:t xml:space="preserve"> </w:t>
      </w:r>
      <w:r w:rsidR="00B60DC8">
        <w:rPr>
          <w:color w:val="auto"/>
          <w:sz w:val="32"/>
        </w:rPr>
        <w:t>201</w:t>
      </w:r>
      <w:r w:rsidR="009E7D51">
        <w:rPr>
          <w:color w:val="auto"/>
          <w:sz w:val="32"/>
        </w:rPr>
        <w:t>8</w:t>
      </w:r>
    </w:p>
    <w:p w14:paraId="4870D213" w14:textId="77777777" w:rsidR="0083367A" w:rsidRPr="00BA65E3" w:rsidRDefault="0067319D" w:rsidP="00BA65E3">
      <w:pPr>
        <w:pStyle w:val="Heading1"/>
        <w:spacing w:before="360" w:after="120"/>
        <w:ind w:right="424"/>
        <w:jc w:val="both"/>
        <w:rPr>
          <w:color w:val="009999"/>
          <w:lang w:val="en-GB"/>
        </w:rPr>
      </w:pPr>
      <w:r w:rsidRPr="00BA65E3">
        <w:rPr>
          <w:color w:val="009999"/>
          <w:lang w:val="en-GB"/>
        </w:rPr>
        <w:t>Summer is just around the corner</w:t>
      </w:r>
    </w:p>
    <w:p w14:paraId="2B38006A" w14:textId="77777777" w:rsidR="0067319D" w:rsidRDefault="0067319D" w:rsidP="00457C39">
      <w:pPr>
        <w:spacing w:after="120"/>
        <w:ind w:right="424"/>
        <w:jc w:val="both"/>
        <w:rPr>
          <w:lang w:val="en-GB"/>
        </w:rPr>
      </w:pPr>
      <w:r>
        <w:rPr>
          <w:lang w:val="en-GB"/>
        </w:rPr>
        <w:t xml:space="preserve">The summer holidays are fast approaching, with the final term of school now underway. </w:t>
      </w:r>
      <w:r w:rsidR="0037183C">
        <w:rPr>
          <w:lang w:val="en-GB"/>
        </w:rPr>
        <w:t>Recent</w:t>
      </w:r>
      <w:r>
        <w:rPr>
          <w:lang w:val="en-GB"/>
        </w:rPr>
        <w:t xml:space="preserve"> weather has given us a taste of what to expect and I am sure you can’t wait!</w:t>
      </w:r>
    </w:p>
    <w:p w14:paraId="1E74B05C" w14:textId="77777777" w:rsidR="005814D8" w:rsidRDefault="005814D8" w:rsidP="00BA65E3">
      <w:pPr>
        <w:pStyle w:val="Heading1"/>
        <w:spacing w:before="360" w:after="120"/>
        <w:ind w:right="424"/>
        <w:jc w:val="both"/>
        <w:rPr>
          <w:color w:val="009999"/>
          <w:lang w:val="en-GB"/>
        </w:rPr>
      </w:pPr>
      <w:r>
        <w:rPr>
          <w:color w:val="009999"/>
          <w:lang w:val="en-GB"/>
        </w:rPr>
        <w:t>Project 2018 update</w:t>
      </w:r>
    </w:p>
    <w:p w14:paraId="7D9E88B1" w14:textId="77777777" w:rsidR="005814D8" w:rsidRPr="00026D43" w:rsidRDefault="005814D8" w:rsidP="005814D8">
      <w:r w:rsidRPr="00026D43">
        <w:rPr>
          <w:u w:val="single"/>
        </w:rPr>
        <w:t>School Bus Services Update</w:t>
      </w:r>
    </w:p>
    <w:p w14:paraId="45EEF53F" w14:textId="77777777" w:rsidR="005814D8" w:rsidRPr="00026D43" w:rsidRDefault="00FD37BA" w:rsidP="005814D8">
      <w:r>
        <w:t>Sixty</w:t>
      </w:r>
      <w:r w:rsidR="005814D8" w:rsidRPr="00026D43">
        <w:t xml:space="preserve"> operators</w:t>
      </w:r>
      <w:r>
        <w:t xml:space="preserve"> have now had all of their contracts matched, and t</w:t>
      </w:r>
      <w:r w:rsidR="005814D8">
        <w:t xml:space="preserve">hese operators </w:t>
      </w:r>
      <w:r w:rsidR="005814D8" w:rsidRPr="00026D43">
        <w:t xml:space="preserve">have been sent an email </w:t>
      </w:r>
      <w:r w:rsidR="005814D8">
        <w:t xml:space="preserve">requesting the return of information which will be used by </w:t>
      </w:r>
      <w:r>
        <w:t xml:space="preserve">the </w:t>
      </w:r>
      <w:r w:rsidR="005814D8">
        <w:t xml:space="preserve">Project 2018 </w:t>
      </w:r>
      <w:r>
        <w:t xml:space="preserve">team </w:t>
      </w:r>
      <w:r w:rsidR="005814D8">
        <w:t xml:space="preserve">to complete the new contracts so that </w:t>
      </w:r>
      <w:r w:rsidR="005814D8" w:rsidRPr="00026D43">
        <w:t xml:space="preserve">offers </w:t>
      </w:r>
      <w:r w:rsidR="005814D8">
        <w:t xml:space="preserve">can be made </w:t>
      </w:r>
      <w:r w:rsidR="005814D8" w:rsidRPr="00026D43">
        <w:t xml:space="preserve">as soon as the </w:t>
      </w:r>
      <w:r w:rsidR="005814D8">
        <w:t xml:space="preserve">contract and </w:t>
      </w:r>
      <w:r w:rsidR="005814D8" w:rsidRPr="00026D43">
        <w:t>funding model</w:t>
      </w:r>
      <w:r w:rsidR="005814D8">
        <w:t>s</w:t>
      </w:r>
      <w:r w:rsidR="005814D8" w:rsidRPr="00026D43">
        <w:t xml:space="preserve"> are finalised.  </w:t>
      </w:r>
    </w:p>
    <w:p w14:paraId="7B4350F8" w14:textId="77777777" w:rsidR="00083A36" w:rsidRDefault="005814D8" w:rsidP="005814D8">
      <w:r w:rsidRPr="00026D43">
        <w:t xml:space="preserve">If you have had all of your services ‘matched’ and have not received an email from </w:t>
      </w:r>
      <w:r>
        <w:t xml:space="preserve">State Growth asking </w:t>
      </w:r>
      <w:r w:rsidRPr="00026D43">
        <w:t xml:space="preserve">you to provide business, route and timetable information then please </w:t>
      </w:r>
      <w:r>
        <w:t xml:space="preserve">get in contact. You should first check </w:t>
      </w:r>
      <w:r w:rsidRPr="00026D43">
        <w:t xml:space="preserve">your email junk folder </w:t>
      </w:r>
      <w:r>
        <w:t xml:space="preserve">to make sure it hasn’t been marked as junk. </w:t>
      </w:r>
    </w:p>
    <w:p w14:paraId="60862730" w14:textId="77777777" w:rsidR="005814D8" w:rsidDel="00FD37BA" w:rsidRDefault="00FD37BA" w:rsidP="005814D8">
      <w:r>
        <w:t xml:space="preserve">In total, </w:t>
      </w:r>
      <w:r w:rsidR="008F0688">
        <w:t>P</w:t>
      </w:r>
      <w:r w:rsidR="008F0688" w:rsidDel="00FD37BA">
        <w:t xml:space="preserve">roject </w:t>
      </w:r>
      <w:r w:rsidR="005814D8" w:rsidDel="00FD37BA">
        <w:t>2018 has now published o</w:t>
      </w:r>
      <w:r w:rsidR="005814D8" w:rsidRPr="00026D43" w:rsidDel="00FD37BA">
        <w:t>ver 200 school bus matching decisions</w:t>
      </w:r>
      <w:r w:rsidR="005814D8" w:rsidDel="00FD37BA">
        <w:t xml:space="preserve"> </w:t>
      </w:r>
      <w:r w:rsidR="005814D8" w:rsidRPr="00026D43" w:rsidDel="00FD37BA">
        <w:t xml:space="preserve">representing about 60% of services to be re-contracted.  </w:t>
      </w:r>
      <w:r w:rsidR="005814D8" w:rsidDel="00FD37BA">
        <w:t>T</w:t>
      </w:r>
      <w:r w:rsidR="005814D8" w:rsidRPr="00026D43" w:rsidDel="00FD37BA">
        <w:t>he remaining matching decisions will be published</w:t>
      </w:r>
      <w:r w:rsidR="005814D8" w:rsidDel="00FD37BA">
        <w:t xml:space="preserve"> shortly. Please remember to check the Transport </w:t>
      </w:r>
      <w:r w:rsidR="005814D8" w:rsidRPr="00026D43" w:rsidDel="00FD37BA">
        <w:t>website periodically</w:t>
      </w:r>
      <w:r w:rsidR="005814D8" w:rsidDel="00FD37BA">
        <w:t>, as n</w:t>
      </w:r>
      <w:r w:rsidR="005814D8" w:rsidRPr="00026D43" w:rsidDel="00FD37BA">
        <w:t xml:space="preserve">ew matching decisions </w:t>
      </w:r>
      <w:r w:rsidR="005814D8" w:rsidDel="00FD37BA">
        <w:t>are published</w:t>
      </w:r>
      <w:r w:rsidR="005814D8" w:rsidRPr="00026D43" w:rsidDel="00FD37BA">
        <w:t xml:space="preserve"> on a Tuesday.</w:t>
      </w:r>
    </w:p>
    <w:p w14:paraId="159A4843" w14:textId="77777777" w:rsidR="005814D8" w:rsidRPr="00026D43" w:rsidRDefault="005814D8" w:rsidP="005814D8">
      <w:r w:rsidRPr="00026D43">
        <w:t xml:space="preserve">A large number of the remaining services </w:t>
      </w:r>
      <w:r>
        <w:t xml:space="preserve">which have not had </w:t>
      </w:r>
      <w:r w:rsidRPr="00026D43">
        <w:t xml:space="preserve">matching decisions published have been reviewed, and are </w:t>
      </w:r>
      <w:proofErr w:type="gramStart"/>
      <w:r w:rsidRPr="00026D43">
        <w:t>either</w:t>
      </w:r>
      <w:proofErr w:type="gramEnd"/>
      <w:r w:rsidRPr="00026D43">
        <w:t xml:space="preserve"> being consider</w:t>
      </w:r>
      <w:r>
        <w:t>ed</w:t>
      </w:r>
      <w:r w:rsidRPr="00026D43">
        <w:t xml:space="preserve"> for approval by exemption or are part of a service redesign.  </w:t>
      </w:r>
      <w:r>
        <w:t xml:space="preserve">Project 2018 is currently focussing </w:t>
      </w:r>
      <w:r w:rsidRPr="00026D43">
        <w:t>on those services where more significant changes</w:t>
      </w:r>
      <w:r>
        <w:t xml:space="preserve"> will be made</w:t>
      </w:r>
      <w:r w:rsidRPr="00026D43">
        <w:t xml:space="preserve">, </w:t>
      </w:r>
      <w:r>
        <w:t xml:space="preserve">and which may result </w:t>
      </w:r>
      <w:r w:rsidRPr="00026D43">
        <w:t xml:space="preserve">in the rationalisation of services in the area. </w:t>
      </w:r>
      <w:r>
        <w:t xml:space="preserve">There are </w:t>
      </w:r>
      <w:r w:rsidRPr="00026D43">
        <w:t xml:space="preserve">27 </w:t>
      </w:r>
      <w:r>
        <w:t>services which are subject to significant redesign, and</w:t>
      </w:r>
      <w:r w:rsidRPr="00026D43">
        <w:t xml:space="preserve"> each is an intensive effort.</w:t>
      </w:r>
    </w:p>
    <w:p w14:paraId="5AD2F46D" w14:textId="5B62260B" w:rsidR="005814D8" w:rsidRPr="00026D43" w:rsidRDefault="005814D8" w:rsidP="005814D8">
      <w:r>
        <w:t xml:space="preserve">Operators who are affected by service redesign have been made aware that </w:t>
      </w:r>
      <w:r w:rsidRPr="00026D43">
        <w:t xml:space="preserve">the Minister </w:t>
      </w:r>
      <w:r>
        <w:t xml:space="preserve">for Infrastructure </w:t>
      </w:r>
      <w:r w:rsidRPr="00026D43">
        <w:t xml:space="preserve">has recently approved a </w:t>
      </w:r>
      <w:r w:rsidR="00BA65E3">
        <w:t xml:space="preserve">transition assistance </w:t>
      </w:r>
      <w:r w:rsidRPr="00026D43">
        <w:t>program</w:t>
      </w:r>
      <w:r>
        <w:t xml:space="preserve"> </w:t>
      </w:r>
      <w:r w:rsidRPr="00026D43">
        <w:t xml:space="preserve">to </w:t>
      </w:r>
      <w:r w:rsidR="00BA65E3">
        <w:t xml:space="preserve">provide financial </w:t>
      </w:r>
      <w:r w:rsidRPr="00026D43">
        <w:t>assist</w:t>
      </w:r>
      <w:r w:rsidR="00BA65E3">
        <w:t>ance</w:t>
      </w:r>
      <w:r w:rsidRPr="00026D43">
        <w:t xml:space="preserve"> </w:t>
      </w:r>
      <w:r w:rsidR="0086659D">
        <w:t xml:space="preserve">to </w:t>
      </w:r>
      <w:r w:rsidRPr="00026D43">
        <w:t xml:space="preserve">operators who are not matched to a contract, or who chose not to </w:t>
      </w:r>
      <w:r>
        <w:t>compete for a service in</w:t>
      </w:r>
      <w:r w:rsidRPr="00026D43">
        <w:t xml:space="preserve"> a closed tender process. </w:t>
      </w:r>
    </w:p>
    <w:p w14:paraId="69F7DB60" w14:textId="49AD99FB" w:rsidR="005814D8" w:rsidRPr="00026D43" w:rsidRDefault="005814D8" w:rsidP="005814D8">
      <w:r>
        <w:t xml:space="preserve">Eligible operators whose service is not being continued, or eligible operators who are required to compete for a contract via a closed tender process but elect not to tender, will be </w:t>
      </w:r>
      <w:r w:rsidR="00E516A2">
        <w:t xml:space="preserve">offered </w:t>
      </w:r>
      <w:r>
        <w:t>an a</w:t>
      </w:r>
      <w:r w:rsidRPr="00026D43">
        <w:t xml:space="preserve">ssistance </w:t>
      </w:r>
      <w:r>
        <w:t xml:space="preserve">payment that will </w:t>
      </w:r>
      <w:r w:rsidRPr="00026D43">
        <w:t xml:space="preserve">be the equivalent of </w:t>
      </w:r>
      <w:r>
        <w:t xml:space="preserve">the non-capital contract payment for the period April to September 2018 (i.e. six months payment, excluding capital). </w:t>
      </w:r>
    </w:p>
    <w:p w14:paraId="64A7F3A6" w14:textId="77777777" w:rsidR="00083A36" w:rsidRDefault="00083A36" w:rsidP="005814D8">
      <w:pPr>
        <w:sectPr w:rsidR="00083A36" w:rsidSect="005814D8">
          <w:footerReference w:type="default" r:id="rId9"/>
          <w:footerReference w:type="first" r:id="rId10"/>
          <w:pgSz w:w="11906" w:h="16838"/>
          <w:pgMar w:top="1276" w:right="425" w:bottom="567" w:left="567" w:header="709" w:footer="737" w:gutter="0"/>
          <w:cols w:space="708"/>
          <w:titlePg/>
          <w:docGrid w:linePitch="360"/>
        </w:sectPr>
      </w:pPr>
    </w:p>
    <w:p w14:paraId="1A3B1839" w14:textId="77777777" w:rsidR="005814D8" w:rsidRPr="00026D43" w:rsidRDefault="005814D8" w:rsidP="005814D8">
      <w:r w:rsidRPr="00026D43">
        <w:lastRenderedPageBreak/>
        <w:t>To be eligible for th</w:t>
      </w:r>
      <w:r>
        <w:t>is</w:t>
      </w:r>
      <w:r w:rsidRPr="00026D43">
        <w:t xml:space="preserve"> program, </w:t>
      </w:r>
      <w:r>
        <w:t>operators</w:t>
      </w:r>
      <w:r w:rsidRPr="00026D43">
        <w:t xml:space="preserve"> must currently hold a contract for a rural school bus, urban fringe school bus, long distance school bus, rural fare paying, urban school bus or town bus service and:</w:t>
      </w:r>
    </w:p>
    <w:p w14:paraId="681D1247" w14:textId="77777777" w:rsidR="005814D8" w:rsidRPr="00026D43" w:rsidRDefault="005814D8" w:rsidP="005814D8">
      <w:pPr>
        <w:pStyle w:val="ListParagraph"/>
        <w:numPr>
          <w:ilvl w:val="0"/>
          <w:numId w:val="29"/>
        </w:numPr>
        <w:spacing w:after="0" w:line="240" w:lineRule="auto"/>
      </w:pPr>
      <w:r w:rsidRPr="00026D43">
        <w:t>that contract must be identified by State Growth as not being needed (i.e. not directly matched) or be matched to a closed tender process; and</w:t>
      </w:r>
    </w:p>
    <w:p w14:paraId="3E532A40" w14:textId="77777777" w:rsidR="005814D8" w:rsidRPr="00026D43" w:rsidRDefault="005814D8" w:rsidP="005814D8">
      <w:pPr>
        <w:pStyle w:val="ListParagraph"/>
        <w:numPr>
          <w:ilvl w:val="0"/>
          <w:numId w:val="29"/>
        </w:numPr>
        <w:spacing w:after="0" w:line="240" w:lineRule="auto"/>
      </w:pPr>
      <w:r w:rsidRPr="00026D43">
        <w:t>one or more of the following situations will need to apply:</w:t>
      </w:r>
    </w:p>
    <w:p w14:paraId="1788A7C7" w14:textId="77777777" w:rsidR="005814D8" w:rsidRPr="00026D43" w:rsidRDefault="005814D8" w:rsidP="005814D8">
      <w:pPr>
        <w:pStyle w:val="ListParagraph"/>
        <w:numPr>
          <w:ilvl w:val="1"/>
          <w:numId w:val="29"/>
        </w:numPr>
        <w:spacing w:after="0" w:line="240" w:lineRule="auto"/>
      </w:pPr>
      <w:r w:rsidRPr="00026D43">
        <w:t xml:space="preserve">the operator was not approached </w:t>
      </w:r>
      <w:r>
        <w:t xml:space="preserve">in 2017 </w:t>
      </w:r>
      <w:r w:rsidRPr="00026D43">
        <w:t>for an early exit for this contract, or</w:t>
      </w:r>
    </w:p>
    <w:p w14:paraId="70993E8E" w14:textId="77777777" w:rsidR="005814D8" w:rsidRPr="00026D43" w:rsidRDefault="005814D8" w:rsidP="005814D8">
      <w:pPr>
        <w:pStyle w:val="ListParagraph"/>
        <w:numPr>
          <w:ilvl w:val="1"/>
          <w:numId w:val="29"/>
        </w:numPr>
        <w:spacing w:after="0" w:line="240" w:lineRule="auto"/>
      </w:pPr>
      <w:r w:rsidRPr="00026D43">
        <w:t>the operator was approached for an early exit</w:t>
      </w:r>
      <w:r>
        <w:t xml:space="preserve"> in 2017</w:t>
      </w:r>
      <w:r w:rsidRPr="00026D43">
        <w:t>, and either:</w:t>
      </w:r>
    </w:p>
    <w:p w14:paraId="4201AF71" w14:textId="77777777" w:rsidR="005814D8" w:rsidRPr="00026D43" w:rsidRDefault="005814D8" w:rsidP="005814D8">
      <w:pPr>
        <w:pStyle w:val="ListParagraph"/>
        <w:numPr>
          <w:ilvl w:val="2"/>
          <w:numId w:val="29"/>
        </w:numPr>
        <w:spacing w:after="0" w:line="240" w:lineRule="auto"/>
      </w:pPr>
      <w:r w:rsidRPr="00026D43">
        <w:t>State Growth (not the operator) made the decision not to proceed with the early exit; or</w:t>
      </w:r>
    </w:p>
    <w:p w14:paraId="55B46495" w14:textId="77777777" w:rsidR="005814D8" w:rsidRPr="00026D43" w:rsidRDefault="005814D8" w:rsidP="005814D8">
      <w:pPr>
        <w:pStyle w:val="ListParagraph"/>
        <w:numPr>
          <w:ilvl w:val="2"/>
          <w:numId w:val="29"/>
        </w:numPr>
        <w:spacing w:after="0" w:line="240" w:lineRule="auto"/>
      </w:pPr>
      <w:r>
        <w:t>t</w:t>
      </w:r>
      <w:r w:rsidRPr="00026D43">
        <w:t>he operator did not accept the exit offer, but in State Growth’s view, there are significant mitigating reasons to justify why the operator did not take the early exit offer; and</w:t>
      </w:r>
    </w:p>
    <w:p w14:paraId="04837C81" w14:textId="77777777" w:rsidR="005814D8" w:rsidRPr="00026D43" w:rsidRDefault="005814D8" w:rsidP="005814D8">
      <w:pPr>
        <w:pStyle w:val="ListParagraph"/>
        <w:numPr>
          <w:ilvl w:val="0"/>
          <w:numId w:val="29"/>
        </w:numPr>
        <w:spacing w:after="0" w:line="240" w:lineRule="auto"/>
      </w:pPr>
      <w:r w:rsidRPr="00026D43">
        <w:t xml:space="preserve">if the contract is matched to a closed tender process, then the </w:t>
      </w:r>
      <w:r>
        <w:t>operator</w:t>
      </w:r>
      <w:r w:rsidRPr="00026D43">
        <w:t xml:space="preserve"> must accept the </w:t>
      </w:r>
      <w:r>
        <w:t xml:space="preserve">Transition Assistance </w:t>
      </w:r>
      <w:r w:rsidRPr="00026D43">
        <w:t xml:space="preserve">offer within seven days of the matching decision being published on </w:t>
      </w:r>
      <w:r>
        <w:t>State Growth’s</w:t>
      </w:r>
      <w:r w:rsidRPr="00026D43">
        <w:t xml:space="preserve"> website, or prior to the closed tender process being commenced, whichever is the latter; and </w:t>
      </w:r>
    </w:p>
    <w:p w14:paraId="434C0235" w14:textId="77777777" w:rsidR="005814D8" w:rsidRPr="00026D43" w:rsidRDefault="005814D8" w:rsidP="005814D8">
      <w:pPr>
        <w:pStyle w:val="ListParagraph"/>
        <w:numPr>
          <w:ilvl w:val="0"/>
          <w:numId w:val="29"/>
        </w:numPr>
        <w:spacing w:after="0" w:line="240" w:lineRule="auto"/>
      </w:pPr>
      <w:r w:rsidRPr="00026D43">
        <w:t>the operator must cooperate with, and facilitate, the change to the new bus service in 2019; and</w:t>
      </w:r>
    </w:p>
    <w:p w14:paraId="55FD7E93" w14:textId="77777777" w:rsidR="005814D8" w:rsidRPr="00026D43" w:rsidRDefault="005814D8" w:rsidP="005814D8">
      <w:pPr>
        <w:pStyle w:val="ListParagraph"/>
        <w:numPr>
          <w:ilvl w:val="0"/>
          <w:numId w:val="29"/>
        </w:numPr>
        <w:spacing w:after="0" w:line="240" w:lineRule="auto"/>
      </w:pPr>
      <w:r w:rsidRPr="00026D43">
        <w:t>there must be a net financial benefit with a payback period of less than one year for the government over the ‘do nothing’ case of recontracting the service, including the payment made to the operator; and</w:t>
      </w:r>
    </w:p>
    <w:p w14:paraId="78EDA6A4" w14:textId="77777777" w:rsidR="005814D8" w:rsidRPr="00026D43" w:rsidRDefault="005814D8" w:rsidP="005814D8">
      <w:pPr>
        <w:pStyle w:val="ListParagraph"/>
        <w:numPr>
          <w:ilvl w:val="0"/>
          <w:numId w:val="29"/>
        </w:numPr>
        <w:spacing w:after="0" w:line="240" w:lineRule="auto"/>
      </w:pPr>
      <w:proofErr w:type="gramStart"/>
      <w:r w:rsidRPr="00026D43">
        <w:t>where</w:t>
      </w:r>
      <w:proofErr w:type="gramEnd"/>
      <w:r w:rsidRPr="00026D43">
        <w:t xml:space="preserve"> a closed tender is involved, at least one operator must remain to provide the required services.</w:t>
      </w:r>
    </w:p>
    <w:p w14:paraId="501EC83B" w14:textId="77777777" w:rsidR="005814D8" w:rsidRPr="00026D43" w:rsidRDefault="005814D8" w:rsidP="005814D8">
      <w:pPr>
        <w:spacing w:before="120"/>
      </w:pPr>
      <w:r>
        <w:t>Please note that t</w:t>
      </w:r>
      <w:r w:rsidRPr="00026D43">
        <w:t>his is not an opt-in program.  Operators will be notified through the service redesign process if they are eligible for the assistance.</w:t>
      </w:r>
    </w:p>
    <w:p w14:paraId="47F45394" w14:textId="77777777" w:rsidR="005814D8" w:rsidRPr="00026D43" w:rsidRDefault="005814D8" w:rsidP="005814D8">
      <w:pPr>
        <w:rPr>
          <w:u w:val="single"/>
        </w:rPr>
      </w:pPr>
      <w:r w:rsidRPr="00026D43">
        <w:rPr>
          <w:u w:val="single"/>
        </w:rPr>
        <w:t>General Access Services Update</w:t>
      </w:r>
    </w:p>
    <w:p w14:paraId="03372DEF" w14:textId="77777777" w:rsidR="005814D8" w:rsidRPr="00026D43" w:rsidRDefault="005814D8" w:rsidP="005814D8">
      <w:r w:rsidRPr="00026D43">
        <w:t xml:space="preserve">The state-wide general access network has now been finalised, and all matching decisions have been published on the Department’s website, noting that the maps published on the website represent the general route/corridor that services will operate on.  </w:t>
      </w:r>
    </w:p>
    <w:p w14:paraId="76E9E324" w14:textId="77777777" w:rsidR="005814D8" w:rsidRPr="00026D43" w:rsidRDefault="005814D8" w:rsidP="005814D8">
      <w:r>
        <w:t xml:space="preserve">The </w:t>
      </w:r>
      <w:r w:rsidRPr="00026D43">
        <w:t xml:space="preserve">Project 2018 general access team has </w:t>
      </w:r>
      <w:r>
        <w:t xml:space="preserve">now </w:t>
      </w:r>
      <w:r w:rsidRPr="00026D43">
        <w:t xml:space="preserve">shifted its focus to working with bus operators to finalise changes to timetables and routes in preparation for a staged rollout </w:t>
      </w:r>
      <w:r>
        <w:t xml:space="preserve">of the network </w:t>
      </w:r>
      <w:r w:rsidRPr="00026D43">
        <w:t xml:space="preserve">in 2019. </w:t>
      </w:r>
    </w:p>
    <w:p w14:paraId="05BBDA90" w14:textId="77777777" w:rsidR="005814D8" w:rsidRPr="00026D43" w:rsidRDefault="005814D8" w:rsidP="005814D8">
      <w:r w:rsidRPr="00026D43">
        <w:t xml:space="preserve">The first stage of </w:t>
      </w:r>
      <w:r>
        <w:t>service</w:t>
      </w:r>
      <w:r w:rsidRPr="00026D43">
        <w:t xml:space="preserve"> rollout will </w:t>
      </w:r>
      <w:r>
        <w:t xml:space="preserve">occur </w:t>
      </w:r>
      <w:r w:rsidRPr="00026D43">
        <w:t>in the south</w:t>
      </w:r>
      <w:r>
        <w:t xml:space="preserve"> </w:t>
      </w:r>
      <w:r w:rsidRPr="00026D43">
        <w:t>in early 2019</w:t>
      </w:r>
      <w:r>
        <w:t>. T</w:t>
      </w:r>
      <w:r w:rsidRPr="00026D43">
        <w:t xml:space="preserve">he north and west coast </w:t>
      </w:r>
      <w:r>
        <w:t xml:space="preserve">services will be </w:t>
      </w:r>
      <w:r w:rsidRPr="00026D43">
        <w:t>rolled out in the first half of 2019</w:t>
      </w:r>
      <w:r>
        <w:t xml:space="preserve">, and </w:t>
      </w:r>
      <w:r w:rsidRPr="00026D43">
        <w:t xml:space="preserve">north-west </w:t>
      </w:r>
      <w:r>
        <w:t xml:space="preserve">services will be </w:t>
      </w:r>
      <w:r w:rsidRPr="00026D43">
        <w:t>mid-way through 2019.</w:t>
      </w:r>
    </w:p>
    <w:p w14:paraId="12BC81E2" w14:textId="77777777" w:rsidR="005814D8" w:rsidRPr="00026D43" w:rsidRDefault="005814D8" w:rsidP="005814D8">
      <w:r w:rsidRPr="00026D43">
        <w:t xml:space="preserve">The increased </w:t>
      </w:r>
      <w:r>
        <w:t xml:space="preserve">service </w:t>
      </w:r>
      <w:r w:rsidRPr="00026D43">
        <w:t xml:space="preserve">integration that underpins the new network brings with it opportunities to explore initiatives that enhance and promote </w:t>
      </w:r>
      <w:r>
        <w:t xml:space="preserve">integration at other levels, such as </w:t>
      </w:r>
      <w:r w:rsidRPr="00026D43">
        <w:t>an integrated set of public timetables, a single online source of timetable information</w:t>
      </w:r>
      <w:r>
        <w:t>,</w:t>
      </w:r>
      <w:r w:rsidRPr="00026D43">
        <w:t xml:space="preserve"> and an overarching brand that ties all operators and their brands together under a central integrated theme.</w:t>
      </w:r>
      <w:r>
        <w:t xml:space="preserve"> I</w:t>
      </w:r>
      <w:r w:rsidRPr="00026D43">
        <w:t xml:space="preserve">f implemented, </w:t>
      </w:r>
      <w:r>
        <w:t xml:space="preserve">these initiatives </w:t>
      </w:r>
      <w:r w:rsidRPr="00026D43">
        <w:t>will create consistency for passengers and will ultimately set the groundwork for introduction of a common ticketing system.</w:t>
      </w:r>
      <w:r>
        <w:t xml:space="preserve"> </w:t>
      </w:r>
      <w:r w:rsidRPr="00026D43">
        <w:t>The Project 2018 team will keep general access operators informed as they progress</w:t>
      </w:r>
      <w:r>
        <w:t xml:space="preserve"> these opportunities</w:t>
      </w:r>
      <w:r w:rsidRPr="00026D43">
        <w:t>.</w:t>
      </w:r>
    </w:p>
    <w:p w14:paraId="64CF7E16" w14:textId="77777777" w:rsidR="005814D8" w:rsidRPr="00026D43" w:rsidRDefault="005814D8" w:rsidP="00BA65E3">
      <w:pPr>
        <w:keepNext/>
      </w:pPr>
      <w:r w:rsidRPr="00026D43">
        <w:rPr>
          <w:u w:val="single"/>
        </w:rPr>
        <w:t>Contract and Funding Model Update</w:t>
      </w:r>
    </w:p>
    <w:p w14:paraId="0724FAAC" w14:textId="05A26B11" w:rsidR="005814D8" w:rsidRPr="00026D43" w:rsidRDefault="005814D8" w:rsidP="005814D8">
      <w:r w:rsidRPr="00026D43">
        <w:t xml:space="preserve">State Growth </w:t>
      </w:r>
      <w:r w:rsidR="00E516A2">
        <w:t xml:space="preserve">and </w:t>
      </w:r>
      <w:r>
        <w:t>the Tasmanian Bus Association (</w:t>
      </w:r>
      <w:proofErr w:type="spellStart"/>
      <w:r w:rsidRPr="00026D43">
        <w:t>Tasbus</w:t>
      </w:r>
      <w:proofErr w:type="spellEnd"/>
      <w:r>
        <w:t>)</w:t>
      </w:r>
      <w:r w:rsidRPr="00026D43">
        <w:t xml:space="preserve"> </w:t>
      </w:r>
      <w:r w:rsidR="00E516A2">
        <w:t>are in the final stages</w:t>
      </w:r>
      <w:r w:rsidRPr="00026D43">
        <w:t xml:space="preserve"> </w:t>
      </w:r>
      <w:r w:rsidR="00E516A2">
        <w:t>of negotiati</w:t>
      </w:r>
      <w:r w:rsidR="0086659D">
        <w:t>ng</w:t>
      </w:r>
      <w:r w:rsidR="00E516A2">
        <w:t xml:space="preserve"> the new contract and working through some final funding issues.  State Growth intends to commence</w:t>
      </w:r>
      <w:r w:rsidRPr="00026D43">
        <w:t xml:space="preserve"> </w:t>
      </w:r>
      <w:r w:rsidR="00E516A2">
        <w:t xml:space="preserve">contract offers </w:t>
      </w:r>
      <w:r w:rsidR="00FD37BA">
        <w:t>in November</w:t>
      </w:r>
      <w:r w:rsidRPr="00026D43">
        <w:t xml:space="preserve">.  </w:t>
      </w:r>
    </w:p>
    <w:p w14:paraId="30B14272" w14:textId="77777777" w:rsidR="005814D8" w:rsidRPr="00026D43" w:rsidRDefault="005814D8" w:rsidP="005814D8">
      <w:r w:rsidRPr="00026D43">
        <w:t xml:space="preserve">For school bus operators who are keen to calculate </w:t>
      </w:r>
      <w:r>
        <w:t>an</w:t>
      </w:r>
      <w:r w:rsidRPr="00026D43">
        <w:t xml:space="preserve"> estimate </w:t>
      </w:r>
      <w:r>
        <w:t xml:space="preserve">of their </w:t>
      </w:r>
      <w:r w:rsidRPr="00026D43">
        <w:t>future contract payments, (as a guide only)</w:t>
      </w:r>
      <w:r>
        <w:t>,</w:t>
      </w:r>
      <w:r w:rsidRPr="00026D43">
        <w:t xml:space="preserve"> State Growth has developed a spreadsheet calculator which allows you to enter your contract and vehicle information and derive an estimate of what you will be paid under the new contract.</w:t>
      </w:r>
    </w:p>
    <w:p w14:paraId="1B4EDE77" w14:textId="77777777" w:rsidR="005814D8" w:rsidRPr="00026D43" w:rsidRDefault="005814D8" w:rsidP="005814D8">
      <w:r w:rsidRPr="00026D43">
        <w:t xml:space="preserve">This model is a slightly simplified version of the school bus payment model.  It doesn’t deal with more complex contracting situations, but it will allow most operators to get a reasonable estimate of contract payments. </w:t>
      </w:r>
      <w:r>
        <w:t xml:space="preserve"> </w:t>
      </w:r>
    </w:p>
    <w:p w14:paraId="3BB946E9" w14:textId="77777777" w:rsidR="005814D8" w:rsidRPr="00026D43" w:rsidRDefault="005814D8" w:rsidP="005814D8">
      <w:r w:rsidRPr="00026D43">
        <w:t>Copies of this model will be sent to operators soon.</w:t>
      </w:r>
    </w:p>
    <w:p w14:paraId="4DE21DA7" w14:textId="77777777" w:rsidR="005814D8" w:rsidRPr="00026D43" w:rsidRDefault="005814D8" w:rsidP="005814D8">
      <w:pPr>
        <w:keepNext/>
      </w:pPr>
      <w:r w:rsidRPr="00026D43">
        <w:rPr>
          <w:u w:val="single"/>
        </w:rPr>
        <w:t>Closed Tender Process</w:t>
      </w:r>
    </w:p>
    <w:p w14:paraId="769874AB" w14:textId="77777777" w:rsidR="005814D8" w:rsidRPr="00026D43" w:rsidRDefault="005814D8" w:rsidP="005814D8">
      <w:r>
        <w:t>Project 2018 has</w:t>
      </w:r>
      <w:r w:rsidRPr="00026D43">
        <w:t xml:space="preserve"> received several enquiries about how closed tenders will be evaluated.  While not </w:t>
      </w:r>
      <w:r>
        <w:t xml:space="preserve">yet </w:t>
      </w:r>
      <w:r w:rsidRPr="00026D43">
        <w:t xml:space="preserve">in a position to publish the full criteria until the tender documentation is officially released and open for submissions, </w:t>
      </w:r>
      <w:r>
        <w:t xml:space="preserve">Project 2018 can </w:t>
      </w:r>
      <w:r w:rsidRPr="00026D43">
        <w:t>tell you that the broad criteria, and their weightings, are expected to be:</w:t>
      </w:r>
    </w:p>
    <w:p w14:paraId="51C0BEA1" w14:textId="77777777" w:rsidR="005814D8" w:rsidRPr="00026D43" w:rsidRDefault="005814D8" w:rsidP="005814D8">
      <w:pPr>
        <w:pStyle w:val="ListParagraph"/>
        <w:numPr>
          <w:ilvl w:val="0"/>
          <w:numId w:val="30"/>
        </w:numPr>
        <w:spacing w:after="0" w:line="240" w:lineRule="auto"/>
      </w:pPr>
      <w:r w:rsidRPr="00026D43">
        <w:lastRenderedPageBreak/>
        <w:t>Demonstrated Performance (30%)</w:t>
      </w:r>
    </w:p>
    <w:p w14:paraId="6A5DFFBA" w14:textId="77777777" w:rsidR="005814D8" w:rsidRPr="00026D43" w:rsidRDefault="005814D8" w:rsidP="005814D8">
      <w:pPr>
        <w:pStyle w:val="ListParagraph"/>
        <w:numPr>
          <w:ilvl w:val="0"/>
          <w:numId w:val="30"/>
        </w:numPr>
        <w:spacing w:after="0" w:line="240" w:lineRule="auto"/>
      </w:pPr>
      <w:r w:rsidRPr="00026D43">
        <w:t>Service Offering (25%)</w:t>
      </w:r>
    </w:p>
    <w:p w14:paraId="33286939" w14:textId="77777777" w:rsidR="005814D8" w:rsidRPr="00026D43" w:rsidRDefault="005814D8" w:rsidP="005814D8">
      <w:pPr>
        <w:pStyle w:val="ListParagraph"/>
        <w:numPr>
          <w:ilvl w:val="0"/>
          <w:numId w:val="30"/>
        </w:numPr>
        <w:spacing w:after="0" w:line="240" w:lineRule="auto"/>
      </w:pPr>
      <w:r w:rsidRPr="00026D43">
        <w:t>Capability (25%)</w:t>
      </w:r>
    </w:p>
    <w:p w14:paraId="305983B4" w14:textId="77777777" w:rsidR="005814D8" w:rsidRPr="00026D43" w:rsidRDefault="005814D8" w:rsidP="005814D8">
      <w:pPr>
        <w:pStyle w:val="ListParagraph"/>
        <w:numPr>
          <w:ilvl w:val="0"/>
          <w:numId w:val="30"/>
        </w:numPr>
        <w:spacing w:after="0" w:line="240" w:lineRule="auto"/>
      </w:pPr>
      <w:r w:rsidRPr="00026D43">
        <w:t>Price (20%)</w:t>
      </w:r>
    </w:p>
    <w:p w14:paraId="751E5B9E" w14:textId="77777777" w:rsidR="005814D8" w:rsidRPr="00026D43" w:rsidRDefault="005814D8" w:rsidP="005814D8">
      <w:pPr>
        <w:pStyle w:val="ListParagraph"/>
        <w:spacing w:after="0" w:line="240" w:lineRule="auto"/>
      </w:pPr>
    </w:p>
    <w:p w14:paraId="28ADA453" w14:textId="77777777" w:rsidR="005814D8" w:rsidRPr="00026D43" w:rsidRDefault="005814D8" w:rsidP="005814D8">
      <w:r w:rsidRPr="00026D43">
        <w:t>Any operator going into a closed tender should however closely review the tender documents provided and comply with those documents.</w:t>
      </w:r>
    </w:p>
    <w:p w14:paraId="2885DB98" w14:textId="77777777" w:rsidR="00F93032" w:rsidRDefault="00F93032" w:rsidP="00BA65E3">
      <w:pPr>
        <w:pStyle w:val="Heading1"/>
        <w:spacing w:before="360" w:after="120"/>
        <w:ind w:right="424"/>
        <w:jc w:val="both"/>
        <w:rPr>
          <w:color w:val="009999"/>
          <w:lang w:val="en-GB"/>
        </w:rPr>
      </w:pPr>
      <w:r>
        <w:rPr>
          <w:color w:val="009999"/>
          <w:lang w:val="en-GB"/>
        </w:rPr>
        <w:t>Accreditation</w:t>
      </w:r>
    </w:p>
    <w:p w14:paraId="32462F16" w14:textId="430CE70A" w:rsidR="00F93032" w:rsidRDefault="00F93032" w:rsidP="00F93032">
      <w:pPr>
        <w:spacing w:before="200" w:after="120"/>
      </w:pPr>
      <w:r>
        <w:t xml:space="preserve">The Transport Commission, the Department of State Growth and operators all want a safe passenger transport service so that the travelling public </w:t>
      </w:r>
      <w:r w:rsidR="00026C15">
        <w:t xml:space="preserve">can </w:t>
      </w:r>
      <w:r>
        <w:t>have confidence in Tasmania’s public passenger transport network.</w:t>
      </w:r>
    </w:p>
    <w:p w14:paraId="498922CD" w14:textId="77777777" w:rsidR="00F93032" w:rsidRDefault="00F93032" w:rsidP="00F93032">
      <w:pPr>
        <w:spacing w:before="200" w:after="120"/>
      </w:pPr>
      <w:r>
        <w:t>The purpose of passenger transport service operator accreditation is to ensure safety.  The Commission must be satisfied that the operator of a passenger transport service:</w:t>
      </w:r>
    </w:p>
    <w:p w14:paraId="2D08FB13" w14:textId="77777777" w:rsidR="00F93032" w:rsidRDefault="00F93032" w:rsidP="00F93032">
      <w:pPr>
        <w:pStyle w:val="ListParagraph"/>
        <w:numPr>
          <w:ilvl w:val="0"/>
          <w:numId w:val="27"/>
        </w:numPr>
        <w:spacing w:before="200" w:after="120"/>
      </w:pPr>
      <w:r>
        <w:t>is a fit and proper person to operate the service;</w:t>
      </w:r>
    </w:p>
    <w:p w14:paraId="4C94D142" w14:textId="77777777" w:rsidR="00F93032" w:rsidRDefault="00F93032" w:rsidP="00F93032">
      <w:pPr>
        <w:pStyle w:val="ListParagraph"/>
        <w:numPr>
          <w:ilvl w:val="0"/>
          <w:numId w:val="27"/>
        </w:numPr>
        <w:spacing w:before="200" w:after="120"/>
      </w:pPr>
      <w:r>
        <w:t>implements appropriate safety, security and related systems (Systems) for the service;</w:t>
      </w:r>
    </w:p>
    <w:p w14:paraId="042CA427" w14:textId="77777777" w:rsidR="00F93032" w:rsidRDefault="00F93032" w:rsidP="00F93032">
      <w:pPr>
        <w:pStyle w:val="ListParagraph"/>
        <w:numPr>
          <w:ilvl w:val="0"/>
          <w:numId w:val="27"/>
        </w:numPr>
        <w:spacing w:before="200" w:after="120"/>
      </w:pPr>
      <w:r>
        <w:t>has the requisite competence and capacity to manage the safety, security and related risks associated with operating the service; and</w:t>
      </w:r>
    </w:p>
    <w:p w14:paraId="3FA2111C" w14:textId="77777777" w:rsidR="00F93032" w:rsidRDefault="00F93032" w:rsidP="00F93032">
      <w:pPr>
        <w:pStyle w:val="ListParagraph"/>
        <w:numPr>
          <w:ilvl w:val="0"/>
          <w:numId w:val="27"/>
        </w:numPr>
        <w:spacing w:before="200" w:after="120"/>
      </w:pPr>
      <w:proofErr w:type="gramStart"/>
      <w:r>
        <w:t>is</w:t>
      </w:r>
      <w:proofErr w:type="gramEnd"/>
      <w:r>
        <w:t xml:space="preserve"> held accountable for any deficiencies in the safety, security or related performance of the service.</w:t>
      </w:r>
    </w:p>
    <w:p w14:paraId="477727B4" w14:textId="77777777" w:rsidR="00F93032" w:rsidRDefault="00F93032" w:rsidP="00F93032">
      <w:pPr>
        <w:spacing w:before="200" w:after="120"/>
      </w:pPr>
      <w:r>
        <w:t xml:space="preserve">When the Systems are not in place or the operator does not have the competence to manage the service, there is a risk that passengers, drivers and road users are exposed to danger by way of unsafe service, vehicle and/or driver. </w:t>
      </w:r>
    </w:p>
    <w:p w14:paraId="413AF7A3" w14:textId="77777777" w:rsidR="005814D8" w:rsidRDefault="00F93032" w:rsidP="00BA65E3">
      <w:pPr>
        <w:spacing w:before="200" w:after="120"/>
      </w:pPr>
      <w:r>
        <w:t>When there is information supporting that the Systems are not appropriate for the service, the Commission will take appropriate action, including steps to require that the Systems are improved.  If the Systems are not improved and the Commission is satisfied that there is a risk to the travelling public, then the Commission will respond with significant action.  This action can include the cancellation of an accreditation.  When an accreditation is cancelled, the passenger transport service is no longer able to operate.</w:t>
      </w:r>
    </w:p>
    <w:p w14:paraId="0E3AFA7D" w14:textId="77777777" w:rsidR="00F93032" w:rsidRDefault="00F93032" w:rsidP="00BA65E3">
      <w:pPr>
        <w:pStyle w:val="Heading1"/>
        <w:spacing w:before="360" w:after="120"/>
        <w:ind w:right="424"/>
        <w:jc w:val="both"/>
        <w:rPr>
          <w:color w:val="009999"/>
          <w:lang w:val="en-GB"/>
        </w:rPr>
      </w:pPr>
      <w:r>
        <w:rPr>
          <w:color w:val="009999"/>
          <w:lang w:val="en-GB"/>
        </w:rPr>
        <w:t>Accreditation certificate</w:t>
      </w:r>
    </w:p>
    <w:p w14:paraId="07A851D3" w14:textId="77777777" w:rsidR="00F93032" w:rsidRPr="00084ED9" w:rsidRDefault="00F93032" w:rsidP="00F93032">
      <w:pPr>
        <w:spacing w:before="200" w:after="120"/>
      </w:pPr>
      <w:r w:rsidRPr="00084ED9">
        <w:t xml:space="preserve">Accreditation certificates issued by the Transport Commission are very important.  They identify to passengers and enforcement officers that a vehicle </w:t>
      </w:r>
      <w:r>
        <w:t xml:space="preserve">and its driver are part of </w:t>
      </w:r>
      <w:r w:rsidRPr="00084ED9">
        <w:t>a</w:t>
      </w:r>
      <w:r>
        <w:t>n accredited</w:t>
      </w:r>
      <w:r w:rsidRPr="00084ED9">
        <w:t xml:space="preserve"> passenger transport service</w:t>
      </w:r>
      <w:r>
        <w:t xml:space="preserve"> and they</w:t>
      </w:r>
      <w:r w:rsidRPr="00084ED9">
        <w:t xml:space="preserve"> can expect that the safety, security and related systems are in place </w:t>
      </w:r>
      <w:r>
        <w:t>to ensure</w:t>
      </w:r>
      <w:r w:rsidRPr="00084ED9">
        <w:t xml:space="preserve"> the service </w:t>
      </w:r>
      <w:r>
        <w:t>is</w:t>
      </w:r>
      <w:r w:rsidRPr="00084ED9">
        <w:t xml:space="preserve"> safe.</w:t>
      </w:r>
      <w:r>
        <w:t xml:space="preserve">  Accreditation certificates don’t expire.</w:t>
      </w:r>
    </w:p>
    <w:p w14:paraId="5F57B8E8" w14:textId="7044E531" w:rsidR="00F93032" w:rsidRDefault="00091944" w:rsidP="00F93032">
      <w:pPr>
        <w:spacing w:before="200" w:after="120"/>
      </w:pPr>
      <w:r>
        <w:t>T</w:t>
      </w:r>
      <w:r w:rsidR="00F93032" w:rsidRPr="00084ED9">
        <w:t xml:space="preserve">he accreditation certificate is being </w:t>
      </w:r>
      <w:r>
        <w:t>redesigned</w:t>
      </w:r>
      <w:r w:rsidR="00F93032" w:rsidRPr="00084ED9">
        <w:t xml:space="preserve">. </w:t>
      </w:r>
      <w:r w:rsidR="00F93032">
        <w:t>The new certificate will</w:t>
      </w:r>
      <w:r w:rsidR="00F93032" w:rsidRPr="00084ED9">
        <w:t xml:space="preserve"> be issued when</w:t>
      </w:r>
      <w:r w:rsidR="00F93032">
        <w:t>:</w:t>
      </w:r>
    </w:p>
    <w:p w14:paraId="435D9165" w14:textId="77777777" w:rsidR="00F93032" w:rsidRDefault="00F93032" w:rsidP="00F93032">
      <w:pPr>
        <w:pStyle w:val="ListParagraph"/>
        <w:numPr>
          <w:ilvl w:val="0"/>
          <w:numId w:val="28"/>
        </w:numPr>
        <w:spacing w:before="200" w:after="120"/>
      </w:pPr>
      <w:r w:rsidRPr="00084ED9">
        <w:t xml:space="preserve">a new accreditation is </w:t>
      </w:r>
      <w:r>
        <w:t>approved; or</w:t>
      </w:r>
    </w:p>
    <w:p w14:paraId="779FA5DB" w14:textId="77777777" w:rsidR="00F93032" w:rsidRDefault="00F93032" w:rsidP="00F93032">
      <w:pPr>
        <w:pStyle w:val="ListParagraph"/>
        <w:numPr>
          <w:ilvl w:val="0"/>
          <w:numId w:val="28"/>
        </w:numPr>
        <w:spacing w:before="200" w:after="120"/>
      </w:pPr>
      <w:proofErr w:type="gramStart"/>
      <w:r>
        <w:t>an</w:t>
      </w:r>
      <w:proofErr w:type="gramEnd"/>
      <w:r>
        <w:t xml:space="preserve"> audit report or National Police Certificate (NPC) is submitted for an existing accreditation (in accordance with the conditions of</w:t>
      </w:r>
      <w:r w:rsidRPr="00084ED9">
        <w:t xml:space="preserve"> accreditation</w:t>
      </w:r>
      <w:r>
        <w:t>)</w:t>
      </w:r>
      <w:r w:rsidRPr="00084ED9">
        <w:t xml:space="preserve"> over the next three years.  </w:t>
      </w:r>
    </w:p>
    <w:p w14:paraId="42AABE6A" w14:textId="1E197A52" w:rsidR="00F93032" w:rsidRDefault="00F93032" w:rsidP="00F93032">
      <w:pPr>
        <w:spacing w:before="200" w:after="120"/>
      </w:pPr>
      <w:r>
        <w:t xml:space="preserve">The </w:t>
      </w:r>
      <w:r w:rsidRPr="00084ED9">
        <w:t xml:space="preserve">conditions that apply to the accreditation certificate will </w:t>
      </w:r>
      <w:r w:rsidR="00091944">
        <w:t xml:space="preserve">continue to </w:t>
      </w:r>
      <w:r>
        <w:t>be described on the certificate</w:t>
      </w:r>
      <w:r w:rsidRPr="00084ED9">
        <w:t xml:space="preserve">.  </w:t>
      </w:r>
    </w:p>
    <w:p w14:paraId="2B57CC17" w14:textId="0602B50A" w:rsidR="00F93032" w:rsidRDefault="00091944" w:rsidP="00F93032">
      <w:pPr>
        <w:spacing w:before="200" w:after="120"/>
      </w:pPr>
      <w:r>
        <w:t>Once issued, the redesigned certificates will not need to be replaced unless there is a change to the conditions of the accreditation</w:t>
      </w:r>
      <w:r w:rsidR="00F93032" w:rsidRPr="00084ED9">
        <w:t xml:space="preserve">.  </w:t>
      </w:r>
      <w:r w:rsidR="00F93032">
        <w:t xml:space="preserve"> </w:t>
      </w:r>
    </w:p>
    <w:p w14:paraId="65609F89" w14:textId="28BEB0F3" w:rsidR="00F93032" w:rsidRDefault="00F93032" w:rsidP="00F93032">
      <w:pPr>
        <w:spacing w:before="200" w:after="120"/>
      </w:pPr>
      <w:r w:rsidRPr="00084ED9">
        <w:t xml:space="preserve">The original of the accreditation certificate </w:t>
      </w:r>
      <w:r>
        <w:t>must</w:t>
      </w:r>
      <w:r w:rsidRPr="00084ED9">
        <w:t xml:space="preserve"> be kept with the </w:t>
      </w:r>
      <w:r>
        <w:t xml:space="preserve">accreditation </w:t>
      </w:r>
      <w:r w:rsidRPr="00084ED9">
        <w:t xml:space="preserve">records </w:t>
      </w:r>
      <w:r>
        <w:t>in accordance with the Accreditation Standards</w:t>
      </w:r>
      <w:r w:rsidRPr="00084ED9">
        <w:t xml:space="preserve">.  A copy of the certificate must be </w:t>
      </w:r>
      <w:r>
        <w:t>displayed prominently</w:t>
      </w:r>
      <w:r w:rsidRPr="00084ED9">
        <w:t xml:space="preserve"> in each vehicle that is use</w:t>
      </w:r>
      <w:r>
        <w:t>d for the Service</w:t>
      </w:r>
      <w:r w:rsidR="00091944">
        <w:t>,</w:t>
      </w:r>
    </w:p>
    <w:p w14:paraId="46D549B3" w14:textId="77777777" w:rsidR="00083A36" w:rsidRDefault="00083A36" w:rsidP="00083A36">
      <w:pPr>
        <w:pStyle w:val="Heading1"/>
        <w:spacing w:before="360" w:after="120"/>
        <w:ind w:right="424"/>
        <w:jc w:val="both"/>
        <w:rPr>
          <w:color w:val="009999"/>
          <w:lang w:val="en-GB"/>
        </w:rPr>
      </w:pPr>
      <w:r>
        <w:rPr>
          <w:color w:val="009999"/>
          <w:lang w:val="en-GB"/>
        </w:rPr>
        <w:lastRenderedPageBreak/>
        <w:t>Annual fuel card fees</w:t>
      </w:r>
    </w:p>
    <w:p w14:paraId="7F792653" w14:textId="77777777" w:rsidR="00083A36" w:rsidRDefault="00083A36" w:rsidP="00083A36">
      <w:pPr>
        <w:rPr>
          <w:lang w:val="en-GB"/>
        </w:rPr>
      </w:pPr>
      <w:r>
        <w:rPr>
          <w:lang w:val="en-GB"/>
        </w:rPr>
        <w:t xml:space="preserve">In October of each year, the </w:t>
      </w:r>
      <w:r w:rsidRPr="00AB6C5B">
        <w:rPr>
          <w:lang w:val="en-GB"/>
        </w:rPr>
        <w:t>Passenger Transport</w:t>
      </w:r>
      <w:r>
        <w:rPr>
          <w:lang w:val="en-GB"/>
        </w:rPr>
        <w:t xml:space="preserve"> Branch usually undertakes an audit of operator fuel cards ahead of charging the annual administration fee to users of the scheme in November.  This year, Passenger Transport has decided to hold off charging the annual administration fee until January 2019, after the signing of new contracts and the vehicle fleet is known.  Operators should consider their card requirements and make requests for new cards or card cancellations as soon as possible following the signing of new contracts.</w:t>
      </w:r>
    </w:p>
    <w:p w14:paraId="65C0373C" w14:textId="77777777" w:rsidR="00083A36" w:rsidRDefault="00083A36" w:rsidP="00083A36">
      <w:pPr>
        <w:rPr>
          <w:lang w:val="en-GB"/>
        </w:rPr>
      </w:pPr>
      <w:r>
        <w:rPr>
          <w:lang w:val="en-GB"/>
        </w:rPr>
        <w:t xml:space="preserve">The Bulk Fuel Purchase Scheme is a whole of government common use contract available for use by eligible organisations. Bus operators were provided access to the Scheme around 1992.  Access to the Scheme is limited to vehicles that are directly engaged in regular passenger transport services restricted to the carriage of students. The Scheme allows bus operators to access a discounted fuel price.  </w:t>
      </w:r>
    </w:p>
    <w:p w14:paraId="1A13E705" w14:textId="69A17525" w:rsidR="00083A36" w:rsidRPr="00AB6C5B" w:rsidRDefault="00083A36" w:rsidP="00083A36">
      <w:pPr>
        <w:rPr>
          <w:lang w:val="en-GB"/>
        </w:rPr>
      </w:pPr>
      <w:r>
        <w:rPr>
          <w:lang w:val="en-GB"/>
        </w:rPr>
        <w:t>Additionally, bus operators can access discounted fuel prices without using the Bulk Fuel Purchase Scheme. The Tasmanian Bus Association has advised that bus operators can get a similar price through a chain of fuel stations for its members, and larger operator</w:t>
      </w:r>
      <w:r w:rsidR="00026C15">
        <w:rPr>
          <w:lang w:val="en-GB"/>
        </w:rPr>
        <w:t>s</w:t>
      </w:r>
      <w:r>
        <w:rPr>
          <w:lang w:val="en-GB"/>
        </w:rPr>
        <w:t xml:space="preserve"> can get similar prices through direct negotiation.  </w:t>
      </w:r>
    </w:p>
    <w:p w14:paraId="089265B7" w14:textId="77777777" w:rsidR="005814D8" w:rsidRDefault="005814D8" w:rsidP="00BA65E3">
      <w:pPr>
        <w:pStyle w:val="Heading1"/>
        <w:spacing w:before="360" w:after="120"/>
        <w:ind w:right="424"/>
        <w:jc w:val="both"/>
        <w:rPr>
          <w:color w:val="009999"/>
          <w:lang w:val="en-GB"/>
        </w:rPr>
      </w:pPr>
      <w:r>
        <w:rPr>
          <w:color w:val="009999"/>
          <w:lang w:val="en-GB"/>
        </w:rPr>
        <w:t>Changes to the way you receive your monthly payment documents</w:t>
      </w:r>
    </w:p>
    <w:p w14:paraId="7354C81D" w14:textId="77777777" w:rsidR="005814D8" w:rsidRDefault="005814D8" w:rsidP="005814D8">
      <w:pPr>
        <w:keepNext/>
        <w:spacing w:after="120"/>
        <w:ind w:right="425"/>
        <w:rPr>
          <w:lang w:val="en-GB"/>
        </w:rPr>
      </w:pPr>
      <w:r>
        <w:rPr>
          <w:lang w:val="en-GB"/>
        </w:rPr>
        <w:t xml:space="preserve">Most operators currently receive their monthly payment documents via a single email with multiple attachments of different types.  The Passenger Transport Branch is enhancing the internal processes for production and distribution of the documentation associated with payments over the next few months. This means that you will now receive your payment information in a couple of emails instead of a single email. </w:t>
      </w:r>
    </w:p>
    <w:p w14:paraId="168DE7F0" w14:textId="7217FC02" w:rsidR="005814D8" w:rsidRDefault="005814D8" w:rsidP="005814D8">
      <w:pPr>
        <w:keepNext/>
        <w:spacing w:after="120"/>
        <w:ind w:right="425"/>
        <w:rPr>
          <w:lang w:val="en-GB"/>
        </w:rPr>
      </w:pPr>
      <w:r>
        <w:rPr>
          <w:lang w:val="en-GB"/>
        </w:rPr>
        <w:t>Commencing in November, the RCTI payment statement will be sent in an RCTI payment statement email. Following this will be a change so that Top-up statements and fuel use statements will be sent in separate, appropriately titled emails.  There will be no changes to the nature and content of the documents</w:t>
      </w:r>
      <w:r w:rsidR="00026C15">
        <w:rPr>
          <w:lang w:val="en-GB"/>
        </w:rPr>
        <w:t>,</w:t>
      </w:r>
      <w:r>
        <w:rPr>
          <w:lang w:val="en-GB"/>
        </w:rPr>
        <w:t xml:space="preserve"> just the delivery method.</w:t>
      </w:r>
    </w:p>
    <w:p w14:paraId="5D07AF23" w14:textId="7B405AA5" w:rsidR="005814D8" w:rsidRDefault="005814D8" w:rsidP="00BA65E3">
      <w:pPr>
        <w:keepNext/>
        <w:spacing w:after="120"/>
        <w:ind w:right="425"/>
        <w:rPr>
          <w:lang w:val="en-GB"/>
        </w:rPr>
      </w:pPr>
      <w:r w:rsidRPr="00196785">
        <w:rPr>
          <w:lang w:val="en-GB"/>
        </w:rPr>
        <w:t>The Passenger Transport Branch acknowledges that this will be less convenient for operators than receiving a single email. The decision to move to this model has not been made lightly. By way of an explanation, payment documents are derived from different business systems, and then manually collated into a single email. This takes considerable time</w:t>
      </w:r>
      <w:r w:rsidR="000F379C" w:rsidRPr="00196785">
        <w:rPr>
          <w:lang w:val="en-GB"/>
        </w:rPr>
        <w:t xml:space="preserve"> and comes with the risk that information is accidentally omitted or sent incorrectly</w:t>
      </w:r>
      <w:r w:rsidRPr="00196785">
        <w:rPr>
          <w:lang w:val="en-GB"/>
        </w:rPr>
        <w:t xml:space="preserve">. The new process will mean that each business system will automatically email </w:t>
      </w:r>
      <w:r w:rsidR="000F379C" w:rsidRPr="00196785">
        <w:rPr>
          <w:lang w:val="en-GB"/>
        </w:rPr>
        <w:t xml:space="preserve">the correct </w:t>
      </w:r>
      <w:r w:rsidRPr="00196785">
        <w:rPr>
          <w:lang w:val="en-GB"/>
        </w:rPr>
        <w:t>information to operators, which will free up valuable time to allow staff to respond to other operator queries.</w:t>
      </w:r>
    </w:p>
    <w:p w14:paraId="0AD6C076" w14:textId="77777777" w:rsidR="00297FFC" w:rsidRDefault="00297FFC" w:rsidP="00BA65E3">
      <w:pPr>
        <w:pStyle w:val="Heading1"/>
        <w:spacing w:before="360" w:after="120"/>
        <w:ind w:right="424"/>
        <w:jc w:val="both"/>
        <w:rPr>
          <w:color w:val="009999"/>
          <w:lang w:val="en-GB"/>
        </w:rPr>
      </w:pPr>
      <w:r>
        <w:rPr>
          <w:color w:val="009999"/>
          <w:lang w:val="en-GB"/>
        </w:rPr>
        <w:t xml:space="preserve">Bus cost model index (BCMI) </w:t>
      </w:r>
    </w:p>
    <w:p w14:paraId="6BA2342C" w14:textId="77777777" w:rsidR="00E743D4" w:rsidRPr="00297FFC" w:rsidRDefault="00297FFC" w:rsidP="00297FFC">
      <w:pPr>
        <w:spacing w:after="120"/>
        <w:rPr>
          <w:lang w:val="en-GB"/>
        </w:rPr>
      </w:pPr>
      <w:r>
        <w:rPr>
          <w:lang w:val="en-GB"/>
        </w:rPr>
        <w:t xml:space="preserve">The BCMI has been calculated for October 2018 and </w:t>
      </w:r>
      <w:r w:rsidRPr="00310766">
        <w:rPr>
          <w:lang w:val="en-GB"/>
        </w:rPr>
        <w:t xml:space="preserve">is </w:t>
      </w:r>
      <w:r w:rsidR="00310766" w:rsidRPr="00310766">
        <w:rPr>
          <w:lang w:val="en-GB"/>
        </w:rPr>
        <w:t>128.2</w:t>
      </w:r>
      <w:r w:rsidRPr="00310766">
        <w:rPr>
          <w:lang w:val="en-GB"/>
        </w:rPr>
        <w:t>.</w:t>
      </w:r>
    </w:p>
    <w:p w14:paraId="48B87CDC" w14:textId="77777777" w:rsidR="00297FFC" w:rsidRPr="00BA65E3" w:rsidRDefault="00297FFC" w:rsidP="00BA65E3">
      <w:pPr>
        <w:pStyle w:val="Heading1"/>
        <w:spacing w:before="360" w:after="120"/>
        <w:ind w:right="424"/>
        <w:jc w:val="both"/>
        <w:rPr>
          <w:color w:val="009999"/>
          <w:lang w:val="en-GB"/>
        </w:rPr>
      </w:pPr>
      <w:r>
        <w:rPr>
          <w:color w:val="009999"/>
          <w:lang w:val="en-GB"/>
        </w:rPr>
        <w:t>Capital rates</w:t>
      </w:r>
    </w:p>
    <w:p w14:paraId="689AEDF1" w14:textId="77777777" w:rsidR="00297FFC" w:rsidRDefault="00297FFC" w:rsidP="00297FFC">
      <w:pPr>
        <w:spacing w:after="0"/>
        <w:ind w:right="142"/>
        <w:jc w:val="both"/>
        <w:rPr>
          <w:lang w:val="en-GB"/>
        </w:rPr>
      </w:pPr>
      <w:r w:rsidRPr="00555E87">
        <w:rPr>
          <w:lang w:val="en-GB"/>
        </w:rPr>
        <w:t xml:space="preserve">The </w:t>
      </w:r>
      <w:r>
        <w:rPr>
          <w:lang w:val="en-GB"/>
        </w:rPr>
        <w:t>c</w:t>
      </w:r>
      <w:r w:rsidRPr="00555E87">
        <w:rPr>
          <w:lang w:val="en-GB"/>
        </w:rPr>
        <w:t xml:space="preserve">apital rates </w:t>
      </w:r>
      <w:r w:rsidR="005B36AE">
        <w:rPr>
          <w:lang w:val="en-GB"/>
        </w:rPr>
        <w:t>have been calculated for the quarter commencing October 2018.</w:t>
      </w:r>
      <w:r>
        <w:rPr>
          <w:lang w:val="en-GB"/>
        </w:rPr>
        <w:t xml:space="preserve"> </w:t>
      </w:r>
      <w:r w:rsidRPr="008F154C">
        <w:rPr>
          <w:lang w:val="en-GB"/>
        </w:rPr>
        <w:t xml:space="preserve">Please consider </w:t>
      </w:r>
      <w:r w:rsidRPr="00555E87">
        <w:rPr>
          <w:lang w:val="en-GB"/>
        </w:rPr>
        <w:t xml:space="preserve">these rates before </w:t>
      </w:r>
      <w:r>
        <w:rPr>
          <w:lang w:val="en-GB"/>
        </w:rPr>
        <w:t xml:space="preserve">requesting bus </w:t>
      </w:r>
      <w:r w:rsidRPr="00555E87">
        <w:rPr>
          <w:lang w:val="en-GB"/>
        </w:rPr>
        <w:t xml:space="preserve">changes </w:t>
      </w:r>
      <w:r>
        <w:rPr>
          <w:lang w:val="en-GB"/>
        </w:rPr>
        <w:t>on</w:t>
      </w:r>
      <w:r w:rsidRPr="00555E87">
        <w:rPr>
          <w:lang w:val="en-GB"/>
        </w:rPr>
        <w:t xml:space="preserve"> your contract.</w:t>
      </w:r>
    </w:p>
    <w:p w14:paraId="1AA73794" w14:textId="77777777" w:rsidR="00297FFC" w:rsidRDefault="00297FFC" w:rsidP="00297FFC">
      <w:pPr>
        <w:spacing w:after="0"/>
        <w:ind w:right="142"/>
        <w:jc w:val="both"/>
        <w:rPr>
          <w:lang w:val="en-GB"/>
        </w:rPr>
      </w:pPr>
    </w:p>
    <w:tbl>
      <w:tblPr>
        <w:tblStyle w:val="List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701"/>
        <w:gridCol w:w="1701"/>
      </w:tblGrid>
      <w:tr w:rsidR="005B36AE" w:rsidRPr="00066EDD" w14:paraId="4368EA53" w14:textId="77777777" w:rsidTr="005B36AE">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1C0BFA5D" w14:textId="77777777" w:rsidR="005B36AE" w:rsidRPr="00FD7296" w:rsidRDefault="005B36AE" w:rsidP="00B02399">
            <w:pPr>
              <w:rPr>
                <w:b w:val="0"/>
                <w:color w:val="009999"/>
                <w:lang w:val="en-GB"/>
              </w:rPr>
            </w:pPr>
            <w:r w:rsidRPr="00FD7296">
              <w:rPr>
                <w:b w:val="0"/>
                <w:color w:val="009999"/>
                <w:lang w:val="en-GB"/>
              </w:rPr>
              <w:t>Contract Type</w:t>
            </w:r>
          </w:p>
        </w:tc>
        <w:tc>
          <w:tcPr>
            <w:tcW w:w="1701" w:type="dxa"/>
            <w:vAlign w:val="center"/>
          </w:tcPr>
          <w:p w14:paraId="12909436" w14:textId="77777777" w:rsidR="005B36AE" w:rsidRPr="00E02D0D" w:rsidRDefault="005B36AE" w:rsidP="00B02399">
            <w:pPr>
              <w:jc w:val="center"/>
              <w:cnfStyle w:val="100000000000" w:firstRow="1" w:lastRow="0" w:firstColumn="0" w:lastColumn="0" w:oddVBand="0" w:evenVBand="0" w:oddHBand="0" w:evenHBand="0" w:firstRowFirstColumn="0" w:firstRowLastColumn="0" w:lastRowFirstColumn="0" w:lastRowLastColumn="0"/>
              <w:rPr>
                <w:b w:val="0"/>
                <w:color w:val="009999"/>
                <w:lang w:val="en-GB"/>
              </w:rPr>
            </w:pPr>
            <w:r w:rsidRPr="00E02D0D">
              <w:rPr>
                <w:b w:val="0"/>
                <w:color w:val="009999"/>
                <w:lang w:val="en-GB"/>
              </w:rPr>
              <w:t>July</w:t>
            </w:r>
            <w:r w:rsidRPr="00E02D0D">
              <w:rPr>
                <w:color w:val="009999"/>
                <w:lang w:val="en-GB"/>
              </w:rPr>
              <w:t xml:space="preserve"> 2018</w:t>
            </w:r>
          </w:p>
        </w:tc>
        <w:tc>
          <w:tcPr>
            <w:tcW w:w="1701" w:type="dxa"/>
            <w:vAlign w:val="center"/>
          </w:tcPr>
          <w:p w14:paraId="4F928799" w14:textId="77777777" w:rsidR="005B36AE" w:rsidRPr="005B36AE" w:rsidRDefault="005B36AE" w:rsidP="00B02399">
            <w:pPr>
              <w:jc w:val="center"/>
              <w:cnfStyle w:val="100000000000" w:firstRow="1" w:lastRow="0" w:firstColumn="0" w:lastColumn="0" w:oddVBand="0" w:evenVBand="0" w:oddHBand="0" w:evenHBand="0" w:firstRowFirstColumn="0" w:firstRowLastColumn="0" w:lastRowFirstColumn="0" w:lastRowLastColumn="0"/>
              <w:rPr>
                <w:b w:val="0"/>
                <w:color w:val="009999"/>
                <w:lang w:val="en-GB"/>
              </w:rPr>
            </w:pPr>
            <w:r w:rsidRPr="005B36AE">
              <w:rPr>
                <w:b w:val="0"/>
                <w:color w:val="009999"/>
                <w:lang w:val="en-GB"/>
              </w:rPr>
              <w:t xml:space="preserve">October </w:t>
            </w:r>
            <w:r w:rsidRPr="005B36AE">
              <w:rPr>
                <w:color w:val="009999"/>
                <w:lang w:val="en-GB"/>
              </w:rPr>
              <w:t>2018</w:t>
            </w:r>
          </w:p>
        </w:tc>
      </w:tr>
      <w:tr w:rsidR="00310766" w:rsidRPr="00066EDD" w14:paraId="3B7DEB94" w14:textId="77777777" w:rsidTr="00B76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7" w:type="dxa"/>
            <w:shd w:val="clear" w:color="auto" w:fill="BDD6EE" w:themeFill="accent1" w:themeFillTint="66"/>
            <w:vAlign w:val="center"/>
          </w:tcPr>
          <w:p w14:paraId="2AF241A7" w14:textId="77777777" w:rsidR="00310766" w:rsidRPr="00FD7296" w:rsidRDefault="00310766" w:rsidP="00310766">
            <w:pPr>
              <w:rPr>
                <w:b w:val="0"/>
                <w:lang w:val="en-GB"/>
              </w:rPr>
            </w:pPr>
            <w:r w:rsidRPr="00FD7296">
              <w:rPr>
                <w:b w:val="0"/>
                <w:lang w:val="en-GB"/>
              </w:rPr>
              <w:t>Urban Fringe Student Only</w:t>
            </w:r>
          </w:p>
        </w:tc>
        <w:tc>
          <w:tcPr>
            <w:tcW w:w="1701" w:type="dxa"/>
            <w:tcBorders>
              <w:top w:val="single" w:sz="4" w:space="0" w:color="auto"/>
              <w:left w:val="single" w:sz="4" w:space="0" w:color="auto"/>
              <w:right w:val="single" w:sz="4" w:space="0" w:color="auto"/>
            </w:tcBorders>
            <w:shd w:val="clear" w:color="auto" w:fill="BDD6EE" w:themeFill="accent1" w:themeFillTint="66"/>
            <w:vAlign w:val="center"/>
          </w:tcPr>
          <w:p w14:paraId="2ACD72CB" w14:textId="77777777" w:rsidR="00310766" w:rsidRPr="00E02D0D" w:rsidRDefault="00310766" w:rsidP="00310766">
            <w:pPr>
              <w:jc w:val="center"/>
              <w:cnfStyle w:val="000000100000" w:firstRow="0" w:lastRow="0" w:firstColumn="0" w:lastColumn="0" w:oddVBand="0" w:evenVBand="0" w:oddHBand="1" w:evenHBand="0" w:firstRowFirstColumn="0" w:firstRowLastColumn="0" w:lastRowFirstColumn="0" w:lastRowLastColumn="0"/>
              <w:rPr>
                <w:lang w:val="en-GB"/>
              </w:rPr>
            </w:pPr>
            <w:r w:rsidRPr="00E02D0D">
              <w:rPr>
                <w:lang w:val="en-GB"/>
              </w:rPr>
              <w:t>$1.01</w:t>
            </w:r>
          </w:p>
        </w:tc>
        <w:tc>
          <w:tcPr>
            <w:tcW w:w="1701" w:type="dxa"/>
            <w:tcBorders>
              <w:top w:val="single" w:sz="4" w:space="0" w:color="auto"/>
              <w:left w:val="single" w:sz="4" w:space="0" w:color="auto"/>
              <w:right w:val="single" w:sz="4" w:space="0" w:color="auto"/>
            </w:tcBorders>
            <w:shd w:val="clear" w:color="auto" w:fill="BDD6EE" w:themeFill="accent1" w:themeFillTint="66"/>
            <w:vAlign w:val="center"/>
          </w:tcPr>
          <w:p w14:paraId="26B9A865" w14:textId="77777777" w:rsidR="00310766" w:rsidRPr="00E02D0D" w:rsidRDefault="00310766" w:rsidP="00310766">
            <w:pPr>
              <w:jc w:val="center"/>
              <w:cnfStyle w:val="000000100000" w:firstRow="0" w:lastRow="0" w:firstColumn="0" w:lastColumn="0" w:oddVBand="0" w:evenVBand="0" w:oddHBand="1" w:evenHBand="0" w:firstRowFirstColumn="0" w:firstRowLastColumn="0" w:lastRowFirstColumn="0" w:lastRowLastColumn="0"/>
              <w:rPr>
                <w:lang w:val="en-GB"/>
              </w:rPr>
            </w:pPr>
            <w:r w:rsidRPr="00E02D0D">
              <w:rPr>
                <w:lang w:val="en-GB"/>
              </w:rPr>
              <w:t>$1.01</w:t>
            </w:r>
          </w:p>
        </w:tc>
      </w:tr>
      <w:tr w:rsidR="00310766" w:rsidRPr="00066EDD" w14:paraId="5BD093DA" w14:textId="77777777" w:rsidTr="00B7680D">
        <w:trPr>
          <w:trHeight w:val="300"/>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68C37224" w14:textId="77777777" w:rsidR="00310766" w:rsidRPr="00FD7296" w:rsidRDefault="00310766" w:rsidP="00310766">
            <w:pPr>
              <w:rPr>
                <w:b w:val="0"/>
                <w:i/>
                <w:lang w:val="en-GB"/>
              </w:rPr>
            </w:pPr>
            <w:r w:rsidRPr="00FD7296">
              <w:rPr>
                <w:b w:val="0"/>
                <w:lang w:val="en-GB"/>
              </w:rPr>
              <w:t>Rural Fare Paying</w:t>
            </w:r>
          </w:p>
        </w:tc>
        <w:tc>
          <w:tcPr>
            <w:tcW w:w="1701" w:type="dxa"/>
            <w:tcBorders>
              <w:left w:val="single" w:sz="4" w:space="0" w:color="auto"/>
              <w:right w:val="single" w:sz="4" w:space="0" w:color="auto"/>
            </w:tcBorders>
            <w:vAlign w:val="center"/>
          </w:tcPr>
          <w:p w14:paraId="2CFEC611" w14:textId="77777777" w:rsidR="00310766" w:rsidRPr="00E02D0D" w:rsidRDefault="00310766" w:rsidP="00310766">
            <w:pPr>
              <w:jc w:val="center"/>
              <w:cnfStyle w:val="000000000000" w:firstRow="0" w:lastRow="0" w:firstColumn="0" w:lastColumn="0" w:oddVBand="0" w:evenVBand="0" w:oddHBand="0" w:evenHBand="0" w:firstRowFirstColumn="0" w:firstRowLastColumn="0" w:lastRowFirstColumn="0" w:lastRowLastColumn="0"/>
              <w:rPr>
                <w:lang w:val="en-GB"/>
              </w:rPr>
            </w:pPr>
            <w:r w:rsidRPr="00E02D0D">
              <w:rPr>
                <w:lang w:val="en-GB"/>
              </w:rPr>
              <w:t>$1.01</w:t>
            </w:r>
          </w:p>
        </w:tc>
        <w:tc>
          <w:tcPr>
            <w:tcW w:w="1701" w:type="dxa"/>
            <w:tcBorders>
              <w:left w:val="single" w:sz="4" w:space="0" w:color="auto"/>
              <w:right w:val="single" w:sz="4" w:space="0" w:color="auto"/>
            </w:tcBorders>
            <w:vAlign w:val="center"/>
          </w:tcPr>
          <w:p w14:paraId="45013EBC" w14:textId="77777777" w:rsidR="00310766" w:rsidRPr="00E02D0D" w:rsidRDefault="00310766" w:rsidP="00310766">
            <w:pPr>
              <w:jc w:val="center"/>
              <w:cnfStyle w:val="000000000000" w:firstRow="0" w:lastRow="0" w:firstColumn="0" w:lastColumn="0" w:oddVBand="0" w:evenVBand="0" w:oddHBand="0" w:evenHBand="0" w:firstRowFirstColumn="0" w:firstRowLastColumn="0" w:lastRowFirstColumn="0" w:lastRowLastColumn="0"/>
              <w:rPr>
                <w:lang w:val="en-GB"/>
              </w:rPr>
            </w:pPr>
            <w:r w:rsidRPr="00E02D0D">
              <w:rPr>
                <w:lang w:val="en-GB"/>
              </w:rPr>
              <w:t>$1.01</w:t>
            </w:r>
          </w:p>
        </w:tc>
      </w:tr>
      <w:tr w:rsidR="00310766" w:rsidRPr="00066EDD" w14:paraId="068F735B" w14:textId="77777777" w:rsidTr="00B76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7" w:type="dxa"/>
            <w:shd w:val="clear" w:color="auto" w:fill="BDD6EE" w:themeFill="accent1" w:themeFillTint="66"/>
            <w:vAlign w:val="center"/>
          </w:tcPr>
          <w:p w14:paraId="6BC4FF10" w14:textId="77777777" w:rsidR="00310766" w:rsidRPr="00FD7296" w:rsidRDefault="00310766" w:rsidP="00310766">
            <w:pPr>
              <w:rPr>
                <w:b w:val="0"/>
                <w:lang w:val="en-GB"/>
              </w:rPr>
            </w:pPr>
            <w:r w:rsidRPr="00FD7296">
              <w:rPr>
                <w:b w:val="0"/>
                <w:lang w:val="en-GB"/>
              </w:rPr>
              <w:t>Long Distance Student Only</w:t>
            </w:r>
          </w:p>
        </w:tc>
        <w:tc>
          <w:tcPr>
            <w:tcW w:w="1701" w:type="dxa"/>
            <w:tcBorders>
              <w:left w:val="single" w:sz="4" w:space="0" w:color="auto"/>
              <w:right w:val="single" w:sz="4" w:space="0" w:color="auto"/>
            </w:tcBorders>
            <w:shd w:val="clear" w:color="auto" w:fill="BDD6EE" w:themeFill="accent1" w:themeFillTint="66"/>
            <w:vAlign w:val="center"/>
          </w:tcPr>
          <w:p w14:paraId="7F7A0617" w14:textId="77777777" w:rsidR="00310766" w:rsidRPr="00E02D0D" w:rsidRDefault="00310766" w:rsidP="00310766">
            <w:pPr>
              <w:jc w:val="center"/>
              <w:cnfStyle w:val="000000100000" w:firstRow="0" w:lastRow="0" w:firstColumn="0" w:lastColumn="0" w:oddVBand="0" w:evenVBand="0" w:oddHBand="1" w:evenHBand="0" w:firstRowFirstColumn="0" w:firstRowLastColumn="0" w:lastRowFirstColumn="0" w:lastRowLastColumn="0"/>
              <w:rPr>
                <w:lang w:val="en-GB"/>
              </w:rPr>
            </w:pPr>
            <w:r w:rsidRPr="00E02D0D">
              <w:rPr>
                <w:lang w:val="en-GB"/>
              </w:rPr>
              <w:t>$1.01</w:t>
            </w:r>
          </w:p>
        </w:tc>
        <w:tc>
          <w:tcPr>
            <w:tcW w:w="1701" w:type="dxa"/>
            <w:tcBorders>
              <w:left w:val="single" w:sz="4" w:space="0" w:color="auto"/>
              <w:right w:val="single" w:sz="4" w:space="0" w:color="auto"/>
            </w:tcBorders>
            <w:shd w:val="clear" w:color="auto" w:fill="BDD6EE" w:themeFill="accent1" w:themeFillTint="66"/>
            <w:vAlign w:val="center"/>
          </w:tcPr>
          <w:p w14:paraId="0748952C" w14:textId="77777777" w:rsidR="00310766" w:rsidRPr="00E02D0D" w:rsidRDefault="00310766" w:rsidP="00310766">
            <w:pPr>
              <w:jc w:val="center"/>
              <w:cnfStyle w:val="000000100000" w:firstRow="0" w:lastRow="0" w:firstColumn="0" w:lastColumn="0" w:oddVBand="0" w:evenVBand="0" w:oddHBand="1" w:evenHBand="0" w:firstRowFirstColumn="0" w:firstRowLastColumn="0" w:lastRowFirstColumn="0" w:lastRowLastColumn="0"/>
              <w:rPr>
                <w:lang w:val="en-GB"/>
              </w:rPr>
            </w:pPr>
            <w:r w:rsidRPr="00E02D0D">
              <w:rPr>
                <w:lang w:val="en-GB"/>
              </w:rPr>
              <w:t>$1.01</w:t>
            </w:r>
          </w:p>
        </w:tc>
      </w:tr>
      <w:tr w:rsidR="00310766" w:rsidRPr="00066EDD" w14:paraId="6B9CBAFB" w14:textId="77777777" w:rsidTr="00B7680D">
        <w:trPr>
          <w:trHeight w:val="300"/>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484930A4" w14:textId="77777777" w:rsidR="00310766" w:rsidRPr="00FD7296" w:rsidRDefault="00310766" w:rsidP="00310766">
            <w:pPr>
              <w:rPr>
                <w:b w:val="0"/>
                <w:lang w:val="en-GB"/>
              </w:rPr>
            </w:pPr>
            <w:r w:rsidRPr="00FD7296">
              <w:rPr>
                <w:b w:val="0"/>
                <w:lang w:val="en-GB"/>
              </w:rPr>
              <w:t>Long Distance General Access</w:t>
            </w:r>
          </w:p>
        </w:tc>
        <w:tc>
          <w:tcPr>
            <w:tcW w:w="1701" w:type="dxa"/>
            <w:tcBorders>
              <w:left w:val="single" w:sz="4" w:space="0" w:color="auto"/>
              <w:right w:val="single" w:sz="4" w:space="0" w:color="auto"/>
            </w:tcBorders>
            <w:vAlign w:val="center"/>
          </w:tcPr>
          <w:p w14:paraId="3ADBE177" w14:textId="77777777" w:rsidR="00310766" w:rsidRPr="00E02D0D" w:rsidRDefault="00310766" w:rsidP="00310766">
            <w:pPr>
              <w:jc w:val="center"/>
              <w:cnfStyle w:val="000000000000" w:firstRow="0" w:lastRow="0" w:firstColumn="0" w:lastColumn="0" w:oddVBand="0" w:evenVBand="0" w:oddHBand="0" w:evenHBand="0" w:firstRowFirstColumn="0" w:firstRowLastColumn="0" w:lastRowFirstColumn="0" w:lastRowLastColumn="0"/>
              <w:rPr>
                <w:lang w:val="en-GB"/>
              </w:rPr>
            </w:pPr>
            <w:r w:rsidRPr="00E02D0D">
              <w:rPr>
                <w:lang w:val="en-GB"/>
              </w:rPr>
              <w:t>$2.91</w:t>
            </w:r>
          </w:p>
        </w:tc>
        <w:tc>
          <w:tcPr>
            <w:tcW w:w="1701" w:type="dxa"/>
            <w:tcBorders>
              <w:left w:val="single" w:sz="4" w:space="0" w:color="auto"/>
              <w:right w:val="single" w:sz="4" w:space="0" w:color="auto"/>
            </w:tcBorders>
            <w:vAlign w:val="center"/>
          </w:tcPr>
          <w:p w14:paraId="20655C90" w14:textId="77777777" w:rsidR="00310766" w:rsidRPr="00E02D0D" w:rsidRDefault="00310766" w:rsidP="00310766">
            <w:pPr>
              <w:jc w:val="center"/>
              <w:cnfStyle w:val="000000000000" w:firstRow="0" w:lastRow="0" w:firstColumn="0" w:lastColumn="0" w:oddVBand="0" w:evenVBand="0" w:oddHBand="0" w:evenHBand="0" w:firstRowFirstColumn="0" w:firstRowLastColumn="0" w:lastRowFirstColumn="0" w:lastRowLastColumn="0"/>
              <w:rPr>
                <w:lang w:val="en-GB"/>
              </w:rPr>
            </w:pPr>
            <w:r w:rsidRPr="00E02D0D">
              <w:rPr>
                <w:lang w:val="en-GB"/>
              </w:rPr>
              <w:t>$2.91</w:t>
            </w:r>
          </w:p>
        </w:tc>
      </w:tr>
      <w:tr w:rsidR="00310766" w:rsidRPr="00066EDD" w14:paraId="2EB9D3C4" w14:textId="77777777" w:rsidTr="00B76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7" w:type="dxa"/>
            <w:shd w:val="clear" w:color="auto" w:fill="BDD6EE" w:themeFill="accent1" w:themeFillTint="66"/>
            <w:vAlign w:val="center"/>
          </w:tcPr>
          <w:p w14:paraId="76BE11A3" w14:textId="77777777" w:rsidR="00310766" w:rsidRPr="00FD7296" w:rsidRDefault="00310766" w:rsidP="00310766">
            <w:pPr>
              <w:rPr>
                <w:b w:val="0"/>
                <w:lang w:val="en-GB"/>
              </w:rPr>
            </w:pPr>
            <w:r w:rsidRPr="00FD7296">
              <w:rPr>
                <w:b w:val="0"/>
                <w:lang w:val="en-GB"/>
              </w:rPr>
              <w:t>Urban Fringe General Access</w:t>
            </w:r>
          </w:p>
        </w:tc>
        <w:tc>
          <w:tcPr>
            <w:tcW w:w="1701" w:type="dxa"/>
            <w:tcBorders>
              <w:left w:val="single" w:sz="4" w:space="0" w:color="auto"/>
              <w:right w:val="single" w:sz="4" w:space="0" w:color="auto"/>
            </w:tcBorders>
            <w:shd w:val="clear" w:color="auto" w:fill="BDD6EE" w:themeFill="accent1" w:themeFillTint="66"/>
            <w:vAlign w:val="center"/>
          </w:tcPr>
          <w:p w14:paraId="74B78E20" w14:textId="77777777" w:rsidR="00310766" w:rsidRPr="00E02D0D" w:rsidRDefault="00310766" w:rsidP="00310766">
            <w:pPr>
              <w:jc w:val="center"/>
              <w:cnfStyle w:val="000000100000" w:firstRow="0" w:lastRow="0" w:firstColumn="0" w:lastColumn="0" w:oddVBand="0" w:evenVBand="0" w:oddHBand="1" w:evenHBand="0" w:firstRowFirstColumn="0" w:firstRowLastColumn="0" w:lastRowFirstColumn="0" w:lastRowLastColumn="0"/>
              <w:rPr>
                <w:lang w:val="en-GB"/>
              </w:rPr>
            </w:pPr>
            <w:r w:rsidRPr="00E02D0D">
              <w:rPr>
                <w:lang w:val="en-GB"/>
              </w:rPr>
              <w:t>$2.91</w:t>
            </w:r>
          </w:p>
        </w:tc>
        <w:tc>
          <w:tcPr>
            <w:tcW w:w="1701" w:type="dxa"/>
            <w:tcBorders>
              <w:left w:val="single" w:sz="4" w:space="0" w:color="auto"/>
              <w:right w:val="single" w:sz="4" w:space="0" w:color="auto"/>
            </w:tcBorders>
            <w:shd w:val="clear" w:color="auto" w:fill="BDD6EE" w:themeFill="accent1" w:themeFillTint="66"/>
            <w:vAlign w:val="center"/>
          </w:tcPr>
          <w:p w14:paraId="40D461D4" w14:textId="77777777" w:rsidR="00310766" w:rsidRPr="00E02D0D" w:rsidRDefault="00310766" w:rsidP="00310766">
            <w:pPr>
              <w:jc w:val="center"/>
              <w:cnfStyle w:val="000000100000" w:firstRow="0" w:lastRow="0" w:firstColumn="0" w:lastColumn="0" w:oddVBand="0" w:evenVBand="0" w:oddHBand="1" w:evenHBand="0" w:firstRowFirstColumn="0" w:firstRowLastColumn="0" w:lastRowFirstColumn="0" w:lastRowLastColumn="0"/>
              <w:rPr>
                <w:lang w:val="en-GB"/>
              </w:rPr>
            </w:pPr>
            <w:r w:rsidRPr="00E02D0D">
              <w:rPr>
                <w:lang w:val="en-GB"/>
              </w:rPr>
              <w:t>$2.91</w:t>
            </w:r>
          </w:p>
        </w:tc>
      </w:tr>
      <w:tr w:rsidR="00310766" w:rsidRPr="00066EDD" w14:paraId="328B0DA4" w14:textId="77777777" w:rsidTr="00B7680D">
        <w:trPr>
          <w:trHeight w:val="300"/>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29FDC033" w14:textId="77777777" w:rsidR="00310766" w:rsidRPr="00FD7296" w:rsidRDefault="00310766" w:rsidP="00310766">
            <w:pPr>
              <w:rPr>
                <w:b w:val="0"/>
                <w:lang w:val="en-GB"/>
              </w:rPr>
            </w:pPr>
            <w:r w:rsidRPr="00FD7296">
              <w:rPr>
                <w:b w:val="0"/>
                <w:lang w:val="en-GB"/>
              </w:rPr>
              <w:t>Urban</w:t>
            </w:r>
          </w:p>
        </w:tc>
        <w:tc>
          <w:tcPr>
            <w:tcW w:w="1701" w:type="dxa"/>
            <w:tcBorders>
              <w:left w:val="single" w:sz="4" w:space="0" w:color="auto"/>
              <w:right w:val="single" w:sz="4" w:space="0" w:color="auto"/>
            </w:tcBorders>
            <w:vAlign w:val="center"/>
          </w:tcPr>
          <w:p w14:paraId="06C32EA3" w14:textId="77777777" w:rsidR="00310766" w:rsidRPr="00E02D0D" w:rsidRDefault="00310766" w:rsidP="00310766">
            <w:pPr>
              <w:jc w:val="center"/>
              <w:cnfStyle w:val="000000000000" w:firstRow="0" w:lastRow="0" w:firstColumn="0" w:lastColumn="0" w:oddVBand="0" w:evenVBand="0" w:oddHBand="0" w:evenHBand="0" w:firstRowFirstColumn="0" w:firstRowLastColumn="0" w:lastRowFirstColumn="0" w:lastRowLastColumn="0"/>
              <w:rPr>
                <w:lang w:val="en-GB"/>
              </w:rPr>
            </w:pPr>
            <w:r w:rsidRPr="00E02D0D">
              <w:rPr>
                <w:lang w:val="en-GB"/>
              </w:rPr>
              <w:t>$0.86</w:t>
            </w:r>
          </w:p>
        </w:tc>
        <w:tc>
          <w:tcPr>
            <w:tcW w:w="1701" w:type="dxa"/>
            <w:tcBorders>
              <w:left w:val="single" w:sz="4" w:space="0" w:color="auto"/>
              <w:right w:val="single" w:sz="4" w:space="0" w:color="auto"/>
            </w:tcBorders>
            <w:vAlign w:val="center"/>
          </w:tcPr>
          <w:p w14:paraId="08E0C8FB" w14:textId="77777777" w:rsidR="00310766" w:rsidRPr="00E02D0D" w:rsidRDefault="00310766" w:rsidP="00310766">
            <w:pPr>
              <w:jc w:val="center"/>
              <w:cnfStyle w:val="000000000000" w:firstRow="0" w:lastRow="0" w:firstColumn="0" w:lastColumn="0" w:oddVBand="0" w:evenVBand="0" w:oddHBand="0" w:evenHBand="0" w:firstRowFirstColumn="0" w:firstRowLastColumn="0" w:lastRowFirstColumn="0" w:lastRowLastColumn="0"/>
              <w:rPr>
                <w:lang w:val="en-GB"/>
              </w:rPr>
            </w:pPr>
            <w:r w:rsidRPr="00E02D0D">
              <w:rPr>
                <w:lang w:val="en-GB"/>
              </w:rPr>
              <w:t>$0.86</w:t>
            </w:r>
          </w:p>
        </w:tc>
      </w:tr>
      <w:tr w:rsidR="00310766" w:rsidRPr="00066EDD" w14:paraId="4F60DEFD" w14:textId="77777777" w:rsidTr="00B76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7" w:type="dxa"/>
            <w:shd w:val="clear" w:color="auto" w:fill="BDD6EE" w:themeFill="accent1" w:themeFillTint="66"/>
            <w:vAlign w:val="center"/>
          </w:tcPr>
          <w:p w14:paraId="1B9718DC" w14:textId="77777777" w:rsidR="00310766" w:rsidRPr="00FD7296" w:rsidRDefault="00310766" w:rsidP="00310766">
            <w:pPr>
              <w:rPr>
                <w:b w:val="0"/>
                <w:lang w:val="en-GB"/>
              </w:rPr>
            </w:pPr>
            <w:r w:rsidRPr="00FD7296">
              <w:rPr>
                <w:b w:val="0"/>
                <w:lang w:val="en-GB"/>
              </w:rPr>
              <w:t>Town</w:t>
            </w:r>
          </w:p>
        </w:tc>
        <w:tc>
          <w:tcPr>
            <w:tcW w:w="1701" w:type="dxa"/>
            <w:tcBorders>
              <w:left w:val="single" w:sz="4" w:space="0" w:color="auto"/>
              <w:bottom w:val="single" w:sz="4" w:space="0" w:color="auto"/>
              <w:right w:val="single" w:sz="4" w:space="0" w:color="auto"/>
            </w:tcBorders>
            <w:shd w:val="clear" w:color="auto" w:fill="BDD6EE" w:themeFill="accent1" w:themeFillTint="66"/>
            <w:vAlign w:val="center"/>
          </w:tcPr>
          <w:p w14:paraId="0EA15FF4" w14:textId="77777777" w:rsidR="00310766" w:rsidRPr="00E02D0D" w:rsidRDefault="00310766" w:rsidP="00310766">
            <w:pPr>
              <w:jc w:val="center"/>
              <w:cnfStyle w:val="000000100000" w:firstRow="0" w:lastRow="0" w:firstColumn="0" w:lastColumn="0" w:oddVBand="0" w:evenVBand="0" w:oddHBand="1" w:evenHBand="0" w:firstRowFirstColumn="0" w:firstRowLastColumn="0" w:lastRowFirstColumn="0" w:lastRowLastColumn="0"/>
              <w:rPr>
                <w:lang w:val="en-GB"/>
              </w:rPr>
            </w:pPr>
            <w:r w:rsidRPr="00E02D0D">
              <w:rPr>
                <w:lang w:val="en-GB"/>
              </w:rPr>
              <w:t>$0.86</w:t>
            </w:r>
          </w:p>
        </w:tc>
        <w:tc>
          <w:tcPr>
            <w:tcW w:w="1701" w:type="dxa"/>
            <w:tcBorders>
              <w:left w:val="single" w:sz="4" w:space="0" w:color="auto"/>
              <w:bottom w:val="single" w:sz="4" w:space="0" w:color="auto"/>
              <w:right w:val="single" w:sz="4" w:space="0" w:color="auto"/>
            </w:tcBorders>
            <w:shd w:val="clear" w:color="auto" w:fill="BDD6EE" w:themeFill="accent1" w:themeFillTint="66"/>
            <w:vAlign w:val="center"/>
          </w:tcPr>
          <w:p w14:paraId="5FEAD7AD" w14:textId="77777777" w:rsidR="00310766" w:rsidRPr="00E02D0D" w:rsidRDefault="00310766" w:rsidP="00310766">
            <w:pPr>
              <w:jc w:val="center"/>
              <w:cnfStyle w:val="000000100000" w:firstRow="0" w:lastRow="0" w:firstColumn="0" w:lastColumn="0" w:oddVBand="0" w:evenVBand="0" w:oddHBand="1" w:evenHBand="0" w:firstRowFirstColumn="0" w:firstRowLastColumn="0" w:lastRowFirstColumn="0" w:lastRowLastColumn="0"/>
              <w:rPr>
                <w:lang w:val="en-GB"/>
              </w:rPr>
            </w:pPr>
            <w:r w:rsidRPr="00E02D0D">
              <w:rPr>
                <w:lang w:val="en-GB"/>
              </w:rPr>
              <w:t>$0.86</w:t>
            </w:r>
          </w:p>
        </w:tc>
      </w:tr>
    </w:tbl>
    <w:p w14:paraId="52577344" w14:textId="77777777" w:rsidR="00297FFC" w:rsidRDefault="00297FFC" w:rsidP="00297FFC">
      <w:pPr>
        <w:spacing w:after="120"/>
        <w:ind w:right="142"/>
        <w:jc w:val="both"/>
      </w:pPr>
    </w:p>
    <w:p w14:paraId="7FEDCBFE" w14:textId="77777777" w:rsidR="00297FFC" w:rsidRDefault="00297FFC" w:rsidP="00BA65E3">
      <w:pPr>
        <w:spacing w:after="120"/>
        <w:ind w:right="142"/>
        <w:jc w:val="both"/>
        <w:rPr>
          <w:lang w:val="en-GB"/>
        </w:rPr>
      </w:pPr>
      <w:r w:rsidRPr="00555E87">
        <w:rPr>
          <w:lang w:val="en-GB"/>
        </w:rPr>
        <w:t>For all fare-paying operators, the rates applicable to your monthly contract payment can be found on your Statement of Payment.</w:t>
      </w:r>
    </w:p>
    <w:p w14:paraId="60B7DCBD" w14:textId="77777777" w:rsidR="00E743D4" w:rsidRPr="00EF73A9" w:rsidRDefault="00E743D4" w:rsidP="00BA65E3">
      <w:pPr>
        <w:pStyle w:val="Heading1"/>
        <w:spacing w:before="360" w:after="120"/>
        <w:ind w:right="424"/>
        <w:jc w:val="both"/>
        <w:rPr>
          <w:color w:val="009999"/>
          <w:lang w:val="en-GB"/>
        </w:rPr>
      </w:pPr>
      <w:r w:rsidRPr="00EF73A9">
        <w:rPr>
          <w:color w:val="009999"/>
          <w:lang w:val="en-GB"/>
        </w:rPr>
        <w:t xml:space="preserve">Contacting </w:t>
      </w:r>
      <w:r w:rsidR="000B5EEC" w:rsidRPr="00EF73A9">
        <w:rPr>
          <w:color w:val="009999"/>
          <w:lang w:val="en-GB"/>
        </w:rPr>
        <w:t>Passenger Transport</w:t>
      </w:r>
    </w:p>
    <w:p w14:paraId="089C161B" w14:textId="77777777" w:rsidR="00E743D4" w:rsidRDefault="00E743D4" w:rsidP="00E743D4">
      <w:pPr>
        <w:spacing w:after="120"/>
        <w:ind w:right="424"/>
        <w:jc w:val="both"/>
        <w:rPr>
          <w:lang w:val="en-GB"/>
        </w:rPr>
      </w:pPr>
      <w:r>
        <w:rPr>
          <w:color w:val="000000"/>
          <w:lang w:val="en-GB"/>
        </w:rPr>
        <w:t xml:space="preserve">For all enquiries or notifications relating to your current contract (i.e. a service you currently provide) </w:t>
      </w:r>
      <w:r w:rsidR="00934DBE">
        <w:rPr>
          <w:color w:val="000000"/>
          <w:lang w:val="en-GB"/>
        </w:rPr>
        <w:t xml:space="preserve">please </w:t>
      </w:r>
      <w:r>
        <w:rPr>
          <w:color w:val="000000"/>
          <w:lang w:val="en-GB"/>
        </w:rPr>
        <w:t xml:space="preserve">contact </w:t>
      </w:r>
      <w:r w:rsidR="00E02D0D">
        <w:rPr>
          <w:color w:val="000000"/>
          <w:lang w:val="en-GB"/>
        </w:rPr>
        <w:t xml:space="preserve">the </w:t>
      </w:r>
      <w:r>
        <w:rPr>
          <w:color w:val="000000"/>
          <w:lang w:val="en-GB"/>
        </w:rPr>
        <w:t xml:space="preserve">Passenger Transport </w:t>
      </w:r>
      <w:r w:rsidR="00E02D0D">
        <w:rPr>
          <w:color w:val="000000"/>
          <w:lang w:val="en-GB"/>
        </w:rPr>
        <w:t xml:space="preserve">Contracts unit </w:t>
      </w:r>
      <w:r>
        <w:rPr>
          <w:color w:val="000000"/>
          <w:lang w:val="en-GB"/>
        </w:rPr>
        <w:t xml:space="preserve">via email </w:t>
      </w:r>
      <w:hyperlink r:id="rId11" w:history="1">
        <w:r w:rsidRPr="00F42CDF">
          <w:rPr>
            <w:rStyle w:val="Hyperlink"/>
            <w:lang w:val="en-GB"/>
          </w:rPr>
          <w:t>ptscontracts@stategrowth.tas.gov.au</w:t>
        </w:r>
      </w:hyperlink>
      <w:r>
        <w:rPr>
          <w:color w:val="000000"/>
          <w:lang w:val="en-GB"/>
        </w:rPr>
        <w:t xml:space="preserve"> or phone </w:t>
      </w:r>
      <w:r w:rsidR="001F35C5">
        <w:rPr>
          <w:color w:val="000000"/>
          <w:lang w:val="en-GB"/>
        </w:rPr>
        <w:t xml:space="preserve">(03) </w:t>
      </w:r>
      <w:r>
        <w:rPr>
          <w:color w:val="000000"/>
          <w:lang w:val="en-GB"/>
        </w:rPr>
        <w:t>6166 3343</w:t>
      </w:r>
      <w:r w:rsidRPr="00C14152">
        <w:rPr>
          <w:lang w:val="en-GB"/>
        </w:rPr>
        <w:t>.</w:t>
      </w:r>
    </w:p>
    <w:p w14:paraId="6708BC4F" w14:textId="77777777" w:rsidR="00E02D0D" w:rsidRDefault="00E02D0D" w:rsidP="00E743D4">
      <w:pPr>
        <w:spacing w:after="120"/>
        <w:ind w:right="424"/>
        <w:jc w:val="both"/>
        <w:rPr>
          <w:lang w:val="en-GB"/>
        </w:rPr>
      </w:pPr>
    </w:p>
    <w:p w14:paraId="552D0CDF" w14:textId="77777777" w:rsidR="00E02D0D" w:rsidRDefault="00E02D0D" w:rsidP="00E743D4">
      <w:pPr>
        <w:spacing w:after="120"/>
        <w:ind w:right="424"/>
        <w:jc w:val="both"/>
        <w:rPr>
          <w:lang w:val="en-GB"/>
        </w:rPr>
      </w:pPr>
    </w:p>
    <w:p w14:paraId="3C53AF9D" w14:textId="77777777" w:rsidR="00E02D0D" w:rsidRDefault="00E02D0D" w:rsidP="00E743D4">
      <w:pPr>
        <w:spacing w:after="120"/>
        <w:ind w:right="424"/>
        <w:jc w:val="both"/>
        <w:rPr>
          <w:lang w:val="en-GB"/>
        </w:rPr>
      </w:pPr>
    </w:p>
    <w:p w14:paraId="7184E363" w14:textId="77777777" w:rsidR="00E743D4" w:rsidRPr="00D526FF" w:rsidRDefault="00E743D4" w:rsidP="00D95DEB">
      <w:pPr>
        <w:spacing w:after="480"/>
        <w:rPr>
          <w:lang w:val="en-GB"/>
        </w:rPr>
      </w:pPr>
    </w:p>
    <w:sectPr w:rsidR="00E743D4" w:rsidRPr="00D526FF" w:rsidSect="00BA65E3">
      <w:pgSz w:w="11906" w:h="16838"/>
      <w:pgMar w:top="1276" w:right="425" w:bottom="567" w:left="567" w:header="709"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5992E" w14:textId="77777777" w:rsidR="00FE7EF5" w:rsidRDefault="00FE7EF5" w:rsidP="006E7989">
      <w:pPr>
        <w:spacing w:after="0" w:line="240" w:lineRule="auto"/>
      </w:pPr>
      <w:r>
        <w:separator/>
      </w:r>
    </w:p>
  </w:endnote>
  <w:endnote w:type="continuationSeparator" w:id="0">
    <w:p w14:paraId="3DCEB973" w14:textId="77777777" w:rsidR="00FE7EF5" w:rsidRDefault="00FE7EF5" w:rsidP="006E7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799494"/>
      <w:docPartObj>
        <w:docPartGallery w:val="Page Numbers (Bottom of Page)"/>
        <w:docPartUnique/>
      </w:docPartObj>
    </w:sdtPr>
    <w:sdtEndPr/>
    <w:sdtContent>
      <w:sdt>
        <w:sdtPr>
          <w:id w:val="1433927594"/>
          <w:docPartObj>
            <w:docPartGallery w:val="Page Numbers (Top of Page)"/>
            <w:docPartUnique/>
          </w:docPartObj>
        </w:sdtPr>
        <w:sdtEndPr/>
        <w:sdtContent>
          <w:p w14:paraId="3D1E93DA" w14:textId="77777777" w:rsidR="00AC1379" w:rsidRDefault="00AC137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E3CAA">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3CAA">
              <w:rPr>
                <w:b/>
                <w:bCs/>
                <w:noProof/>
              </w:rPr>
              <w:t>5</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881489"/>
      <w:docPartObj>
        <w:docPartGallery w:val="Page Numbers (Bottom of Page)"/>
        <w:docPartUnique/>
      </w:docPartObj>
    </w:sdtPr>
    <w:sdtEndPr/>
    <w:sdtContent>
      <w:sdt>
        <w:sdtPr>
          <w:id w:val="1263337221"/>
          <w:docPartObj>
            <w:docPartGallery w:val="Page Numbers (Top of Page)"/>
            <w:docPartUnique/>
          </w:docPartObj>
        </w:sdtPr>
        <w:sdtEndPr/>
        <w:sdtContent>
          <w:p w14:paraId="77F5116A" w14:textId="77777777" w:rsidR="00AC1379" w:rsidRDefault="00AC1379" w:rsidP="006D3E7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E3CA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3CAA">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2475E" w14:textId="77777777" w:rsidR="00FE7EF5" w:rsidRDefault="00FE7EF5" w:rsidP="006E7989">
      <w:pPr>
        <w:spacing w:after="0" w:line="240" w:lineRule="auto"/>
      </w:pPr>
      <w:r>
        <w:separator/>
      </w:r>
    </w:p>
  </w:footnote>
  <w:footnote w:type="continuationSeparator" w:id="0">
    <w:p w14:paraId="53BF6FD6" w14:textId="77777777" w:rsidR="00FE7EF5" w:rsidRDefault="00FE7EF5" w:rsidP="006E79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CA0"/>
    <w:multiLevelType w:val="hybridMultilevel"/>
    <w:tmpl w:val="68BA0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D1D80"/>
    <w:multiLevelType w:val="hybridMultilevel"/>
    <w:tmpl w:val="E73A2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1A559D"/>
    <w:multiLevelType w:val="hybridMultilevel"/>
    <w:tmpl w:val="5DA62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44199A"/>
    <w:multiLevelType w:val="hybridMultilevel"/>
    <w:tmpl w:val="D57A5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A94CA3"/>
    <w:multiLevelType w:val="hybridMultilevel"/>
    <w:tmpl w:val="142677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C84BA0"/>
    <w:multiLevelType w:val="hybridMultilevel"/>
    <w:tmpl w:val="1406A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5D037A"/>
    <w:multiLevelType w:val="hybridMultilevel"/>
    <w:tmpl w:val="21BCA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0EE54F3"/>
    <w:multiLevelType w:val="hybridMultilevel"/>
    <w:tmpl w:val="5CC8D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99777E"/>
    <w:multiLevelType w:val="hybridMultilevel"/>
    <w:tmpl w:val="EAC403EC"/>
    <w:lvl w:ilvl="0" w:tplc="87D6966E">
      <w:start w:val="1"/>
      <w:numFmt w:val="decimal"/>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25404F1"/>
    <w:multiLevelType w:val="hybridMultilevel"/>
    <w:tmpl w:val="5FF47746"/>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CA01FA"/>
    <w:multiLevelType w:val="hybridMultilevel"/>
    <w:tmpl w:val="F8B04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984CD6"/>
    <w:multiLevelType w:val="hybridMultilevel"/>
    <w:tmpl w:val="C47686AA"/>
    <w:lvl w:ilvl="0" w:tplc="0C09000F">
      <w:start w:val="1"/>
      <w:numFmt w:val="decimal"/>
      <w:lvlText w:val="%1."/>
      <w:lvlJc w:val="left"/>
      <w:pPr>
        <w:ind w:left="2574" w:hanging="360"/>
      </w:pPr>
    </w:lvl>
    <w:lvl w:ilvl="1" w:tplc="0C090019" w:tentative="1">
      <w:start w:val="1"/>
      <w:numFmt w:val="lowerLetter"/>
      <w:lvlText w:val="%2."/>
      <w:lvlJc w:val="left"/>
      <w:pPr>
        <w:ind w:left="3294" w:hanging="360"/>
      </w:pPr>
    </w:lvl>
    <w:lvl w:ilvl="2" w:tplc="0C09001B" w:tentative="1">
      <w:start w:val="1"/>
      <w:numFmt w:val="lowerRoman"/>
      <w:lvlText w:val="%3."/>
      <w:lvlJc w:val="right"/>
      <w:pPr>
        <w:ind w:left="4014" w:hanging="180"/>
      </w:pPr>
    </w:lvl>
    <w:lvl w:ilvl="3" w:tplc="0C09000F" w:tentative="1">
      <w:start w:val="1"/>
      <w:numFmt w:val="decimal"/>
      <w:lvlText w:val="%4."/>
      <w:lvlJc w:val="left"/>
      <w:pPr>
        <w:ind w:left="4734" w:hanging="360"/>
      </w:pPr>
    </w:lvl>
    <w:lvl w:ilvl="4" w:tplc="0C090019" w:tentative="1">
      <w:start w:val="1"/>
      <w:numFmt w:val="lowerLetter"/>
      <w:lvlText w:val="%5."/>
      <w:lvlJc w:val="left"/>
      <w:pPr>
        <w:ind w:left="5454" w:hanging="360"/>
      </w:pPr>
    </w:lvl>
    <w:lvl w:ilvl="5" w:tplc="0C09001B" w:tentative="1">
      <w:start w:val="1"/>
      <w:numFmt w:val="lowerRoman"/>
      <w:lvlText w:val="%6."/>
      <w:lvlJc w:val="right"/>
      <w:pPr>
        <w:ind w:left="6174" w:hanging="180"/>
      </w:pPr>
    </w:lvl>
    <w:lvl w:ilvl="6" w:tplc="0C09000F" w:tentative="1">
      <w:start w:val="1"/>
      <w:numFmt w:val="decimal"/>
      <w:lvlText w:val="%7."/>
      <w:lvlJc w:val="left"/>
      <w:pPr>
        <w:ind w:left="6894" w:hanging="360"/>
      </w:pPr>
    </w:lvl>
    <w:lvl w:ilvl="7" w:tplc="0C090019" w:tentative="1">
      <w:start w:val="1"/>
      <w:numFmt w:val="lowerLetter"/>
      <w:lvlText w:val="%8."/>
      <w:lvlJc w:val="left"/>
      <w:pPr>
        <w:ind w:left="7614" w:hanging="360"/>
      </w:pPr>
    </w:lvl>
    <w:lvl w:ilvl="8" w:tplc="0C09001B" w:tentative="1">
      <w:start w:val="1"/>
      <w:numFmt w:val="lowerRoman"/>
      <w:lvlText w:val="%9."/>
      <w:lvlJc w:val="right"/>
      <w:pPr>
        <w:ind w:left="8334" w:hanging="180"/>
      </w:pPr>
    </w:lvl>
  </w:abstractNum>
  <w:abstractNum w:abstractNumId="12" w15:restartNumberingAfterBreak="0">
    <w:nsid w:val="404D1D68"/>
    <w:multiLevelType w:val="hybridMultilevel"/>
    <w:tmpl w:val="A14C4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BA4FD0"/>
    <w:multiLevelType w:val="hybridMultilevel"/>
    <w:tmpl w:val="55D8B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DB168A"/>
    <w:multiLevelType w:val="hybridMultilevel"/>
    <w:tmpl w:val="5BAC2996"/>
    <w:lvl w:ilvl="0" w:tplc="C082C3D2">
      <w:start w:val="1"/>
      <w:numFmt w:val="decimal"/>
      <w:lvlText w:val="%1."/>
      <w:lvlJc w:val="left"/>
      <w:pPr>
        <w:ind w:left="720" w:hanging="360"/>
      </w:pPr>
      <w:rPr>
        <w:rFonts w:ascii="Gill Sans MT" w:eastAsiaTheme="minorHAnsi" w:hAnsi="Gill Sans MT"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9B7C26"/>
    <w:multiLevelType w:val="hybridMultilevel"/>
    <w:tmpl w:val="6C94E622"/>
    <w:lvl w:ilvl="0" w:tplc="87D6966E">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4E75857"/>
    <w:multiLevelType w:val="hybridMultilevel"/>
    <w:tmpl w:val="A0C4F762"/>
    <w:lvl w:ilvl="0" w:tplc="0C090003">
      <w:start w:val="1"/>
      <w:numFmt w:val="bullet"/>
      <w:lvlText w:val="o"/>
      <w:lvlJc w:val="left"/>
      <w:pPr>
        <w:ind w:left="1571" w:hanging="360"/>
      </w:pPr>
      <w:rPr>
        <w:rFonts w:ascii="Courier New" w:hAnsi="Courier New" w:cs="Courier New"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7" w15:restartNumberingAfterBreak="0">
    <w:nsid w:val="55A441DE"/>
    <w:multiLevelType w:val="hybridMultilevel"/>
    <w:tmpl w:val="2F7E7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157D91"/>
    <w:multiLevelType w:val="hybridMultilevel"/>
    <w:tmpl w:val="AF863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BD272E"/>
    <w:multiLevelType w:val="hybridMultilevel"/>
    <w:tmpl w:val="7D6E5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B70CB9"/>
    <w:multiLevelType w:val="hybridMultilevel"/>
    <w:tmpl w:val="A28EB0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E785147"/>
    <w:multiLevelType w:val="hybridMultilevel"/>
    <w:tmpl w:val="AADAE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E851B6"/>
    <w:multiLevelType w:val="hybridMultilevel"/>
    <w:tmpl w:val="0D5CCA5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3" w15:restartNumberingAfterBreak="0">
    <w:nsid w:val="71564E6A"/>
    <w:multiLevelType w:val="hybridMultilevel"/>
    <w:tmpl w:val="3D22C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B00BF1"/>
    <w:multiLevelType w:val="hybridMultilevel"/>
    <w:tmpl w:val="93BC061A"/>
    <w:lvl w:ilvl="0" w:tplc="0C090001">
      <w:start w:val="1"/>
      <w:numFmt w:val="bullet"/>
      <w:lvlText w:val=""/>
      <w:lvlJc w:val="left"/>
      <w:pPr>
        <w:ind w:left="1571" w:hanging="360"/>
      </w:pPr>
      <w:rPr>
        <w:rFonts w:ascii="Symbol" w:hAnsi="Symbol"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5" w15:restartNumberingAfterBreak="0">
    <w:nsid w:val="798523B2"/>
    <w:multiLevelType w:val="hybridMultilevel"/>
    <w:tmpl w:val="A502B742"/>
    <w:lvl w:ilvl="0" w:tplc="47644D94">
      <w:numFmt w:val="bullet"/>
      <w:lvlText w:val="•"/>
      <w:lvlJc w:val="left"/>
      <w:pPr>
        <w:ind w:left="1080" w:hanging="720"/>
      </w:pPr>
      <w:rPr>
        <w:rFonts w:ascii="Gill Sans MT" w:eastAsiaTheme="minorHAnsi" w:hAnsi="Gill Sans 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442BE9"/>
    <w:multiLevelType w:val="hybridMultilevel"/>
    <w:tmpl w:val="6E9E0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124242"/>
    <w:multiLevelType w:val="hybridMultilevel"/>
    <w:tmpl w:val="6450E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1F0C89"/>
    <w:multiLevelType w:val="hybridMultilevel"/>
    <w:tmpl w:val="3A123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3D267A"/>
    <w:multiLevelType w:val="hybridMultilevel"/>
    <w:tmpl w:val="85242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5"/>
  </w:num>
  <w:num w:numId="4">
    <w:abstractNumId w:val="9"/>
  </w:num>
  <w:num w:numId="5">
    <w:abstractNumId w:val="26"/>
  </w:num>
  <w:num w:numId="6">
    <w:abstractNumId w:val="5"/>
  </w:num>
  <w:num w:numId="7">
    <w:abstractNumId w:val="3"/>
  </w:num>
  <w:num w:numId="8">
    <w:abstractNumId w:val="14"/>
  </w:num>
  <w:num w:numId="9">
    <w:abstractNumId w:val="10"/>
  </w:num>
  <w:num w:numId="10">
    <w:abstractNumId w:val="15"/>
  </w:num>
  <w:num w:numId="11">
    <w:abstractNumId w:val="8"/>
  </w:num>
  <w:num w:numId="12">
    <w:abstractNumId w:val="1"/>
  </w:num>
  <w:num w:numId="13">
    <w:abstractNumId w:val="17"/>
  </w:num>
  <w:num w:numId="14">
    <w:abstractNumId w:val="18"/>
  </w:num>
  <w:num w:numId="15">
    <w:abstractNumId w:val="11"/>
  </w:num>
  <w:num w:numId="16">
    <w:abstractNumId w:val="2"/>
  </w:num>
  <w:num w:numId="17">
    <w:abstractNumId w:val="21"/>
  </w:num>
  <w:num w:numId="18">
    <w:abstractNumId w:val="19"/>
  </w:num>
  <w:num w:numId="19">
    <w:abstractNumId w:val="24"/>
  </w:num>
  <w:num w:numId="20">
    <w:abstractNumId w:val="16"/>
  </w:num>
  <w:num w:numId="21">
    <w:abstractNumId w:val="27"/>
  </w:num>
  <w:num w:numId="22">
    <w:abstractNumId w:val="0"/>
  </w:num>
  <w:num w:numId="23">
    <w:abstractNumId w:val="28"/>
  </w:num>
  <w:num w:numId="24">
    <w:abstractNumId w:val="6"/>
  </w:num>
  <w:num w:numId="25">
    <w:abstractNumId w:val="23"/>
  </w:num>
  <w:num w:numId="26">
    <w:abstractNumId w:val="12"/>
  </w:num>
  <w:num w:numId="27">
    <w:abstractNumId w:val="22"/>
  </w:num>
  <w:num w:numId="28">
    <w:abstractNumId w:val="29"/>
  </w:num>
  <w:num w:numId="29">
    <w:abstractNumId w:val="2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89"/>
    <w:rsid w:val="00004FE3"/>
    <w:rsid w:val="00005470"/>
    <w:rsid w:val="00005969"/>
    <w:rsid w:val="000128DB"/>
    <w:rsid w:val="000131E2"/>
    <w:rsid w:val="00022F30"/>
    <w:rsid w:val="0002624D"/>
    <w:rsid w:val="00026C15"/>
    <w:rsid w:val="00026D43"/>
    <w:rsid w:val="000318C8"/>
    <w:rsid w:val="000365B5"/>
    <w:rsid w:val="00037544"/>
    <w:rsid w:val="0004329D"/>
    <w:rsid w:val="00066EDD"/>
    <w:rsid w:val="00074464"/>
    <w:rsid w:val="0008156C"/>
    <w:rsid w:val="0008189B"/>
    <w:rsid w:val="000828D2"/>
    <w:rsid w:val="00083A36"/>
    <w:rsid w:val="00090A53"/>
    <w:rsid w:val="00091944"/>
    <w:rsid w:val="00093317"/>
    <w:rsid w:val="00093AD2"/>
    <w:rsid w:val="000A0AE8"/>
    <w:rsid w:val="000A1308"/>
    <w:rsid w:val="000A2398"/>
    <w:rsid w:val="000A6359"/>
    <w:rsid w:val="000A6791"/>
    <w:rsid w:val="000B160F"/>
    <w:rsid w:val="000B3A90"/>
    <w:rsid w:val="000B5EEC"/>
    <w:rsid w:val="000E33D6"/>
    <w:rsid w:val="000E3B66"/>
    <w:rsid w:val="000E5801"/>
    <w:rsid w:val="000E7F9B"/>
    <w:rsid w:val="000F316C"/>
    <w:rsid w:val="000F335B"/>
    <w:rsid w:val="000F376D"/>
    <w:rsid w:val="000F379C"/>
    <w:rsid w:val="000F4460"/>
    <w:rsid w:val="000F4FB0"/>
    <w:rsid w:val="000F57A6"/>
    <w:rsid w:val="0011197C"/>
    <w:rsid w:val="0011467D"/>
    <w:rsid w:val="001251C5"/>
    <w:rsid w:val="001310AA"/>
    <w:rsid w:val="00133928"/>
    <w:rsid w:val="00136A8D"/>
    <w:rsid w:val="001445FB"/>
    <w:rsid w:val="00144AD4"/>
    <w:rsid w:val="00150FD2"/>
    <w:rsid w:val="00151D71"/>
    <w:rsid w:val="00153096"/>
    <w:rsid w:val="00154407"/>
    <w:rsid w:val="00156EA1"/>
    <w:rsid w:val="00165072"/>
    <w:rsid w:val="00183C17"/>
    <w:rsid w:val="00187DB3"/>
    <w:rsid w:val="00196785"/>
    <w:rsid w:val="001A4B73"/>
    <w:rsid w:val="001A738C"/>
    <w:rsid w:val="001B17D1"/>
    <w:rsid w:val="001B3012"/>
    <w:rsid w:val="001B36A5"/>
    <w:rsid w:val="001B48CB"/>
    <w:rsid w:val="001D0ABD"/>
    <w:rsid w:val="001D1292"/>
    <w:rsid w:val="001D14CD"/>
    <w:rsid w:val="001E362C"/>
    <w:rsid w:val="001F0558"/>
    <w:rsid w:val="001F1436"/>
    <w:rsid w:val="001F24D6"/>
    <w:rsid w:val="001F35C5"/>
    <w:rsid w:val="001F495C"/>
    <w:rsid w:val="002105D4"/>
    <w:rsid w:val="00231083"/>
    <w:rsid w:val="0023174A"/>
    <w:rsid w:val="00232BA3"/>
    <w:rsid w:val="00233019"/>
    <w:rsid w:val="00235DE0"/>
    <w:rsid w:val="00246645"/>
    <w:rsid w:val="00251D29"/>
    <w:rsid w:val="00256E8C"/>
    <w:rsid w:val="00257410"/>
    <w:rsid w:val="00263478"/>
    <w:rsid w:val="00263D22"/>
    <w:rsid w:val="00270277"/>
    <w:rsid w:val="00277513"/>
    <w:rsid w:val="00286354"/>
    <w:rsid w:val="00290610"/>
    <w:rsid w:val="00293BC5"/>
    <w:rsid w:val="00296544"/>
    <w:rsid w:val="0029774B"/>
    <w:rsid w:val="00297FFC"/>
    <w:rsid w:val="002A0E91"/>
    <w:rsid w:val="002A567A"/>
    <w:rsid w:val="002B4D81"/>
    <w:rsid w:val="002C4546"/>
    <w:rsid w:val="002C46D0"/>
    <w:rsid w:val="002C4873"/>
    <w:rsid w:val="002C4A41"/>
    <w:rsid w:val="002D4575"/>
    <w:rsid w:val="002E04BB"/>
    <w:rsid w:val="002E181E"/>
    <w:rsid w:val="002E2476"/>
    <w:rsid w:val="002F0DC8"/>
    <w:rsid w:val="002F507D"/>
    <w:rsid w:val="002F5F66"/>
    <w:rsid w:val="00301DF8"/>
    <w:rsid w:val="00310766"/>
    <w:rsid w:val="00315601"/>
    <w:rsid w:val="0032049D"/>
    <w:rsid w:val="00321B30"/>
    <w:rsid w:val="00322D7B"/>
    <w:rsid w:val="00325109"/>
    <w:rsid w:val="0032715C"/>
    <w:rsid w:val="00333748"/>
    <w:rsid w:val="00333F8F"/>
    <w:rsid w:val="00336A2D"/>
    <w:rsid w:val="0033791E"/>
    <w:rsid w:val="00337D83"/>
    <w:rsid w:val="00341DE6"/>
    <w:rsid w:val="00345A2C"/>
    <w:rsid w:val="00360130"/>
    <w:rsid w:val="003636B3"/>
    <w:rsid w:val="0036511A"/>
    <w:rsid w:val="00367819"/>
    <w:rsid w:val="00367D9A"/>
    <w:rsid w:val="0037183C"/>
    <w:rsid w:val="003736A6"/>
    <w:rsid w:val="00373C5B"/>
    <w:rsid w:val="00374AC1"/>
    <w:rsid w:val="00381DA1"/>
    <w:rsid w:val="00383B1A"/>
    <w:rsid w:val="003840AB"/>
    <w:rsid w:val="00390F6C"/>
    <w:rsid w:val="0039223E"/>
    <w:rsid w:val="003931E4"/>
    <w:rsid w:val="003B4010"/>
    <w:rsid w:val="003C078E"/>
    <w:rsid w:val="003C5EB5"/>
    <w:rsid w:val="003C6537"/>
    <w:rsid w:val="003D0977"/>
    <w:rsid w:val="003D0B73"/>
    <w:rsid w:val="003D2B46"/>
    <w:rsid w:val="003D3475"/>
    <w:rsid w:val="003D35A5"/>
    <w:rsid w:val="003E6949"/>
    <w:rsid w:val="003F1451"/>
    <w:rsid w:val="003F20A2"/>
    <w:rsid w:val="003F78C4"/>
    <w:rsid w:val="004018FC"/>
    <w:rsid w:val="004032CC"/>
    <w:rsid w:val="004043CD"/>
    <w:rsid w:val="00410BA0"/>
    <w:rsid w:val="0041189C"/>
    <w:rsid w:val="00423421"/>
    <w:rsid w:val="00423A35"/>
    <w:rsid w:val="0043343A"/>
    <w:rsid w:val="004342D5"/>
    <w:rsid w:val="00434A69"/>
    <w:rsid w:val="0043614D"/>
    <w:rsid w:val="004429DE"/>
    <w:rsid w:val="0044391A"/>
    <w:rsid w:val="00454196"/>
    <w:rsid w:val="00457C39"/>
    <w:rsid w:val="00457F48"/>
    <w:rsid w:val="00474F8E"/>
    <w:rsid w:val="004754F9"/>
    <w:rsid w:val="00480087"/>
    <w:rsid w:val="00492E78"/>
    <w:rsid w:val="004936FC"/>
    <w:rsid w:val="0049569F"/>
    <w:rsid w:val="004957A3"/>
    <w:rsid w:val="00495950"/>
    <w:rsid w:val="00496492"/>
    <w:rsid w:val="00496B6C"/>
    <w:rsid w:val="004A75D2"/>
    <w:rsid w:val="004B3D3A"/>
    <w:rsid w:val="004B6C67"/>
    <w:rsid w:val="004B712A"/>
    <w:rsid w:val="004C1085"/>
    <w:rsid w:val="004C2A0A"/>
    <w:rsid w:val="004C30D9"/>
    <w:rsid w:val="004D4847"/>
    <w:rsid w:val="004E167B"/>
    <w:rsid w:val="004E5F84"/>
    <w:rsid w:val="004E6647"/>
    <w:rsid w:val="004F3809"/>
    <w:rsid w:val="004F3CE5"/>
    <w:rsid w:val="004F4451"/>
    <w:rsid w:val="004F55E1"/>
    <w:rsid w:val="004F6337"/>
    <w:rsid w:val="0050608C"/>
    <w:rsid w:val="00506F1C"/>
    <w:rsid w:val="0051424A"/>
    <w:rsid w:val="005207CA"/>
    <w:rsid w:val="00520E66"/>
    <w:rsid w:val="00524001"/>
    <w:rsid w:val="005246BC"/>
    <w:rsid w:val="0052636F"/>
    <w:rsid w:val="00527DEA"/>
    <w:rsid w:val="00534224"/>
    <w:rsid w:val="00541C80"/>
    <w:rsid w:val="00553C9A"/>
    <w:rsid w:val="00553CE1"/>
    <w:rsid w:val="00555E87"/>
    <w:rsid w:val="00556058"/>
    <w:rsid w:val="005726D0"/>
    <w:rsid w:val="00573CE6"/>
    <w:rsid w:val="005769C9"/>
    <w:rsid w:val="005814D8"/>
    <w:rsid w:val="00583C1B"/>
    <w:rsid w:val="00583D4E"/>
    <w:rsid w:val="00585C9D"/>
    <w:rsid w:val="00585D44"/>
    <w:rsid w:val="00586F12"/>
    <w:rsid w:val="005A17A0"/>
    <w:rsid w:val="005A193A"/>
    <w:rsid w:val="005A4A7C"/>
    <w:rsid w:val="005A6477"/>
    <w:rsid w:val="005B36AE"/>
    <w:rsid w:val="005B5309"/>
    <w:rsid w:val="005C18F3"/>
    <w:rsid w:val="005C5961"/>
    <w:rsid w:val="005C6047"/>
    <w:rsid w:val="005C644C"/>
    <w:rsid w:val="005D7F42"/>
    <w:rsid w:val="005E0450"/>
    <w:rsid w:val="005E1BFF"/>
    <w:rsid w:val="005E73AE"/>
    <w:rsid w:val="005F7ED3"/>
    <w:rsid w:val="00603F2A"/>
    <w:rsid w:val="00612115"/>
    <w:rsid w:val="00613178"/>
    <w:rsid w:val="00613257"/>
    <w:rsid w:val="00613509"/>
    <w:rsid w:val="006269A2"/>
    <w:rsid w:val="006306E3"/>
    <w:rsid w:val="00637C36"/>
    <w:rsid w:val="006530DF"/>
    <w:rsid w:val="00654ED9"/>
    <w:rsid w:val="006568D6"/>
    <w:rsid w:val="00656C58"/>
    <w:rsid w:val="00661B31"/>
    <w:rsid w:val="00662A6C"/>
    <w:rsid w:val="0067319D"/>
    <w:rsid w:val="00676E42"/>
    <w:rsid w:val="006775D9"/>
    <w:rsid w:val="00681B46"/>
    <w:rsid w:val="0068384D"/>
    <w:rsid w:val="00686C56"/>
    <w:rsid w:val="006968DC"/>
    <w:rsid w:val="006A62AD"/>
    <w:rsid w:val="006A739F"/>
    <w:rsid w:val="006B0B21"/>
    <w:rsid w:val="006B52C2"/>
    <w:rsid w:val="006C1E68"/>
    <w:rsid w:val="006C5A86"/>
    <w:rsid w:val="006D13F6"/>
    <w:rsid w:val="006D3E7E"/>
    <w:rsid w:val="006D448A"/>
    <w:rsid w:val="006D46A6"/>
    <w:rsid w:val="006E2B62"/>
    <w:rsid w:val="006E60FE"/>
    <w:rsid w:val="006E6D66"/>
    <w:rsid w:val="006E7989"/>
    <w:rsid w:val="006F0EF7"/>
    <w:rsid w:val="006F124A"/>
    <w:rsid w:val="006F524B"/>
    <w:rsid w:val="00712E77"/>
    <w:rsid w:val="0071490E"/>
    <w:rsid w:val="00714FEA"/>
    <w:rsid w:val="0071620E"/>
    <w:rsid w:val="00716ABE"/>
    <w:rsid w:val="0072008E"/>
    <w:rsid w:val="00722A99"/>
    <w:rsid w:val="00723B91"/>
    <w:rsid w:val="0072481F"/>
    <w:rsid w:val="00732865"/>
    <w:rsid w:val="00745168"/>
    <w:rsid w:val="00746716"/>
    <w:rsid w:val="0075111C"/>
    <w:rsid w:val="00753B8A"/>
    <w:rsid w:val="007543F1"/>
    <w:rsid w:val="007562A0"/>
    <w:rsid w:val="00764248"/>
    <w:rsid w:val="00774F97"/>
    <w:rsid w:val="00776DA9"/>
    <w:rsid w:val="00781905"/>
    <w:rsid w:val="00793716"/>
    <w:rsid w:val="007A2393"/>
    <w:rsid w:val="007B02F1"/>
    <w:rsid w:val="007C0427"/>
    <w:rsid w:val="007C7A40"/>
    <w:rsid w:val="007D08DA"/>
    <w:rsid w:val="007D1D07"/>
    <w:rsid w:val="007D69E8"/>
    <w:rsid w:val="007F0CA4"/>
    <w:rsid w:val="007F0FBD"/>
    <w:rsid w:val="007F49F4"/>
    <w:rsid w:val="007F4A12"/>
    <w:rsid w:val="007F7622"/>
    <w:rsid w:val="008058DD"/>
    <w:rsid w:val="00807FD9"/>
    <w:rsid w:val="00810753"/>
    <w:rsid w:val="008170C4"/>
    <w:rsid w:val="008229DC"/>
    <w:rsid w:val="00822C95"/>
    <w:rsid w:val="0083367A"/>
    <w:rsid w:val="008467F1"/>
    <w:rsid w:val="008514CF"/>
    <w:rsid w:val="008525D4"/>
    <w:rsid w:val="00852D18"/>
    <w:rsid w:val="00852E2C"/>
    <w:rsid w:val="00857486"/>
    <w:rsid w:val="0086390F"/>
    <w:rsid w:val="00863B55"/>
    <w:rsid w:val="00864E0E"/>
    <w:rsid w:val="0086659D"/>
    <w:rsid w:val="00880474"/>
    <w:rsid w:val="00881E18"/>
    <w:rsid w:val="00887CB5"/>
    <w:rsid w:val="0089635E"/>
    <w:rsid w:val="008A63BE"/>
    <w:rsid w:val="008B5351"/>
    <w:rsid w:val="008B629B"/>
    <w:rsid w:val="008B688D"/>
    <w:rsid w:val="008C142C"/>
    <w:rsid w:val="008C1532"/>
    <w:rsid w:val="008C1704"/>
    <w:rsid w:val="008C33D4"/>
    <w:rsid w:val="008C3B23"/>
    <w:rsid w:val="008C527F"/>
    <w:rsid w:val="008C536B"/>
    <w:rsid w:val="008C6D9C"/>
    <w:rsid w:val="008C7696"/>
    <w:rsid w:val="008C7709"/>
    <w:rsid w:val="008E42C0"/>
    <w:rsid w:val="008E6D8D"/>
    <w:rsid w:val="008F0688"/>
    <w:rsid w:val="008F0B3A"/>
    <w:rsid w:val="008F154C"/>
    <w:rsid w:val="008F5689"/>
    <w:rsid w:val="00901631"/>
    <w:rsid w:val="00903A93"/>
    <w:rsid w:val="00903D40"/>
    <w:rsid w:val="00907756"/>
    <w:rsid w:val="00922403"/>
    <w:rsid w:val="00930172"/>
    <w:rsid w:val="00931261"/>
    <w:rsid w:val="009336F8"/>
    <w:rsid w:val="00933D5F"/>
    <w:rsid w:val="009344B3"/>
    <w:rsid w:val="00934DBE"/>
    <w:rsid w:val="0093659A"/>
    <w:rsid w:val="00936A32"/>
    <w:rsid w:val="009505E2"/>
    <w:rsid w:val="00954FE5"/>
    <w:rsid w:val="00957CC8"/>
    <w:rsid w:val="0096184D"/>
    <w:rsid w:val="00963A1A"/>
    <w:rsid w:val="0097423F"/>
    <w:rsid w:val="00974CD9"/>
    <w:rsid w:val="00977849"/>
    <w:rsid w:val="00981220"/>
    <w:rsid w:val="0098236F"/>
    <w:rsid w:val="00985E7C"/>
    <w:rsid w:val="009879CE"/>
    <w:rsid w:val="00991BD6"/>
    <w:rsid w:val="00992590"/>
    <w:rsid w:val="00992B35"/>
    <w:rsid w:val="009B7C8A"/>
    <w:rsid w:val="009C1554"/>
    <w:rsid w:val="009C34F3"/>
    <w:rsid w:val="009C49CC"/>
    <w:rsid w:val="009D00B6"/>
    <w:rsid w:val="009D4194"/>
    <w:rsid w:val="009E2026"/>
    <w:rsid w:val="009E68B0"/>
    <w:rsid w:val="009E7D51"/>
    <w:rsid w:val="009F60D0"/>
    <w:rsid w:val="00A01139"/>
    <w:rsid w:val="00A02F28"/>
    <w:rsid w:val="00A055BA"/>
    <w:rsid w:val="00A226AF"/>
    <w:rsid w:val="00A26469"/>
    <w:rsid w:val="00A32C5C"/>
    <w:rsid w:val="00A3722E"/>
    <w:rsid w:val="00A378E2"/>
    <w:rsid w:val="00A437FA"/>
    <w:rsid w:val="00A44665"/>
    <w:rsid w:val="00A57BC0"/>
    <w:rsid w:val="00A60DC9"/>
    <w:rsid w:val="00A651D5"/>
    <w:rsid w:val="00A653F1"/>
    <w:rsid w:val="00A66148"/>
    <w:rsid w:val="00A76564"/>
    <w:rsid w:val="00A84558"/>
    <w:rsid w:val="00A84BB8"/>
    <w:rsid w:val="00A93BD6"/>
    <w:rsid w:val="00A96F0E"/>
    <w:rsid w:val="00AA004D"/>
    <w:rsid w:val="00AA0B87"/>
    <w:rsid w:val="00AA317D"/>
    <w:rsid w:val="00AB6C5B"/>
    <w:rsid w:val="00AC1379"/>
    <w:rsid w:val="00AC2CF7"/>
    <w:rsid w:val="00AC2EFE"/>
    <w:rsid w:val="00AC2F88"/>
    <w:rsid w:val="00AC4812"/>
    <w:rsid w:val="00AC79BF"/>
    <w:rsid w:val="00AD1C7F"/>
    <w:rsid w:val="00AD5D4B"/>
    <w:rsid w:val="00AD6B87"/>
    <w:rsid w:val="00AE17E9"/>
    <w:rsid w:val="00AE46D7"/>
    <w:rsid w:val="00AF46E5"/>
    <w:rsid w:val="00AF75AC"/>
    <w:rsid w:val="00B0108B"/>
    <w:rsid w:val="00B01DEB"/>
    <w:rsid w:val="00B11382"/>
    <w:rsid w:val="00B1187C"/>
    <w:rsid w:val="00B13235"/>
    <w:rsid w:val="00B22343"/>
    <w:rsid w:val="00B31C32"/>
    <w:rsid w:val="00B35D4B"/>
    <w:rsid w:val="00B432CB"/>
    <w:rsid w:val="00B45B4D"/>
    <w:rsid w:val="00B60DC8"/>
    <w:rsid w:val="00B646CF"/>
    <w:rsid w:val="00B6498E"/>
    <w:rsid w:val="00B651B7"/>
    <w:rsid w:val="00B72FB3"/>
    <w:rsid w:val="00B77612"/>
    <w:rsid w:val="00B86B6A"/>
    <w:rsid w:val="00B902CB"/>
    <w:rsid w:val="00B932CC"/>
    <w:rsid w:val="00BA439E"/>
    <w:rsid w:val="00BA65E3"/>
    <w:rsid w:val="00BA763F"/>
    <w:rsid w:val="00BB5A47"/>
    <w:rsid w:val="00BC1FF8"/>
    <w:rsid w:val="00BC3EEF"/>
    <w:rsid w:val="00BD3707"/>
    <w:rsid w:val="00BD513C"/>
    <w:rsid w:val="00BD6970"/>
    <w:rsid w:val="00BE341E"/>
    <w:rsid w:val="00BF5754"/>
    <w:rsid w:val="00C05A87"/>
    <w:rsid w:val="00C05E8B"/>
    <w:rsid w:val="00C064F4"/>
    <w:rsid w:val="00C11837"/>
    <w:rsid w:val="00C14152"/>
    <w:rsid w:val="00C207DE"/>
    <w:rsid w:val="00C22537"/>
    <w:rsid w:val="00C22A6E"/>
    <w:rsid w:val="00C25F8B"/>
    <w:rsid w:val="00C27261"/>
    <w:rsid w:val="00C334D8"/>
    <w:rsid w:val="00C34498"/>
    <w:rsid w:val="00C457C5"/>
    <w:rsid w:val="00C478B4"/>
    <w:rsid w:val="00C54F35"/>
    <w:rsid w:val="00C627B6"/>
    <w:rsid w:val="00C63C23"/>
    <w:rsid w:val="00C6498C"/>
    <w:rsid w:val="00C64DAB"/>
    <w:rsid w:val="00C6508F"/>
    <w:rsid w:val="00C73213"/>
    <w:rsid w:val="00C734BF"/>
    <w:rsid w:val="00C76A77"/>
    <w:rsid w:val="00C76BC3"/>
    <w:rsid w:val="00C81D5A"/>
    <w:rsid w:val="00C866CB"/>
    <w:rsid w:val="00C96E72"/>
    <w:rsid w:val="00CA5651"/>
    <w:rsid w:val="00CB088B"/>
    <w:rsid w:val="00CB274D"/>
    <w:rsid w:val="00CB3702"/>
    <w:rsid w:val="00CB40F2"/>
    <w:rsid w:val="00CB5D74"/>
    <w:rsid w:val="00CB6C97"/>
    <w:rsid w:val="00CD2640"/>
    <w:rsid w:val="00CD36A7"/>
    <w:rsid w:val="00CD370A"/>
    <w:rsid w:val="00CD4155"/>
    <w:rsid w:val="00CD6785"/>
    <w:rsid w:val="00CD684A"/>
    <w:rsid w:val="00CD7485"/>
    <w:rsid w:val="00CE2692"/>
    <w:rsid w:val="00CE3CAA"/>
    <w:rsid w:val="00CE3D01"/>
    <w:rsid w:val="00CE45D1"/>
    <w:rsid w:val="00CE5D03"/>
    <w:rsid w:val="00D009F1"/>
    <w:rsid w:val="00D113DE"/>
    <w:rsid w:val="00D11859"/>
    <w:rsid w:val="00D12F0F"/>
    <w:rsid w:val="00D13712"/>
    <w:rsid w:val="00D24994"/>
    <w:rsid w:val="00D3039E"/>
    <w:rsid w:val="00D35F81"/>
    <w:rsid w:val="00D36A8C"/>
    <w:rsid w:val="00D41D2F"/>
    <w:rsid w:val="00D41EC9"/>
    <w:rsid w:val="00D4280F"/>
    <w:rsid w:val="00D42D85"/>
    <w:rsid w:val="00D44D35"/>
    <w:rsid w:val="00D526FF"/>
    <w:rsid w:val="00D529C9"/>
    <w:rsid w:val="00D53812"/>
    <w:rsid w:val="00D66942"/>
    <w:rsid w:val="00D675BD"/>
    <w:rsid w:val="00D67C33"/>
    <w:rsid w:val="00D80D9A"/>
    <w:rsid w:val="00D81C33"/>
    <w:rsid w:val="00D85765"/>
    <w:rsid w:val="00D877E2"/>
    <w:rsid w:val="00D87D56"/>
    <w:rsid w:val="00D920F1"/>
    <w:rsid w:val="00D948FB"/>
    <w:rsid w:val="00D95ACC"/>
    <w:rsid w:val="00D95DEB"/>
    <w:rsid w:val="00D9740A"/>
    <w:rsid w:val="00DA18A6"/>
    <w:rsid w:val="00DA25E5"/>
    <w:rsid w:val="00DA2C44"/>
    <w:rsid w:val="00DA7C52"/>
    <w:rsid w:val="00DB6CDD"/>
    <w:rsid w:val="00DC05CC"/>
    <w:rsid w:val="00DC1A3E"/>
    <w:rsid w:val="00DD11C8"/>
    <w:rsid w:val="00DD139E"/>
    <w:rsid w:val="00DD4E03"/>
    <w:rsid w:val="00DD5A00"/>
    <w:rsid w:val="00DE2005"/>
    <w:rsid w:val="00DE2564"/>
    <w:rsid w:val="00DE620B"/>
    <w:rsid w:val="00DF008F"/>
    <w:rsid w:val="00DF057B"/>
    <w:rsid w:val="00DF0885"/>
    <w:rsid w:val="00DF72F8"/>
    <w:rsid w:val="00DF75D8"/>
    <w:rsid w:val="00E01D20"/>
    <w:rsid w:val="00E02D0D"/>
    <w:rsid w:val="00E02E61"/>
    <w:rsid w:val="00E04B13"/>
    <w:rsid w:val="00E132E0"/>
    <w:rsid w:val="00E21925"/>
    <w:rsid w:val="00E2434F"/>
    <w:rsid w:val="00E26B64"/>
    <w:rsid w:val="00E31243"/>
    <w:rsid w:val="00E331BB"/>
    <w:rsid w:val="00E3751C"/>
    <w:rsid w:val="00E42F2C"/>
    <w:rsid w:val="00E448CA"/>
    <w:rsid w:val="00E47EF8"/>
    <w:rsid w:val="00E50A0E"/>
    <w:rsid w:val="00E516A2"/>
    <w:rsid w:val="00E543FF"/>
    <w:rsid w:val="00E55F6E"/>
    <w:rsid w:val="00E612EF"/>
    <w:rsid w:val="00E62D75"/>
    <w:rsid w:val="00E65ADA"/>
    <w:rsid w:val="00E7078C"/>
    <w:rsid w:val="00E7085F"/>
    <w:rsid w:val="00E72C4A"/>
    <w:rsid w:val="00E743D4"/>
    <w:rsid w:val="00E759BF"/>
    <w:rsid w:val="00E77BDD"/>
    <w:rsid w:val="00E80663"/>
    <w:rsid w:val="00E84C08"/>
    <w:rsid w:val="00E93D38"/>
    <w:rsid w:val="00E97001"/>
    <w:rsid w:val="00EA4A4C"/>
    <w:rsid w:val="00EB0E87"/>
    <w:rsid w:val="00EB2438"/>
    <w:rsid w:val="00EB5A76"/>
    <w:rsid w:val="00EC085A"/>
    <w:rsid w:val="00EC6185"/>
    <w:rsid w:val="00EC7413"/>
    <w:rsid w:val="00ED2E1B"/>
    <w:rsid w:val="00ED7C9E"/>
    <w:rsid w:val="00EE081E"/>
    <w:rsid w:val="00EE1080"/>
    <w:rsid w:val="00EE2E69"/>
    <w:rsid w:val="00EF0882"/>
    <w:rsid w:val="00EF3B5F"/>
    <w:rsid w:val="00EF73A9"/>
    <w:rsid w:val="00F0224E"/>
    <w:rsid w:val="00F0671B"/>
    <w:rsid w:val="00F0747C"/>
    <w:rsid w:val="00F134A9"/>
    <w:rsid w:val="00F1427D"/>
    <w:rsid w:val="00F17AD2"/>
    <w:rsid w:val="00F27A76"/>
    <w:rsid w:val="00F315B1"/>
    <w:rsid w:val="00F33ED1"/>
    <w:rsid w:val="00F34B51"/>
    <w:rsid w:val="00F41FFC"/>
    <w:rsid w:val="00F44C75"/>
    <w:rsid w:val="00F510E7"/>
    <w:rsid w:val="00F51810"/>
    <w:rsid w:val="00F5332A"/>
    <w:rsid w:val="00F5472E"/>
    <w:rsid w:val="00F61F53"/>
    <w:rsid w:val="00F6543F"/>
    <w:rsid w:val="00F6595C"/>
    <w:rsid w:val="00F66875"/>
    <w:rsid w:val="00F73F07"/>
    <w:rsid w:val="00F808D0"/>
    <w:rsid w:val="00F83D99"/>
    <w:rsid w:val="00F86BDA"/>
    <w:rsid w:val="00F91B7D"/>
    <w:rsid w:val="00F93032"/>
    <w:rsid w:val="00F93B16"/>
    <w:rsid w:val="00F93B5F"/>
    <w:rsid w:val="00FA399A"/>
    <w:rsid w:val="00FB3F1A"/>
    <w:rsid w:val="00FB7075"/>
    <w:rsid w:val="00FD37BA"/>
    <w:rsid w:val="00FD7296"/>
    <w:rsid w:val="00FD77E2"/>
    <w:rsid w:val="00FE087A"/>
    <w:rsid w:val="00FE7EF5"/>
    <w:rsid w:val="00FF3CFC"/>
    <w:rsid w:val="00FF42E1"/>
    <w:rsid w:val="00FF4C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1E9EA"/>
  <w15:chartTrackingRefBased/>
  <w15:docId w15:val="{E8B82496-C171-4973-85B9-1499C5E7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6E7989"/>
    <w:rPr>
      <w:rFonts w:ascii="Gill Sans MT" w:hAnsi="Gill Sans MT"/>
    </w:rPr>
  </w:style>
  <w:style w:type="paragraph" w:styleId="Heading1">
    <w:name w:val="heading 1"/>
    <w:basedOn w:val="Normal"/>
    <w:next w:val="Normal"/>
    <w:link w:val="Heading1Char"/>
    <w:uiPriority w:val="9"/>
    <w:qFormat/>
    <w:rsid w:val="006E7989"/>
    <w:pPr>
      <w:keepNext/>
      <w:keepLines/>
      <w:spacing w:before="240" w:after="0"/>
      <w:outlineLvl w:val="0"/>
    </w:pPr>
    <w:rPr>
      <w:rFonts w:eastAsiaTheme="majorEastAsia" w:cstheme="majorBidi"/>
      <w:color w:val="C00000"/>
      <w:sz w:val="36"/>
      <w:szCs w:val="32"/>
    </w:rPr>
  </w:style>
  <w:style w:type="paragraph" w:styleId="Heading2">
    <w:name w:val="heading 2"/>
    <w:basedOn w:val="Normal"/>
    <w:next w:val="Normal"/>
    <w:link w:val="Heading2Char"/>
    <w:uiPriority w:val="9"/>
    <w:unhideWhenUsed/>
    <w:qFormat/>
    <w:rsid w:val="00232B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989"/>
  </w:style>
  <w:style w:type="paragraph" w:styleId="Footer">
    <w:name w:val="footer"/>
    <w:basedOn w:val="Normal"/>
    <w:link w:val="FooterChar"/>
    <w:uiPriority w:val="99"/>
    <w:unhideWhenUsed/>
    <w:rsid w:val="006E7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989"/>
  </w:style>
  <w:style w:type="character" w:styleId="Hyperlink">
    <w:name w:val="Hyperlink"/>
    <w:basedOn w:val="DefaultParagraphFont"/>
    <w:uiPriority w:val="99"/>
    <w:unhideWhenUsed/>
    <w:rsid w:val="006E7989"/>
    <w:rPr>
      <w:color w:val="0563C1" w:themeColor="hyperlink"/>
      <w:u w:val="single"/>
    </w:rPr>
  </w:style>
  <w:style w:type="table" w:styleId="MediumGrid2-Accent1">
    <w:name w:val="Medium Grid 2 Accent 1"/>
    <w:basedOn w:val="TableNormal"/>
    <w:uiPriority w:val="68"/>
    <w:rsid w:val="006E7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TableGrid">
    <w:name w:val="Table Grid"/>
    <w:basedOn w:val="TableNormal"/>
    <w:uiPriority w:val="59"/>
    <w:rsid w:val="006E7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E7989"/>
    <w:rPr>
      <w:rFonts w:ascii="Gill Sans MT" w:eastAsiaTheme="majorEastAsia" w:hAnsi="Gill Sans MT" w:cstheme="majorBidi"/>
      <w:color w:val="C00000"/>
      <w:sz w:val="36"/>
      <w:szCs w:val="32"/>
    </w:rPr>
  </w:style>
  <w:style w:type="table" w:styleId="ListTable1Light">
    <w:name w:val="List Table 1 Light"/>
    <w:basedOn w:val="TableNormal"/>
    <w:uiPriority w:val="46"/>
    <w:rsid w:val="00C76BC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232BA3"/>
    <w:pPr>
      <w:ind w:left="720"/>
      <w:contextualSpacing/>
    </w:pPr>
  </w:style>
  <w:style w:type="character" w:customStyle="1" w:styleId="Heading2Char">
    <w:name w:val="Heading 2 Char"/>
    <w:basedOn w:val="DefaultParagraphFont"/>
    <w:link w:val="Heading2"/>
    <w:uiPriority w:val="9"/>
    <w:rsid w:val="00232BA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14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FEA"/>
    <w:rPr>
      <w:rFonts w:ascii="Segoe UI" w:hAnsi="Segoe UI" w:cs="Segoe UI"/>
      <w:sz w:val="18"/>
      <w:szCs w:val="18"/>
    </w:rPr>
  </w:style>
  <w:style w:type="paragraph" w:styleId="PlainText">
    <w:name w:val="Plain Text"/>
    <w:basedOn w:val="Normal"/>
    <w:link w:val="PlainTextChar"/>
    <w:uiPriority w:val="99"/>
    <w:semiHidden/>
    <w:unhideWhenUsed/>
    <w:rsid w:val="004957A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957A3"/>
    <w:rPr>
      <w:rFonts w:ascii="Calibri" w:hAnsi="Calibri" w:cs="Consolas"/>
      <w:szCs w:val="21"/>
    </w:rPr>
  </w:style>
  <w:style w:type="character" w:styleId="CommentReference">
    <w:name w:val="annotation reference"/>
    <w:basedOn w:val="DefaultParagraphFont"/>
    <w:uiPriority w:val="99"/>
    <w:semiHidden/>
    <w:unhideWhenUsed/>
    <w:rsid w:val="003D2B46"/>
    <w:rPr>
      <w:sz w:val="16"/>
      <w:szCs w:val="16"/>
    </w:rPr>
  </w:style>
  <w:style w:type="paragraph" w:styleId="CommentText">
    <w:name w:val="annotation text"/>
    <w:basedOn w:val="Normal"/>
    <w:link w:val="CommentTextChar"/>
    <w:uiPriority w:val="99"/>
    <w:semiHidden/>
    <w:unhideWhenUsed/>
    <w:rsid w:val="003D2B46"/>
    <w:pPr>
      <w:spacing w:line="240" w:lineRule="auto"/>
    </w:pPr>
    <w:rPr>
      <w:sz w:val="20"/>
      <w:szCs w:val="20"/>
    </w:rPr>
  </w:style>
  <w:style w:type="character" w:customStyle="1" w:styleId="CommentTextChar">
    <w:name w:val="Comment Text Char"/>
    <w:basedOn w:val="DefaultParagraphFont"/>
    <w:link w:val="CommentText"/>
    <w:uiPriority w:val="99"/>
    <w:semiHidden/>
    <w:rsid w:val="003D2B46"/>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3D2B46"/>
    <w:rPr>
      <w:b/>
      <w:bCs/>
    </w:rPr>
  </w:style>
  <w:style w:type="character" w:customStyle="1" w:styleId="CommentSubjectChar">
    <w:name w:val="Comment Subject Char"/>
    <w:basedOn w:val="CommentTextChar"/>
    <w:link w:val="CommentSubject"/>
    <w:uiPriority w:val="99"/>
    <w:semiHidden/>
    <w:rsid w:val="003D2B46"/>
    <w:rPr>
      <w:rFonts w:ascii="Gill Sans MT" w:hAnsi="Gill Sans MT"/>
      <w:b/>
      <w:bCs/>
      <w:sz w:val="20"/>
      <w:szCs w:val="20"/>
    </w:rPr>
  </w:style>
  <w:style w:type="paragraph" w:customStyle="1" w:styleId="Default">
    <w:name w:val="Default"/>
    <w:rsid w:val="00931261"/>
    <w:pPr>
      <w:autoSpaceDE w:val="0"/>
      <w:autoSpaceDN w:val="0"/>
      <w:adjustRightInd w:val="0"/>
      <w:spacing w:after="0" w:line="240" w:lineRule="auto"/>
    </w:pPr>
    <w:rPr>
      <w:rFonts w:ascii="Gill Sans MT" w:hAnsi="Gill Sans MT" w:cs="Gill Sans MT"/>
      <w:color w:val="000000"/>
      <w:sz w:val="24"/>
      <w:szCs w:val="24"/>
    </w:rPr>
  </w:style>
  <w:style w:type="paragraph" w:styleId="Revision">
    <w:name w:val="Revision"/>
    <w:hidden/>
    <w:uiPriority w:val="99"/>
    <w:semiHidden/>
    <w:rsid w:val="00D95DEB"/>
    <w:pPr>
      <w:spacing w:after="0" w:line="240" w:lineRule="auto"/>
    </w:pPr>
    <w:rPr>
      <w:rFonts w:ascii="Gill Sans MT" w:hAnsi="Gill Sans MT"/>
    </w:rPr>
  </w:style>
  <w:style w:type="table" w:styleId="GridTable2-Accent1">
    <w:name w:val="Grid Table 2 Accent 1"/>
    <w:basedOn w:val="TableNormal"/>
    <w:uiPriority w:val="47"/>
    <w:rsid w:val="00C3449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5">
    <w:name w:val="Grid Table 4 Accent 5"/>
    <w:basedOn w:val="TableNormal"/>
    <w:uiPriority w:val="49"/>
    <w:rsid w:val="00C3449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4594">
      <w:bodyDiv w:val="1"/>
      <w:marLeft w:val="0"/>
      <w:marRight w:val="0"/>
      <w:marTop w:val="0"/>
      <w:marBottom w:val="0"/>
      <w:divBdr>
        <w:top w:val="none" w:sz="0" w:space="0" w:color="auto"/>
        <w:left w:val="none" w:sz="0" w:space="0" w:color="auto"/>
        <w:bottom w:val="none" w:sz="0" w:space="0" w:color="auto"/>
        <w:right w:val="none" w:sz="0" w:space="0" w:color="auto"/>
      </w:divBdr>
    </w:div>
    <w:div w:id="325481563">
      <w:bodyDiv w:val="1"/>
      <w:marLeft w:val="0"/>
      <w:marRight w:val="0"/>
      <w:marTop w:val="0"/>
      <w:marBottom w:val="0"/>
      <w:divBdr>
        <w:top w:val="none" w:sz="0" w:space="0" w:color="auto"/>
        <w:left w:val="none" w:sz="0" w:space="0" w:color="auto"/>
        <w:bottom w:val="none" w:sz="0" w:space="0" w:color="auto"/>
        <w:right w:val="none" w:sz="0" w:space="0" w:color="auto"/>
      </w:divBdr>
    </w:div>
    <w:div w:id="777678273">
      <w:bodyDiv w:val="1"/>
      <w:marLeft w:val="0"/>
      <w:marRight w:val="0"/>
      <w:marTop w:val="0"/>
      <w:marBottom w:val="0"/>
      <w:divBdr>
        <w:top w:val="none" w:sz="0" w:space="0" w:color="auto"/>
        <w:left w:val="none" w:sz="0" w:space="0" w:color="auto"/>
        <w:bottom w:val="none" w:sz="0" w:space="0" w:color="auto"/>
        <w:right w:val="none" w:sz="0" w:space="0" w:color="auto"/>
      </w:divBdr>
    </w:div>
    <w:div w:id="1040860946">
      <w:bodyDiv w:val="1"/>
      <w:marLeft w:val="0"/>
      <w:marRight w:val="0"/>
      <w:marTop w:val="0"/>
      <w:marBottom w:val="0"/>
      <w:divBdr>
        <w:top w:val="none" w:sz="0" w:space="0" w:color="auto"/>
        <w:left w:val="none" w:sz="0" w:space="0" w:color="auto"/>
        <w:bottom w:val="none" w:sz="0" w:space="0" w:color="auto"/>
        <w:right w:val="none" w:sz="0" w:space="0" w:color="auto"/>
      </w:divBdr>
    </w:div>
    <w:div w:id="1125539206">
      <w:bodyDiv w:val="1"/>
      <w:marLeft w:val="0"/>
      <w:marRight w:val="0"/>
      <w:marTop w:val="0"/>
      <w:marBottom w:val="0"/>
      <w:divBdr>
        <w:top w:val="none" w:sz="0" w:space="0" w:color="auto"/>
        <w:left w:val="none" w:sz="0" w:space="0" w:color="auto"/>
        <w:bottom w:val="none" w:sz="0" w:space="0" w:color="auto"/>
        <w:right w:val="none" w:sz="0" w:space="0" w:color="auto"/>
      </w:divBdr>
    </w:div>
    <w:div w:id="1177379632">
      <w:bodyDiv w:val="1"/>
      <w:marLeft w:val="0"/>
      <w:marRight w:val="0"/>
      <w:marTop w:val="0"/>
      <w:marBottom w:val="0"/>
      <w:divBdr>
        <w:top w:val="none" w:sz="0" w:space="0" w:color="auto"/>
        <w:left w:val="none" w:sz="0" w:space="0" w:color="auto"/>
        <w:bottom w:val="none" w:sz="0" w:space="0" w:color="auto"/>
        <w:right w:val="none" w:sz="0" w:space="0" w:color="auto"/>
      </w:divBdr>
    </w:div>
    <w:div w:id="1518033076">
      <w:bodyDiv w:val="1"/>
      <w:marLeft w:val="0"/>
      <w:marRight w:val="0"/>
      <w:marTop w:val="0"/>
      <w:marBottom w:val="0"/>
      <w:divBdr>
        <w:top w:val="none" w:sz="0" w:space="0" w:color="auto"/>
        <w:left w:val="none" w:sz="0" w:space="0" w:color="auto"/>
        <w:bottom w:val="none" w:sz="0" w:space="0" w:color="auto"/>
        <w:right w:val="none" w:sz="0" w:space="0" w:color="auto"/>
      </w:divBdr>
    </w:div>
    <w:div w:id="183116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tscontracts@stategrowth.tas.gov.a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40DA5-F1C8-4F32-BE57-1BCF39584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1964</Words>
  <Characters>11197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13135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Lukasek, Ann</dc:creator>
  <cp:keywords/>
  <dc:description/>
  <cp:lastModifiedBy>Whitty, Anna</cp:lastModifiedBy>
  <cp:revision>2</cp:revision>
  <cp:lastPrinted>2018-10-30T03:14:00Z</cp:lastPrinted>
  <dcterms:created xsi:type="dcterms:W3CDTF">2018-10-31T23:07:00Z</dcterms:created>
  <dcterms:modified xsi:type="dcterms:W3CDTF">2018-10-31T23:07:00Z</dcterms:modified>
</cp:coreProperties>
</file>