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B2" w:rsidRDefault="00B81A0C">
      <w:pPr>
        <w:pStyle w:val="BodyText"/>
        <w:rPr>
          <w:rFonts w:ascii="Times New Roman"/>
          <w:sz w:val="20"/>
        </w:rPr>
      </w:pPr>
      <w:r>
        <w:rPr>
          <w:noProof/>
          <w:lang w:val="en-AU" w:eastAsia="en-AU"/>
        </w:rPr>
        <w:drawing>
          <wp:anchor distT="0" distB="0" distL="0" distR="0" simplePos="0" relativeHeight="251656704" behindDoc="1" locked="0" layoutInCell="1" allowOverlap="1">
            <wp:simplePos x="0" y="0"/>
            <wp:positionH relativeFrom="page">
              <wp:posOffset>27303</wp:posOffset>
            </wp:positionH>
            <wp:positionV relativeFrom="page">
              <wp:posOffset>95884</wp:posOffset>
            </wp:positionV>
            <wp:extent cx="7533260" cy="105964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33260" cy="10596499"/>
                    </a:xfrm>
                    <a:prstGeom prst="rect">
                      <a:avLst/>
                    </a:prstGeom>
                  </pic:spPr>
                </pic:pic>
              </a:graphicData>
            </a:graphic>
          </wp:anchor>
        </w:drawing>
      </w:r>
    </w:p>
    <w:p w:rsidR="00E10FB2" w:rsidRDefault="00E10FB2">
      <w:pPr>
        <w:pStyle w:val="BodyText"/>
        <w:rPr>
          <w:rFonts w:ascii="Times New Roman"/>
          <w:sz w:val="20"/>
        </w:rPr>
      </w:pPr>
    </w:p>
    <w:p w:rsidR="00E10FB2" w:rsidRDefault="00E10FB2">
      <w:pPr>
        <w:pStyle w:val="BodyText"/>
        <w:rPr>
          <w:rFonts w:ascii="Times New Roman"/>
          <w:sz w:val="20"/>
        </w:rPr>
      </w:pPr>
    </w:p>
    <w:p w:rsidR="00E10FB2" w:rsidRDefault="00E10FB2">
      <w:pPr>
        <w:pStyle w:val="BodyText"/>
        <w:rPr>
          <w:rFonts w:ascii="Times New Roman"/>
          <w:sz w:val="20"/>
        </w:rPr>
      </w:pPr>
    </w:p>
    <w:p w:rsidR="00E10FB2" w:rsidRDefault="00E10FB2">
      <w:pPr>
        <w:pStyle w:val="BodyText"/>
        <w:rPr>
          <w:rFonts w:ascii="Times New Roman"/>
          <w:sz w:val="20"/>
        </w:rPr>
      </w:pPr>
    </w:p>
    <w:p w:rsidR="00E10FB2" w:rsidRDefault="00E10FB2">
      <w:pPr>
        <w:pStyle w:val="BodyText"/>
        <w:rPr>
          <w:rFonts w:ascii="Times New Roman"/>
          <w:sz w:val="20"/>
        </w:rPr>
      </w:pPr>
    </w:p>
    <w:p w:rsidR="00E10FB2" w:rsidRDefault="00E10FB2">
      <w:pPr>
        <w:pStyle w:val="BodyText"/>
        <w:rPr>
          <w:rFonts w:ascii="Times New Roman"/>
          <w:sz w:val="20"/>
        </w:rPr>
      </w:pPr>
    </w:p>
    <w:p w:rsidR="00E10FB2" w:rsidRDefault="00E10FB2">
      <w:pPr>
        <w:pStyle w:val="BodyText"/>
        <w:rPr>
          <w:rFonts w:ascii="Times New Roman"/>
          <w:sz w:val="20"/>
        </w:rPr>
      </w:pPr>
    </w:p>
    <w:p w:rsidR="00E10FB2" w:rsidRDefault="00E10FB2">
      <w:pPr>
        <w:pStyle w:val="BodyText"/>
        <w:rPr>
          <w:rFonts w:ascii="Times New Roman"/>
          <w:sz w:val="20"/>
        </w:rPr>
      </w:pPr>
    </w:p>
    <w:p w:rsidR="00E10FB2" w:rsidRDefault="00E10FB2">
      <w:pPr>
        <w:pStyle w:val="BodyText"/>
        <w:rPr>
          <w:rFonts w:ascii="Times New Roman"/>
          <w:sz w:val="20"/>
        </w:rPr>
      </w:pPr>
    </w:p>
    <w:p w:rsidR="00E10FB2" w:rsidRDefault="00E10FB2">
      <w:pPr>
        <w:pStyle w:val="BodyText"/>
        <w:rPr>
          <w:rFonts w:ascii="Times New Roman"/>
          <w:sz w:val="20"/>
        </w:rPr>
      </w:pPr>
    </w:p>
    <w:p w:rsidR="00E10FB2" w:rsidRDefault="00E10FB2">
      <w:pPr>
        <w:pStyle w:val="BodyText"/>
        <w:rPr>
          <w:rFonts w:ascii="Times New Roman"/>
          <w:sz w:val="20"/>
        </w:rPr>
      </w:pPr>
    </w:p>
    <w:p w:rsidR="00E10FB2" w:rsidRDefault="00B81A0C">
      <w:pPr>
        <w:pStyle w:val="BodyText"/>
        <w:spacing w:before="192"/>
        <w:ind w:left="112"/>
      </w:pPr>
      <w:r>
        <w:t>Welcome to the August 2019 edition of the Taxi Newsletter.</w:t>
      </w:r>
    </w:p>
    <w:p w:rsidR="00E10FB2" w:rsidRDefault="00E10FB2">
      <w:pPr>
        <w:pStyle w:val="BodyText"/>
        <w:spacing w:before="11"/>
      </w:pPr>
    </w:p>
    <w:p w:rsidR="00E10FB2" w:rsidRDefault="00B81A0C">
      <w:pPr>
        <w:pStyle w:val="Heading1"/>
      </w:pPr>
      <w:r>
        <w:rPr>
          <w:color w:val="2D74B5"/>
        </w:rPr>
        <w:t xml:space="preserve">Release of Owner-Operator </w:t>
      </w:r>
      <w:proofErr w:type="spellStart"/>
      <w:r>
        <w:rPr>
          <w:color w:val="2D74B5"/>
        </w:rPr>
        <w:t>Licences</w:t>
      </w:r>
      <w:proofErr w:type="spellEnd"/>
      <w:r>
        <w:rPr>
          <w:color w:val="2D74B5"/>
        </w:rPr>
        <w:t xml:space="preserve"> (OOTLs)</w:t>
      </w:r>
    </w:p>
    <w:p w:rsidR="00E10FB2" w:rsidRDefault="00B81A0C">
      <w:pPr>
        <w:pStyle w:val="BodyText"/>
        <w:spacing w:before="180" w:line="259" w:lineRule="auto"/>
        <w:ind w:left="112" w:right="419"/>
      </w:pPr>
      <w:r>
        <w:pict>
          <v:shapetype id="_x0000_t202" coordsize="21600,21600" o:spt="202" path="m,l,21600r21600,l21600,xe">
            <v:stroke joinstyle="miter"/>
            <v:path gradientshapeok="t" o:connecttype="rect"/>
          </v:shapetype>
          <v:shape id="_x0000_s1027" type="#_x0000_t202" style="position:absolute;left:0;text-align:left;margin-left:42.35pt;margin-top:44.2pt;width:227.6pt;height:250.35pt;z-index:251657728;mso-wrap-distance-left:0;mso-wrap-distance-right:0;mso-position-horizontal-relative:page" filled="f" stroked="f">
            <v:textbox inset="0,0,0,0">
              <w:txbxContent>
                <w:tbl>
                  <w:tblPr>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340"/>
                    <w:gridCol w:w="1654"/>
                    <w:gridCol w:w="1544"/>
                  </w:tblGrid>
                  <w:tr w:rsidR="00E10FB2">
                    <w:trPr>
                      <w:trHeight w:val="560"/>
                    </w:trPr>
                    <w:tc>
                      <w:tcPr>
                        <w:tcW w:w="1340" w:type="dxa"/>
                      </w:tcPr>
                      <w:p w:rsidR="00E10FB2" w:rsidRDefault="00B81A0C">
                        <w:pPr>
                          <w:pStyle w:val="TableParagraph"/>
                          <w:spacing w:before="119" w:line="240" w:lineRule="auto"/>
                          <w:ind w:left="335"/>
                          <w:rPr>
                            <w:sz w:val="18"/>
                          </w:rPr>
                        </w:pPr>
                        <w:r>
                          <w:rPr>
                            <w:color w:val="0077CC"/>
                            <w:sz w:val="18"/>
                          </w:rPr>
                          <w:t>Taxi area</w:t>
                        </w:r>
                      </w:p>
                    </w:tc>
                    <w:tc>
                      <w:tcPr>
                        <w:tcW w:w="1654" w:type="dxa"/>
                      </w:tcPr>
                      <w:p w:rsidR="00E10FB2" w:rsidRDefault="00B81A0C">
                        <w:pPr>
                          <w:pStyle w:val="TableParagraph"/>
                          <w:spacing w:before="115" w:line="218" w:lineRule="exact"/>
                          <w:ind w:left="213" w:right="105"/>
                          <w:rPr>
                            <w:sz w:val="18"/>
                          </w:rPr>
                        </w:pPr>
                        <w:r>
                          <w:rPr>
                            <w:color w:val="0077CC"/>
                            <w:sz w:val="18"/>
                          </w:rPr>
                          <w:t>Number of OOTLs to be released</w:t>
                        </w:r>
                      </w:p>
                    </w:tc>
                    <w:tc>
                      <w:tcPr>
                        <w:tcW w:w="1544" w:type="dxa"/>
                      </w:tcPr>
                      <w:p w:rsidR="00E10FB2" w:rsidRDefault="00B81A0C">
                        <w:pPr>
                          <w:pStyle w:val="TableParagraph"/>
                          <w:spacing w:before="115" w:line="218" w:lineRule="exact"/>
                          <w:ind w:left="586" w:right="110" w:hanging="455"/>
                          <w:rPr>
                            <w:sz w:val="18"/>
                          </w:rPr>
                        </w:pPr>
                        <w:r>
                          <w:rPr>
                            <w:color w:val="0077CC"/>
                            <w:sz w:val="18"/>
                          </w:rPr>
                          <w:t>Minimum Tender Price</w:t>
                        </w:r>
                      </w:p>
                    </w:tc>
                  </w:tr>
                  <w:tr w:rsidR="00E10FB2">
                    <w:trPr>
                      <w:trHeight w:val="340"/>
                    </w:trPr>
                    <w:tc>
                      <w:tcPr>
                        <w:tcW w:w="1340" w:type="dxa"/>
                      </w:tcPr>
                      <w:p w:rsidR="00E10FB2" w:rsidRDefault="00B81A0C">
                        <w:pPr>
                          <w:pStyle w:val="TableParagraph"/>
                          <w:spacing w:before="119" w:line="202" w:lineRule="exact"/>
                          <w:ind w:left="103"/>
                          <w:rPr>
                            <w:sz w:val="18"/>
                          </w:rPr>
                        </w:pPr>
                        <w:r>
                          <w:rPr>
                            <w:sz w:val="18"/>
                          </w:rPr>
                          <w:t>Hobart</w:t>
                        </w:r>
                      </w:p>
                    </w:tc>
                    <w:tc>
                      <w:tcPr>
                        <w:tcW w:w="1654" w:type="dxa"/>
                      </w:tcPr>
                      <w:p w:rsidR="00E10FB2" w:rsidRDefault="00B81A0C">
                        <w:pPr>
                          <w:pStyle w:val="TableParagraph"/>
                          <w:ind w:right="750"/>
                          <w:jc w:val="right"/>
                          <w:rPr>
                            <w:sz w:val="18"/>
                          </w:rPr>
                        </w:pPr>
                        <w:r>
                          <w:rPr>
                            <w:sz w:val="18"/>
                          </w:rPr>
                          <w:t>16</w:t>
                        </w:r>
                      </w:p>
                    </w:tc>
                    <w:tc>
                      <w:tcPr>
                        <w:tcW w:w="1544" w:type="dxa"/>
                      </w:tcPr>
                      <w:p w:rsidR="00E10FB2" w:rsidRDefault="00B81A0C">
                        <w:pPr>
                          <w:pStyle w:val="TableParagraph"/>
                          <w:ind w:right="305"/>
                          <w:jc w:val="right"/>
                          <w:rPr>
                            <w:sz w:val="18"/>
                          </w:rPr>
                        </w:pPr>
                        <w:r>
                          <w:rPr>
                            <w:sz w:val="18"/>
                          </w:rPr>
                          <w:t>$60,000</w:t>
                        </w:r>
                      </w:p>
                    </w:tc>
                  </w:tr>
                  <w:tr w:rsidR="00E10FB2">
                    <w:trPr>
                      <w:trHeight w:val="340"/>
                    </w:trPr>
                    <w:tc>
                      <w:tcPr>
                        <w:tcW w:w="1340" w:type="dxa"/>
                      </w:tcPr>
                      <w:p w:rsidR="00E10FB2" w:rsidRDefault="00B81A0C">
                        <w:pPr>
                          <w:pStyle w:val="TableParagraph"/>
                          <w:spacing w:before="119" w:line="202" w:lineRule="exact"/>
                          <w:ind w:left="103"/>
                          <w:rPr>
                            <w:sz w:val="18"/>
                          </w:rPr>
                        </w:pPr>
                        <w:r>
                          <w:rPr>
                            <w:sz w:val="18"/>
                          </w:rPr>
                          <w:t>Launceston</w:t>
                        </w:r>
                      </w:p>
                    </w:tc>
                    <w:tc>
                      <w:tcPr>
                        <w:tcW w:w="1654" w:type="dxa"/>
                      </w:tcPr>
                      <w:p w:rsidR="00E10FB2" w:rsidRDefault="00B81A0C">
                        <w:pPr>
                          <w:pStyle w:val="TableParagraph"/>
                          <w:ind w:right="748"/>
                          <w:jc w:val="right"/>
                          <w:rPr>
                            <w:sz w:val="18"/>
                          </w:rPr>
                        </w:pPr>
                        <w:r>
                          <w:rPr>
                            <w:sz w:val="18"/>
                          </w:rPr>
                          <w:t>5</w:t>
                        </w:r>
                      </w:p>
                    </w:tc>
                    <w:tc>
                      <w:tcPr>
                        <w:tcW w:w="1544" w:type="dxa"/>
                      </w:tcPr>
                      <w:p w:rsidR="00E10FB2" w:rsidRDefault="00B81A0C">
                        <w:pPr>
                          <w:pStyle w:val="TableParagraph"/>
                          <w:ind w:right="305"/>
                          <w:jc w:val="right"/>
                          <w:rPr>
                            <w:sz w:val="18"/>
                          </w:rPr>
                        </w:pPr>
                        <w:r>
                          <w:rPr>
                            <w:sz w:val="18"/>
                          </w:rPr>
                          <w:t>$35,000</w:t>
                        </w:r>
                      </w:p>
                    </w:tc>
                  </w:tr>
                  <w:tr w:rsidR="00E10FB2">
                    <w:trPr>
                      <w:trHeight w:val="320"/>
                    </w:trPr>
                    <w:tc>
                      <w:tcPr>
                        <w:tcW w:w="1340" w:type="dxa"/>
                      </w:tcPr>
                      <w:p w:rsidR="00E10FB2" w:rsidRDefault="00B81A0C">
                        <w:pPr>
                          <w:pStyle w:val="TableParagraph"/>
                          <w:spacing w:before="119" w:line="199" w:lineRule="exact"/>
                          <w:ind w:left="103"/>
                          <w:rPr>
                            <w:sz w:val="18"/>
                          </w:rPr>
                        </w:pPr>
                        <w:r>
                          <w:rPr>
                            <w:sz w:val="18"/>
                          </w:rPr>
                          <w:t>Devonport</w:t>
                        </w:r>
                      </w:p>
                    </w:tc>
                    <w:tc>
                      <w:tcPr>
                        <w:tcW w:w="1654" w:type="dxa"/>
                      </w:tcPr>
                      <w:p w:rsidR="00E10FB2" w:rsidRDefault="00B81A0C">
                        <w:pPr>
                          <w:pStyle w:val="TableParagraph"/>
                          <w:ind w:right="748"/>
                          <w:jc w:val="right"/>
                          <w:rPr>
                            <w:sz w:val="18"/>
                          </w:rPr>
                        </w:pPr>
                        <w:r>
                          <w:rPr>
                            <w:sz w:val="18"/>
                          </w:rPr>
                          <w:t>1</w:t>
                        </w:r>
                      </w:p>
                    </w:tc>
                    <w:tc>
                      <w:tcPr>
                        <w:tcW w:w="1544" w:type="dxa"/>
                      </w:tcPr>
                      <w:p w:rsidR="00E10FB2" w:rsidRDefault="00B81A0C">
                        <w:pPr>
                          <w:pStyle w:val="TableParagraph"/>
                          <w:ind w:right="305"/>
                          <w:jc w:val="right"/>
                          <w:rPr>
                            <w:sz w:val="18"/>
                          </w:rPr>
                        </w:pPr>
                        <w:r>
                          <w:rPr>
                            <w:sz w:val="18"/>
                          </w:rPr>
                          <w:t>$23,000</w:t>
                        </w:r>
                      </w:p>
                    </w:tc>
                  </w:tr>
                  <w:tr w:rsidR="00E10FB2">
                    <w:trPr>
                      <w:trHeight w:val="340"/>
                    </w:trPr>
                    <w:tc>
                      <w:tcPr>
                        <w:tcW w:w="1340" w:type="dxa"/>
                      </w:tcPr>
                      <w:p w:rsidR="00E10FB2" w:rsidRDefault="00B81A0C">
                        <w:pPr>
                          <w:pStyle w:val="TableParagraph"/>
                          <w:spacing w:before="121" w:line="199" w:lineRule="exact"/>
                          <w:ind w:left="103"/>
                          <w:rPr>
                            <w:sz w:val="18"/>
                          </w:rPr>
                        </w:pPr>
                        <w:r>
                          <w:rPr>
                            <w:sz w:val="18"/>
                          </w:rPr>
                          <w:t>Burnie</w:t>
                        </w:r>
                      </w:p>
                    </w:tc>
                    <w:tc>
                      <w:tcPr>
                        <w:tcW w:w="1654" w:type="dxa"/>
                      </w:tcPr>
                      <w:p w:rsidR="00E10FB2" w:rsidRDefault="00B81A0C">
                        <w:pPr>
                          <w:pStyle w:val="TableParagraph"/>
                          <w:spacing w:before="1" w:line="240" w:lineRule="auto"/>
                          <w:ind w:right="748"/>
                          <w:jc w:val="right"/>
                          <w:rPr>
                            <w:sz w:val="18"/>
                          </w:rPr>
                        </w:pPr>
                        <w:r>
                          <w:rPr>
                            <w:sz w:val="18"/>
                          </w:rPr>
                          <w:t>1</w:t>
                        </w:r>
                      </w:p>
                    </w:tc>
                    <w:tc>
                      <w:tcPr>
                        <w:tcW w:w="1544" w:type="dxa"/>
                      </w:tcPr>
                      <w:p w:rsidR="00E10FB2" w:rsidRDefault="00B81A0C">
                        <w:pPr>
                          <w:pStyle w:val="TableParagraph"/>
                          <w:spacing w:before="1" w:line="240" w:lineRule="auto"/>
                          <w:ind w:right="305"/>
                          <w:jc w:val="right"/>
                          <w:rPr>
                            <w:sz w:val="18"/>
                          </w:rPr>
                        </w:pPr>
                        <w:r>
                          <w:rPr>
                            <w:sz w:val="18"/>
                          </w:rPr>
                          <w:t>$23,000</w:t>
                        </w:r>
                      </w:p>
                    </w:tc>
                  </w:tr>
                  <w:tr w:rsidR="00E10FB2">
                    <w:trPr>
                      <w:trHeight w:val="340"/>
                    </w:trPr>
                    <w:tc>
                      <w:tcPr>
                        <w:tcW w:w="1340" w:type="dxa"/>
                      </w:tcPr>
                      <w:p w:rsidR="00E10FB2" w:rsidRDefault="00B81A0C">
                        <w:pPr>
                          <w:pStyle w:val="TableParagraph"/>
                          <w:spacing w:before="119" w:line="202" w:lineRule="exact"/>
                          <w:ind w:left="103"/>
                          <w:rPr>
                            <w:sz w:val="18"/>
                          </w:rPr>
                        </w:pPr>
                        <w:proofErr w:type="spellStart"/>
                        <w:r>
                          <w:rPr>
                            <w:sz w:val="18"/>
                          </w:rPr>
                          <w:t>Ulverstone</w:t>
                        </w:r>
                        <w:proofErr w:type="spellEnd"/>
                      </w:p>
                    </w:tc>
                    <w:tc>
                      <w:tcPr>
                        <w:tcW w:w="1654" w:type="dxa"/>
                      </w:tcPr>
                      <w:p w:rsidR="00E10FB2" w:rsidRDefault="00B81A0C">
                        <w:pPr>
                          <w:pStyle w:val="TableParagraph"/>
                          <w:ind w:right="748"/>
                          <w:jc w:val="right"/>
                          <w:rPr>
                            <w:sz w:val="18"/>
                          </w:rPr>
                        </w:pPr>
                        <w:r>
                          <w:rPr>
                            <w:sz w:val="18"/>
                          </w:rPr>
                          <w:t>1</w:t>
                        </w:r>
                      </w:p>
                    </w:tc>
                    <w:tc>
                      <w:tcPr>
                        <w:tcW w:w="1544" w:type="dxa"/>
                      </w:tcPr>
                      <w:p w:rsidR="00E10FB2" w:rsidRDefault="00B81A0C">
                        <w:pPr>
                          <w:pStyle w:val="TableParagraph"/>
                          <w:ind w:right="305"/>
                          <w:jc w:val="right"/>
                          <w:rPr>
                            <w:sz w:val="18"/>
                          </w:rPr>
                        </w:pPr>
                        <w:r>
                          <w:rPr>
                            <w:sz w:val="18"/>
                          </w:rPr>
                          <w:t>$17,250</w:t>
                        </w:r>
                      </w:p>
                    </w:tc>
                  </w:tr>
                  <w:tr w:rsidR="00E10FB2">
                    <w:trPr>
                      <w:trHeight w:val="340"/>
                    </w:trPr>
                    <w:tc>
                      <w:tcPr>
                        <w:tcW w:w="1340" w:type="dxa"/>
                      </w:tcPr>
                      <w:p w:rsidR="00E10FB2" w:rsidRDefault="00B81A0C">
                        <w:pPr>
                          <w:pStyle w:val="TableParagraph"/>
                          <w:spacing w:before="119" w:line="202" w:lineRule="exact"/>
                          <w:ind w:left="103"/>
                          <w:rPr>
                            <w:sz w:val="18"/>
                          </w:rPr>
                        </w:pPr>
                        <w:r>
                          <w:rPr>
                            <w:sz w:val="18"/>
                          </w:rPr>
                          <w:t>George Town</w:t>
                        </w:r>
                      </w:p>
                    </w:tc>
                    <w:tc>
                      <w:tcPr>
                        <w:tcW w:w="1654" w:type="dxa"/>
                      </w:tcPr>
                      <w:p w:rsidR="00E10FB2" w:rsidRDefault="00B81A0C">
                        <w:pPr>
                          <w:pStyle w:val="TableParagraph"/>
                          <w:ind w:right="748"/>
                          <w:jc w:val="right"/>
                          <w:rPr>
                            <w:sz w:val="18"/>
                          </w:rPr>
                        </w:pPr>
                        <w:r>
                          <w:rPr>
                            <w:sz w:val="18"/>
                          </w:rPr>
                          <w:t>1</w:t>
                        </w:r>
                      </w:p>
                    </w:tc>
                    <w:tc>
                      <w:tcPr>
                        <w:tcW w:w="1544" w:type="dxa"/>
                      </w:tcPr>
                      <w:p w:rsidR="00E10FB2" w:rsidRDefault="00B81A0C">
                        <w:pPr>
                          <w:pStyle w:val="TableParagraph"/>
                          <w:ind w:right="305"/>
                          <w:jc w:val="right"/>
                          <w:rPr>
                            <w:sz w:val="18"/>
                          </w:rPr>
                        </w:pPr>
                        <w:r>
                          <w:rPr>
                            <w:sz w:val="18"/>
                          </w:rPr>
                          <w:t>$12,500</w:t>
                        </w:r>
                      </w:p>
                    </w:tc>
                  </w:tr>
                  <w:tr w:rsidR="00E10FB2">
                    <w:trPr>
                      <w:trHeight w:val="320"/>
                    </w:trPr>
                    <w:tc>
                      <w:tcPr>
                        <w:tcW w:w="1340" w:type="dxa"/>
                      </w:tcPr>
                      <w:p w:rsidR="00E10FB2" w:rsidRDefault="00B81A0C">
                        <w:pPr>
                          <w:pStyle w:val="TableParagraph"/>
                          <w:spacing w:before="119" w:line="199" w:lineRule="exact"/>
                          <w:ind w:left="103"/>
                          <w:rPr>
                            <w:sz w:val="18"/>
                          </w:rPr>
                        </w:pPr>
                        <w:r>
                          <w:rPr>
                            <w:sz w:val="18"/>
                          </w:rPr>
                          <w:t>Perth</w:t>
                        </w:r>
                      </w:p>
                    </w:tc>
                    <w:tc>
                      <w:tcPr>
                        <w:tcW w:w="1654" w:type="dxa"/>
                      </w:tcPr>
                      <w:p w:rsidR="00E10FB2" w:rsidRDefault="00B81A0C">
                        <w:pPr>
                          <w:pStyle w:val="TableParagraph"/>
                          <w:ind w:right="748"/>
                          <w:jc w:val="right"/>
                          <w:rPr>
                            <w:sz w:val="18"/>
                          </w:rPr>
                        </w:pPr>
                        <w:r>
                          <w:rPr>
                            <w:sz w:val="18"/>
                          </w:rPr>
                          <w:t>1</w:t>
                        </w:r>
                      </w:p>
                    </w:tc>
                    <w:tc>
                      <w:tcPr>
                        <w:tcW w:w="1544" w:type="dxa"/>
                      </w:tcPr>
                      <w:p w:rsidR="00E10FB2" w:rsidRDefault="00B81A0C">
                        <w:pPr>
                          <w:pStyle w:val="TableParagraph"/>
                          <w:ind w:right="305"/>
                          <w:jc w:val="right"/>
                          <w:rPr>
                            <w:sz w:val="18"/>
                          </w:rPr>
                        </w:pPr>
                        <w:r>
                          <w:rPr>
                            <w:sz w:val="18"/>
                          </w:rPr>
                          <w:t>$12,500</w:t>
                        </w:r>
                      </w:p>
                    </w:tc>
                  </w:tr>
                  <w:tr w:rsidR="00E10FB2">
                    <w:trPr>
                      <w:trHeight w:val="340"/>
                    </w:trPr>
                    <w:tc>
                      <w:tcPr>
                        <w:tcW w:w="1340" w:type="dxa"/>
                      </w:tcPr>
                      <w:p w:rsidR="00E10FB2" w:rsidRDefault="00B81A0C">
                        <w:pPr>
                          <w:pStyle w:val="TableParagraph"/>
                          <w:spacing w:before="121" w:line="199" w:lineRule="exact"/>
                          <w:ind w:left="103"/>
                          <w:rPr>
                            <w:sz w:val="18"/>
                          </w:rPr>
                        </w:pPr>
                        <w:r>
                          <w:rPr>
                            <w:sz w:val="18"/>
                          </w:rPr>
                          <w:t>West Tamar</w:t>
                        </w:r>
                      </w:p>
                    </w:tc>
                    <w:tc>
                      <w:tcPr>
                        <w:tcW w:w="1654" w:type="dxa"/>
                      </w:tcPr>
                      <w:p w:rsidR="00E10FB2" w:rsidRDefault="00B81A0C">
                        <w:pPr>
                          <w:pStyle w:val="TableParagraph"/>
                          <w:spacing w:before="1" w:line="240" w:lineRule="auto"/>
                          <w:ind w:right="748"/>
                          <w:jc w:val="right"/>
                          <w:rPr>
                            <w:sz w:val="18"/>
                          </w:rPr>
                        </w:pPr>
                        <w:r>
                          <w:rPr>
                            <w:sz w:val="18"/>
                          </w:rPr>
                          <w:t>1</w:t>
                        </w:r>
                      </w:p>
                    </w:tc>
                    <w:tc>
                      <w:tcPr>
                        <w:tcW w:w="1544" w:type="dxa"/>
                      </w:tcPr>
                      <w:p w:rsidR="00E10FB2" w:rsidRDefault="00B81A0C">
                        <w:pPr>
                          <w:pStyle w:val="TableParagraph"/>
                          <w:spacing w:before="1" w:line="240" w:lineRule="auto"/>
                          <w:ind w:right="305"/>
                          <w:jc w:val="right"/>
                          <w:rPr>
                            <w:sz w:val="18"/>
                          </w:rPr>
                        </w:pPr>
                        <w:r>
                          <w:rPr>
                            <w:sz w:val="18"/>
                          </w:rPr>
                          <w:t>$12,500</w:t>
                        </w:r>
                      </w:p>
                    </w:tc>
                  </w:tr>
                  <w:tr w:rsidR="00E10FB2">
                    <w:trPr>
                      <w:trHeight w:val="540"/>
                    </w:trPr>
                    <w:tc>
                      <w:tcPr>
                        <w:tcW w:w="1340" w:type="dxa"/>
                      </w:tcPr>
                      <w:p w:rsidR="00E10FB2" w:rsidRDefault="00B81A0C">
                        <w:pPr>
                          <w:pStyle w:val="TableParagraph"/>
                          <w:spacing w:before="118" w:line="220" w:lineRule="atLeast"/>
                          <w:ind w:left="103" w:right="535"/>
                          <w:rPr>
                            <w:sz w:val="18"/>
                          </w:rPr>
                        </w:pPr>
                        <w:r>
                          <w:rPr>
                            <w:sz w:val="18"/>
                          </w:rPr>
                          <w:t>Meander Valley</w:t>
                        </w:r>
                      </w:p>
                    </w:tc>
                    <w:tc>
                      <w:tcPr>
                        <w:tcW w:w="1654" w:type="dxa"/>
                      </w:tcPr>
                      <w:p w:rsidR="00E10FB2" w:rsidRDefault="00B81A0C">
                        <w:pPr>
                          <w:pStyle w:val="TableParagraph"/>
                          <w:ind w:right="748"/>
                          <w:jc w:val="right"/>
                          <w:rPr>
                            <w:sz w:val="18"/>
                          </w:rPr>
                        </w:pPr>
                        <w:r>
                          <w:rPr>
                            <w:sz w:val="18"/>
                          </w:rPr>
                          <w:t>1</w:t>
                        </w:r>
                      </w:p>
                    </w:tc>
                    <w:tc>
                      <w:tcPr>
                        <w:tcW w:w="1544" w:type="dxa"/>
                      </w:tcPr>
                      <w:p w:rsidR="00E10FB2" w:rsidRDefault="00B81A0C">
                        <w:pPr>
                          <w:pStyle w:val="TableParagraph"/>
                          <w:ind w:right="305"/>
                          <w:jc w:val="right"/>
                          <w:rPr>
                            <w:sz w:val="18"/>
                          </w:rPr>
                        </w:pPr>
                        <w:r>
                          <w:rPr>
                            <w:sz w:val="18"/>
                          </w:rPr>
                          <w:t>$12,500</w:t>
                        </w:r>
                      </w:p>
                    </w:tc>
                  </w:tr>
                  <w:tr w:rsidR="00E10FB2">
                    <w:trPr>
                      <w:trHeight w:val="339"/>
                    </w:trPr>
                    <w:tc>
                      <w:tcPr>
                        <w:tcW w:w="1340" w:type="dxa"/>
                      </w:tcPr>
                      <w:p w:rsidR="00E10FB2" w:rsidRDefault="00B81A0C">
                        <w:pPr>
                          <w:pStyle w:val="TableParagraph"/>
                          <w:spacing w:before="120" w:line="199" w:lineRule="exact"/>
                          <w:ind w:left="103"/>
                          <w:rPr>
                            <w:sz w:val="18"/>
                          </w:rPr>
                        </w:pPr>
                        <w:r>
                          <w:rPr>
                            <w:sz w:val="18"/>
                          </w:rPr>
                          <w:t>Circular Head</w:t>
                        </w:r>
                      </w:p>
                    </w:tc>
                    <w:tc>
                      <w:tcPr>
                        <w:tcW w:w="1654" w:type="dxa"/>
                      </w:tcPr>
                      <w:p w:rsidR="00E10FB2" w:rsidRDefault="00B81A0C">
                        <w:pPr>
                          <w:pStyle w:val="TableParagraph"/>
                          <w:spacing w:line="240" w:lineRule="auto"/>
                          <w:ind w:right="748"/>
                          <w:jc w:val="right"/>
                          <w:rPr>
                            <w:sz w:val="18"/>
                          </w:rPr>
                        </w:pPr>
                        <w:r>
                          <w:rPr>
                            <w:sz w:val="18"/>
                          </w:rPr>
                          <w:t>1</w:t>
                        </w:r>
                      </w:p>
                    </w:tc>
                    <w:tc>
                      <w:tcPr>
                        <w:tcW w:w="1544" w:type="dxa"/>
                      </w:tcPr>
                      <w:p w:rsidR="00E10FB2" w:rsidRDefault="00B81A0C">
                        <w:pPr>
                          <w:pStyle w:val="TableParagraph"/>
                          <w:spacing w:line="240" w:lineRule="auto"/>
                          <w:ind w:right="305"/>
                          <w:jc w:val="right"/>
                          <w:rPr>
                            <w:sz w:val="18"/>
                          </w:rPr>
                        </w:pPr>
                        <w:r>
                          <w:rPr>
                            <w:sz w:val="18"/>
                          </w:rPr>
                          <w:t>$11,250</w:t>
                        </w:r>
                      </w:p>
                    </w:tc>
                  </w:tr>
                  <w:tr w:rsidR="00E10FB2">
                    <w:trPr>
                      <w:trHeight w:val="340"/>
                    </w:trPr>
                    <w:tc>
                      <w:tcPr>
                        <w:tcW w:w="1340" w:type="dxa"/>
                      </w:tcPr>
                      <w:p w:rsidR="00E10FB2" w:rsidRDefault="00B81A0C">
                        <w:pPr>
                          <w:pStyle w:val="TableParagraph"/>
                          <w:spacing w:before="119" w:line="202" w:lineRule="exact"/>
                          <w:ind w:left="103"/>
                          <w:rPr>
                            <w:sz w:val="18"/>
                          </w:rPr>
                        </w:pPr>
                        <w:r>
                          <w:rPr>
                            <w:sz w:val="18"/>
                          </w:rPr>
                          <w:t xml:space="preserve">Break </w:t>
                        </w:r>
                        <w:proofErr w:type="spellStart"/>
                        <w:r>
                          <w:rPr>
                            <w:sz w:val="18"/>
                          </w:rPr>
                          <w:t>O’Day</w:t>
                        </w:r>
                        <w:proofErr w:type="spellEnd"/>
                      </w:p>
                    </w:tc>
                    <w:tc>
                      <w:tcPr>
                        <w:tcW w:w="1654" w:type="dxa"/>
                      </w:tcPr>
                      <w:p w:rsidR="00E10FB2" w:rsidRDefault="00B81A0C">
                        <w:pPr>
                          <w:pStyle w:val="TableParagraph"/>
                          <w:ind w:right="748"/>
                          <w:jc w:val="right"/>
                          <w:rPr>
                            <w:sz w:val="18"/>
                          </w:rPr>
                        </w:pPr>
                        <w:r>
                          <w:rPr>
                            <w:sz w:val="18"/>
                          </w:rPr>
                          <w:t>1</w:t>
                        </w:r>
                      </w:p>
                    </w:tc>
                    <w:tc>
                      <w:tcPr>
                        <w:tcW w:w="1544" w:type="dxa"/>
                      </w:tcPr>
                      <w:p w:rsidR="00E10FB2" w:rsidRDefault="00B81A0C">
                        <w:pPr>
                          <w:pStyle w:val="TableParagraph"/>
                          <w:ind w:right="305"/>
                          <w:jc w:val="right"/>
                          <w:rPr>
                            <w:sz w:val="18"/>
                          </w:rPr>
                        </w:pPr>
                        <w:r>
                          <w:rPr>
                            <w:sz w:val="18"/>
                          </w:rPr>
                          <w:t>$10,800</w:t>
                        </w:r>
                      </w:p>
                    </w:tc>
                  </w:tr>
                  <w:tr w:rsidR="00E10FB2">
                    <w:trPr>
                      <w:trHeight w:val="340"/>
                    </w:trPr>
                    <w:tc>
                      <w:tcPr>
                        <w:tcW w:w="1340" w:type="dxa"/>
                      </w:tcPr>
                      <w:p w:rsidR="00E10FB2" w:rsidRDefault="00B81A0C">
                        <w:pPr>
                          <w:pStyle w:val="TableParagraph"/>
                          <w:spacing w:before="119" w:line="202" w:lineRule="exact"/>
                          <w:ind w:left="103"/>
                          <w:rPr>
                            <w:sz w:val="18"/>
                          </w:rPr>
                        </w:pPr>
                        <w:r>
                          <w:rPr>
                            <w:sz w:val="18"/>
                          </w:rPr>
                          <w:t>New Norfolk</w:t>
                        </w:r>
                      </w:p>
                    </w:tc>
                    <w:tc>
                      <w:tcPr>
                        <w:tcW w:w="1654" w:type="dxa"/>
                      </w:tcPr>
                      <w:p w:rsidR="00E10FB2" w:rsidRDefault="00B81A0C">
                        <w:pPr>
                          <w:pStyle w:val="TableParagraph"/>
                          <w:ind w:right="748"/>
                          <w:jc w:val="right"/>
                          <w:rPr>
                            <w:sz w:val="18"/>
                          </w:rPr>
                        </w:pPr>
                        <w:r>
                          <w:rPr>
                            <w:sz w:val="18"/>
                          </w:rPr>
                          <w:t>1</w:t>
                        </w:r>
                      </w:p>
                    </w:tc>
                    <w:tc>
                      <w:tcPr>
                        <w:tcW w:w="1544" w:type="dxa"/>
                      </w:tcPr>
                      <w:p w:rsidR="00E10FB2" w:rsidRDefault="00B81A0C">
                        <w:pPr>
                          <w:pStyle w:val="TableParagraph"/>
                          <w:ind w:right="305"/>
                          <w:jc w:val="right"/>
                          <w:rPr>
                            <w:sz w:val="18"/>
                          </w:rPr>
                        </w:pPr>
                        <w:r>
                          <w:rPr>
                            <w:sz w:val="18"/>
                          </w:rPr>
                          <w:t>$10,800</w:t>
                        </w:r>
                      </w:p>
                    </w:tc>
                  </w:tr>
                </w:tbl>
                <w:p w:rsidR="00E10FB2" w:rsidRDefault="00E10FB2">
                  <w:pPr>
                    <w:pStyle w:val="BodyText"/>
                  </w:pPr>
                </w:p>
              </w:txbxContent>
            </v:textbox>
            <w10:wrap type="topAndBottom" anchorx="page"/>
          </v:shape>
        </w:pict>
      </w:r>
      <w:r>
        <w:pict>
          <v:shape id="_x0000_s1026" type="#_x0000_t202" style="position:absolute;left:0;text-align:left;margin-left:313.85pt;margin-top:44.2pt;width:248.95pt;height:249.3pt;z-index:251658752;mso-wrap-distance-left:0;mso-wrap-distance-right:0;mso-position-horizontal-relative:page" filled="f" stroked="f">
            <v:textbox inset="0,0,0,0">
              <w:txbxContent>
                <w:tbl>
                  <w:tblPr>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654"/>
                    <w:gridCol w:w="1654"/>
                    <w:gridCol w:w="1656"/>
                  </w:tblGrid>
                  <w:tr w:rsidR="00E10FB2">
                    <w:trPr>
                      <w:trHeight w:val="560"/>
                    </w:trPr>
                    <w:tc>
                      <w:tcPr>
                        <w:tcW w:w="1654" w:type="dxa"/>
                      </w:tcPr>
                      <w:p w:rsidR="00E10FB2" w:rsidRDefault="00B81A0C">
                        <w:pPr>
                          <w:pStyle w:val="TableParagraph"/>
                          <w:spacing w:before="119" w:line="240" w:lineRule="auto"/>
                          <w:ind w:left="492"/>
                          <w:rPr>
                            <w:sz w:val="18"/>
                          </w:rPr>
                        </w:pPr>
                        <w:r>
                          <w:rPr>
                            <w:color w:val="0077CC"/>
                            <w:sz w:val="18"/>
                          </w:rPr>
                          <w:t>Taxi area</w:t>
                        </w:r>
                      </w:p>
                    </w:tc>
                    <w:tc>
                      <w:tcPr>
                        <w:tcW w:w="1654" w:type="dxa"/>
                      </w:tcPr>
                      <w:p w:rsidR="00E10FB2" w:rsidRDefault="00B81A0C">
                        <w:pPr>
                          <w:pStyle w:val="TableParagraph"/>
                          <w:spacing w:before="115" w:line="218" w:lineRule="exact"/>
                          <w:ind w:left="299" w:right="152" w:hanging="132"/>
                          <w:rPr>
                            <w:sz w:val="18"/>
                          </w:rPr>
                        </w:pPr>
                        <w:r>
                          <w:rPr>
                            <w:color w:val="0077CC"/>
                            <w:sz w:val="18"/>
                          </w:rPr>
                          <w:t>Number of OOTLs to be released</w:t>
                        </w:r>
                      </w:p>
                    </w:tc>
                    <w:tc>
                      <w:tcPr>
                        <w:tcW w:w="1656" w:type="dxa"/>
                      </w:tcPr>
                      <w:p w:rsidR="00E10FB2" w:rsidRDefault="00B81A0C">
                        <w:pPr>
                          <w:pStyle w:val="TableParagraph"/>
                          <w:spacing w:before="115" w:line="218" w:lineRule="exact"/>
                          <w:ind w:left="640" w:right="167" w:hanging="454"/>
                          <w:rPr>
                            <w:sz w:val="18"/>
                          </w:rPr>
                        </w:pPr>
                        <w:r>
                          <w:rPr>
                            <w:color w:val="0077CC"/>
                            <w:sz w:val="18"/>
                          </w:rPr>
                          <w:t>Minimum Tender Price</w:t>
                        </w:r>
                      </w:p>
                    </w:tc>
                  </w:tr>
                  <w:tr w:rsidR="00E10FB2">
                    <w:trPr>
                      <w:trHeight w:val="340"/>
                    </w:trPr>
                    <w:tc>
                      <w:tcPr>
                        <w:tcW w:w="1654" w:type="dxa"/>
                      </w:tcPr>
                      <w:p w:rsidR="00E10FB2" w:rsidRDefault="00B81A0C">
                        <w:pPr>
                          <w:pStyle w:val="TableParagraph"/>
                          <w:spacing w:before="119" w:line="202" w:lineRule="exact"/>
                          <w:ind w:left="102"/>
                          <w:rPr>
                            <w:sz w:val="18"/>
                          </w:rPr>
                        </w:pPr>
                        <w:r>
                          <w:rPr>
                            <w:sz w:val="18"/>
                          </w:rPr>
                          <w:t>Huon Valley</w:t>
                        </w:r>
                      </w:p>
                    </w:tc>
                    <w:tc>
                      <w:tcPr>
                        <w:tcW w:w="1654" w:type="dxa"/>
                      </w:tcPr>
                      <w:p w:rsidR="00E10FB2" w:rsidRDefault="00B81A0C">
                        <w:pPr>
                          <w:pStyle w:val="TableParagraph"/>
                          <w:ind w:right="44"/>
                          <w:jc w:val="center"/>
                          <w:rPr>
                            <w:sz w:val="18"/>
                          </w:rPr>
                        </w:pPr>
                        <w:r>
                          <w:rPr>
                            <w:sz w:val="18"/>
                          </w:rPr>
                          <w:t>1</w:t>
                        </w:r>
                      </w:p>
                    </w:tc>
                    <w:tc>
                      <w:tcPr>
                        <w:tcW w:w="1656" w:type="dxa"/>
                      </w:tcPr>
                      <w:p w:rsidR="00E10FB2" w:rsidRDefault="00B81A0C">
                        <w:pPr>
                          <w:pStyle w:val="TableParagraph"/>
                          <w:ind w:right="487"/>
                          <w:jc w:val="right"/>
                          <w:rPr>
                            <w:sz w:val="18"/>
                          </w:rPr>
                        </w:pPr>
                        <w:r>
                          <w:rPr>
                            <w:sz w:val="18"/>
                          </w:rPr>
                          <w:t>$7,500</w:t>
                        </w:r>
                      </w:p>
                    </w:tc>
                  </w:tr>
                  <w:tr w:rsidR="00E10FB2">
                    <w:trPr>
                      <w:trHeight w:val="420"/>
                    </w:trPr>
                    <w:tc>
                      <w:tcPr>
                        <w:tcW w:w="1654" w:type="dxa"/>
                      </w:tcPr>
                      <w:p w:rsidR="00E10FB2" w:rsidRDefault="00B81A0C">
                        <w:pPr>
                          <w:pStyle w:val="TableParagraph"/>
                          <w:ind w:left="102"/>
                          <w:rPr>
                            <w:sz w:val="18"/>
                          </w:rPr>
                        </w:pPr>
                        <w:proofErr w:type="spellStart"/>
                        <w:r>
                          <w:rPr>
                            <w:sz w:val="18"/>
                          </w:rPr>
                          <w:t>Glamorgan</w:t>
                        </w:r>
                        <w:proofErr w:type="spellEnd"/>
                        <w:r>
                          <w:rPr>
                            <w:sz w:val="18"/>
                          </w:rPr>
                          <w:t>/Spring</w:t>
                        </w:r>
                      </w:p>
                      <w:p w:rsidR="00E10FB2" w:rsidRDefault="00B81A0C">
                        <w:pPr>
                          <w:pStyle w:val="TableParagraph"/>
                          <w:spacing w:before="1" w:line="199" w:lineRule="exact"/>
                          <w:ind w:left="102"/>
                          <w:rPr>
                            <w:sz w:val="18"/>
                          </w:rPr>
                        </w:pPr>
                        <w:r>
                          <w:rPr>
                            <w:sz w:val="18"/>
                          </w:rPr>
                          <w:t>Bay North</w:t>
                        </w:r>
                      </w:p>
                    </w:tc>
                    <w:tc>
                      <w:tcPr>
                        <w:tcW w:w="1654" w:type="dxa"/>
                      </w:tcPr>
                      <w:p w:rsidR="00E10FB2" w:rsidRDefault="00B81A0C">
                        <w:pPr>
                          <w:pStyle w:val="TableParagraph"/>
                          <w:ind w:right="44"/>
                          <w:jc w:val="center"/>
                          <w:rPr>
                            <w:sz w:val="18"/>
                          </w:rPr>
                        </w:pPr>
                        <w:r>
                          <w:rPr>
                            <w:sz w:val="18"/>
                          </w:rPr>
                          <w:t>1</w:t>
                        </w:r>
                      </w:p>
                    </w:tc>
                    <w:tc>
                      <w:tcPr>
                        <w:tcW w:w="1656" w:type="dxa"/>
                      </w:tcPr>
                      <w:p w:rsidR="00E10FB2" w:rsidRDefault="00B81A0C">
                        <w:pPr>
                          <w:pStyle w:val="TableParagraph"/>
                          <w:ind w:right="487"/>
                          <w:jc w:val="right"/>
                          <w:rPr>
                            <w:sz w:val="18"/>
                          </w:rPr>
                        </w:pPr>
                        <w:r>
                          <w:rPr>
                            <w:sz w:val="18"/>
                          </w:rPr>
                          <w:t>$3,750</w:t>
                        </w:r>
                      </w:p>
                    </w:tc>
                  </w:tr>
                  <w:tr w:rsidR="00E10FB2">
                    <w:trPr>
                      <w:trHeight w:val="340"/>
                    </w:trPr>
                    <w:tc>
                      <w:tcPr>
                        <w:tcW w:w="1654" w:type="dxa"/>
                      </w:tcPr>
                      <w:p w:rsidR="00E10FB2" w:rsidRDefault="00B81A0C">
                        <w:pPr>
                          <w:pStyle w:val="TableParagraph"/>
                          <w:spacing w:before="119" w:line="202" w:lineRule="exact"/>
                          <w:ind w:left="102"/>
                          <w:rPr>
                            <w:sz w:val="18"/>
                          </w:rPr>
                        </w:pPr>
                        <w:r>
                          <w:rPr>
                            <w:sz w:val="18"/>
                          </w:rPr>
                          <w:t>Kentish</w:t>
                        </w:r>
                      </w:p>
                    </w:tc>
                    <w:tc>
                      <w:tcPr>
                        <w:tcW w:w="1654" w:type="dxa"/>
                      </w:tcPr>
                      <w:p w:rsidR="00E10FB2" w:rsidRDefault="00B81A0C">
                        <w:pPr>
                          <w:pStyle w:val="TableParagraph"/>
                          <w:ind w:right="44"/>
                          <w:jc w:val="center"/>
                          <w:rPr>
                            <w:sz w:val="18"/>
                          </w:rPr>
                        </w:pPr>
                        <w:r>
                          <w:rPr>
                            <w:sz w:val="18"/>
                          </w:rPr>
                          <w:t>1</w:t>
                        </w:r>
                      </w:p>
                    </w:tc>
                    <w:tc>
                      <w:tcPr>
                        <w:tcW w:w="1656" w:type="dxa"/>
                      </w:tcPr>
                      <w:p w:rsidR="00E10FB2" w:rsidRDefault="00B81A0C">
                        <w:pPr>
                          <w:pStyle w:val="TableParagraph"/>
                          <w:ind w:right="487"/>
                          <w:jc w:val="right"/>
                          <w:rPr>
                            <w:sz w:val="18"/>
                          </w:rPr>
                        </w:pPr>
                        <w:r>
                          <w:rPr>
                            <w:sz w:val="18"/>
                          </w:rPr>
                          <w:t>$3,750</w:t>
                        </w:r>
                      </w:p>
                    </w:tc>
                  </w:tr>
                  <w:tr w:rsidR="00E10FB2">
                    <w:trPr>
                      <w:trHeight w:val="340"/>
                    </w:trPr>
                    <w:tc>
                      <w:tcPr>
                        <w:tcW w:w="1654" w:type="dxa"/>
                      </w:tcPr>
                      <w:p w:rsidR="00E10FB2" w:rsidRDefault="00B81A0C">
                        <w:pPr>
                          <w:pStyle w:val="TableParagraph"/>
                          <w:spacing w:before="119" w:line="202" w:lineRule="exact"/>
                          <w:ind w:left="102"/>
                          <w:rPr>
                            <w:sz w:val="18"/>
                          </w:rPr>
                        </w:pPr>
                        <w:r>
                          <w:rPr>
                            <w:sz w:val="18"/>
                          </w:rPr>
                          <w:t>Penguin</w:t>
                        </w:r>
                      </w:p>
                    </w:tc>
                    <w:tc>
                      <w:tcPr>
                        <w:tcW w:w="1654" w:type="dxa"/>
                      </w:tcPr>
                      <w:p w:rsidR="00E10FB2" w:rsidRDefault="00B81A0C">
                        <w:pPr>
                          <w:pStyle w:val="TableParagraph"/>
                          <w:ind w:right="44"/>
                          <w:jc w:val="center"/>
                          <w:rPr>
                            <w:sz w:val="18"/>
                          </w:rPr>
                        </w:pPr>
                        <w:r>
                          <w:rPr>
                            <w:sz w:val="18"/>
                          </w:rPr>
                          <w:t>1</w:t>
                        </w:r>
                      </w:p>
                    </w:tc>
                    <w:tc>
                      <w:tcPr>
                        <w:tcW w:w="1656" w:type="dxa"/>
                      </w:tcPr>
                      <w:p w:rsidR="00E10FB2" w:rsidRDefault="00B81A0C">
                        <w:pPr>
                          <w:pStyle w:val="TableParagraph"/>
                          <w:ind w:right="487"/>
                          <w:jc w:val="right"/>
                          <w:rPr>
                            <w:sz w:val="18"/>
                          </w:rPr>
                        </w:pPr>
                        <w:r>
                          <w:rPr>
                            <w:sz w:val="18"/>
                          </w:rPr>
                          <w:t>$3,750</w:t>
                        </w:r>
                      </w:p>
                    </w:tc>
                  </w:tr>
                  <w:tr w:rsidR="00E10FB2">
                    <w:trPr>
                      <w:trHeight w:val="320"/>
                    </w:trPr>
                    <w:tc>
                      <w:tcPr>
                        <w:tcW w:w="1654" w:type="dxa"/>
                      </w:tcPr>
                      <w:p w:rsidR="00E10FB2" w:rsidRDefault="00B81A0C">
                        <w:pPr>
                          <w:pStyle w:val="TableParagraph"/>
                          <w:spacing w:before="119" w:line="199" w:lineRule="exact"/>
                          <w:ind w:left="102"/>
                          <w:rPr>
                            <w:sz w:val="18"/>
                          </w:rPr>
                        </w:pPr>
                        <w:r>
                          <w:rPr>
                            <w:sz w:val="18"/>
                          </w:rPr>
                          <w:t>Tasman</w:t>
                        </w:r>
                      </w:p>
                    </w:tc>
                    <w:tc>
                      <w:tcPr>
                        <w:tcW w:w="1654" w:type="dxa"/>
                      </w:tcPr>
                      <w:p w:rsidR="00E10FB2" w:rsidRDefault="00B81A0C">
                        <w:pPr>
                          <w:pStyle w:val="TableParagraph"/>
                          <w:ind w:right="44"/>
                          <w:jc w:val="center"/>
                          <w:rPr>
                            <w:sz w:val="18"/>
                          </w:rPr>
                        </w:pPr>
                        <w:r>
                          <w:rPr>
                            <w:sz w:val="18"/>
                          </w:rPr>
                          <w:t>1</w:t>
                        </w:r>
                      </w:p>
                    </w:tc>
                    <w:tc>
                      <w:tcPr>
                        <w:tcW w:w="1656" w:type="dxa"/>
                      </w:tcPr>
                      <w:p w:rsidR="00E10FB2" w:rsidRDefault="00B81A0C">
                        <w:pPr>
                          <w:pStyle w:val="TableParagraph"/>
                          <w:ind w:right="487"/>
                          <w:jc w:val="right"/>
                          <w:rPr>
                            <w:sz w:val="18"/>
                          </w:rPr>
                        </w:pPr>
                        <w:r>
                          <w:rPr>
                            <w:sz w:val="18"/>
                          </w:rPr>
                          <w:t>$3,750</w:t>
                        </w:r>
                      </w:p>
                    </w:tc>
                  </w:tr>
                  <w:tr w:rsidR="00E10FB2">
                    <w:trPr>
                      <w:trHeight w:val="340"/>
                    </w:trPr>
                    <w:tc>
                      <w:tcPr>
                        <w:tcW w:w="1654" w:type="dxa"/>
                      </w:tcPr>
                      <w:p w:rsidR="00E10FB2" w:rsidRDefault="00B81A0C">
                        <w:pPr>
                          <w:pStyle w:val="TableParagraph"/>
                          <w:spacing w:before="121" w:line="199" w:lineRule="exact"/>
                          <w:ind w:left="102"/>
                          <w:rPr>
                            <w:sz w:val="18"/>
                          </w:rPr>
                        </w:pPr>
                        <w:r>
                          <w:rPr>
                            <w:sz w:val="18"/>
                          </w:rPr>
                          <w:t>Dorset</w:t>
                        </w:r>
                      </w:p>
                    </w:tc>
                    <w:tc>
                      <w:tcPr>
                        <w:tcW w:w="1654" w:type="dxa"/>
                      </w:tcPr>
                      <w:p w:rsidR="00E10FB2" w:rsidRDefault="00B81A0C">
                        <w:pPr>
                          <w:pStyle w:val="TableParagraph"/>
                          <w:spacing w:before="1" w:line="240" w:lineRule="auto"/>
                          <w:ind w:right="44"/>
                          <w:jc w:val="center"/>
                          <w:rPr>
                            <w:sz w:val="18"/>
                          </w:rPr>
                        </w:pPr>
                        <w:r>
                          <w:rPr>
                            <w:sz w:val="18"/>
                          </w:rPr>
                          <w:t>1</w:t>
                        </w:r>
                      </w:p>
                    </w:tc>
                    <w:tc>
                      <w:tcPr>
                        <w:tcW w:w="1656" w:type="dxa"/>
                      </w:tcPr>
                      <w:p w:rsidR="00E10FB2" w:rsidRDefault="00B81A0C">
                        <w:pPr>
                          <w:pStyle w:val="TableParagraph"/>
                          <w:spacing w:before="1" w:line="240" w:lineRule="auto"/>
                          <w:ind w:right="487"/>
                          <w:jc w:val="right"/>
                          <w:rPr>
                            <w:sz w:val="18"/>
                          </w:rPr>
                        </w:pPr>
                        <w:r>
                          <w:rPr>
                            <w:sz w:val="18"/>
                          </w:rPr>
                          <w:t>$2,250</w:t>
                        </w:r>
                      </w:p>
                    </w:tc>
                  </w:tr>
                  <w:tr w:rsidR="00E10FB2">
                    <w:trPr>
                      <w:trHeight w:val="420"/>
                    </w:trPr>
                    <w:tc>
                      <w:tcPr>
                        <w:tcW w:w="1654" w:type="dxa"/>
                      </w:tcPr>
                      <w:p w:rsidR="00E10FB2" w:rsidRDefault="00B81A0C">
                        <w:pPr>
                          <w:pStyle w:val="TableParagraph"/>
                          <w:ind w:left="102"/>
                          <w:rPr>
                            <w:sz w:val="18"/>
                          </w:rPr>
                        </w:pPr>
                        <w:proofErr w:type="spellStart"/>
                        <w:r>
                          <w:rPr>
                            <w:sz w:val="18"/>
                          </w:rPr>
                          <w:t>Glamorgan</w:t>
                        </w:r>
                        <w:proofErr w:type="spellEnd"/>
                        <w:r>
                          <w:rPr>
                            <w:sz w:val="18"/>
                          </w:rPr>
                          <w:t>/Spring</w:t>
                        </w:r>
                      </w:p>
                      <w:p w:rsidR="00E10FB2" w:rsidRDefault="00B81A0C">
                        <w:pPr>
                          <w:pStyle w:val="TableParagraph"/>
                          <w:spacing w:before="1" w:line="199" w:lineRule="exact"/>
                          <w:ind w:left="102"/>
                          <w:rPr>
                            <w:sz w:val="18"/>
                          </w:rPr>
                        </w:pPr>
                        <w:r>
                          <w:rPr>
                            <w:sz w:val="18"/>
                          </w:rPr>
                          <w:t>Bay South</w:t>
                        </w:r>
                      </w:p>
                    </w:tc>
                    <w:tc>
                      <w:tcPr>
                        <w:tcW w:w="1654" w:type="dxa"/>
                      </w:tcPr>
                      <w:p w:rsidR="00E10FB2" w:rsidRDefault="00B81A0C">
                        <w:pPr>
                          <w:pStyle w:val="TableParagraph"/>
                          <w:ind w:right="44"/>
                          <w:jc w:val="center"/>
                          <w:rPr>
                            <w:sz w:val="18"/>
                          </w:rPr>
                        </w:pPr>
                        <w:r>
                          <w:rPr>
                            <w:sz w:val="18"/>
                          </w:rPr>
                          <w:t>1</w:t>
                        </w:r>
                      </w:p>
                    </w:tc>
                    <w:tc>
                      <w:tcPr>
                        <w:tcW w:w="1656" w:type="dxa"/>
                      </w:tcPr>
                      <w:p w:rsidR="00E10FB2" w:rsidRDefault="00B81A0C">
                        <w:pPr>
                          <w:pStyle w:val="TableParagraph"/>
                          <w:ind w:right="487"/>
                          <w:jc w:val="right"/>
                          <w:rPr>
                            <w:sz w:val="18"/>
                          </w:rPr>
                        </w:pPr>
                        <w:r>
                          <w:rPr>
                            <w:sz w:val="18"/>
                          </w:rPr>
                          <w:t>$1,875</w:t>
                        </w:r>
                      </w:p>
                    </w:tc>
                  </w:tr>
                  <w:tr w:rsidR="00E10FB2">
                    <w:trPr>
                      <w:trHeight w:val="340"/>
                    </w:trPr>
                    <w:tc>
                      <w:tcPr>
                        <w:tcW w:w="1654" w:type="dxa"/>
                      </w:tcPr>
                      <w:p w:rsidR="00E10FB2" w:rsidRDefault="00B81A0C">
                        <w:pPr>
                          <w:pStyle w:val="TableParagraph"/>
                          <w:spacing w:before="121" w:line="199" w:lineRule="exact"/>
                          <w:ind w:left="102"/>
                          <w:rPr>
                            <w:sz w:val="18"/>
                          </w:rPr>
                        </w:pPr>
                        <w:proofErr w:type="spellStart"/>
                        <w:r>
                          <w:rPr>
                            <w:sz w:val="18"/>
                          </w:rPr>
                          <w:t>Bruny</w:t>
                        </w:r>
                        <w:proofErr w:type="spellEnd"/>
                        <w:r>
                          <w:rPr>
                            <w:sz w:val="18"/>
                          </w:rPr>
                          <w:t xml:space="preserve"> Island</w:t>
                        </w:r>
                      </w:p>
                    </w:tc>
                    <w:tc>
                      <w:tcPr>
                        <w:tcW w:w="1654" w:type="dxa"/>
                      </w:tcPr>
                      <w:p w:rsidR="00E10FB2" w:rsidRDefault="00B81A0C">
                        <w:pPr>
                          <w:pStyle w:val="TableParagraph"/>
                          <w:spacing w:before="1" w:line="240" w:lineRule="auto"/>
                          <w:ind w:right="44"/>
                          <w:jc w:val="center"/>
                          <w:rPr>
                            <w:sz w:val="18"/>
                          </w:rPr>
                        </w:pPr>
                        <w:r>
                          <w:rPr>
                            <w:sz w:val="18"/>
                          </w:rPr>
                          <w:t>1</w:t>
                        </w:r>
                      </w:p>
                    </w:tc>
                    <w:tc>
                      <w:tcPr>
                        <w:tcW w:w="1656" w:type="dxa"/>
                      </w:tcPr>
                      <w:p w:rsidR="00E10FB2" w:rsidRDefault="00B81A0C">
                        <w:pPr>
                          <w:pStyle w:val="TableParagraph"/>
                          <w:spacing w:before="1" w:line="240" w:lineRule="auto"/>
                          <w:ind w:right="487"/>
                          <w:jc w:val="right"/>
                          <w:rPr>
                            <w:sz w:val="18"/>
                          </w:rPr>
                        </w:pPr>
                        <w:r>
                          <w:rPr>
                            <w:sz w:val="18"/>
                          </w:rPr>
                          <w:t>$1,000</w:t>
                        </w:r>
                      </w:p>
                    </w:tc>
                  </w:tr>
                  <w:tr w:rsidR="00E10FB2">
                    <w:trPr>
                      <w:trHeight w:val="340"/>
                    </w:trPr>
                    <w:tc>
                      <w:tcPr>
                        <w:tcW w:w="1654" w:type="dxa"/>
                      </w:tcPr>
                      <w:p w:rsidR="00E10FB2" w:rsidRDefault="00B81A0C">
                        <w:pPr>
                          <w:pStyle w:val="TableParagraph"/>
                          <w:spacing w:before="119" w:line="202" w:lineRule="exact"/>
                          <w:ind w:left="136"/>
                          <w:rPr>
                            <w:sz w:val="18"/>
                          </w:rPr>
                        </w:pPr>
                        <w:r>
                          <w:rPr>
                            <w:sz w:val="18"/>
                          </w:rPr>
                          <w:t>Central Highlands</w:t>
                        </w:r>
                      </w:p>
                    </w:tc>
                    <w:tc>
                      <w:tcPr>
                        <w:tcW w:w="1654" w:type="dxa"/>
                      </w:tcPr>
                      <w:p w:rsidR="00E10FB2" w:rsidRDefault="00B81A0C">
                        <w:pPr>
                          <w:pStyle w:val="TableParagraph"/>
                          <w:ind w:right="44"/>
                          <w:jc w:val="center"/>
                          <w:rPr>
                            <w:sz w:val="18"/>
                          </w:rPr>
                        </w:pPr>
                        <w:r>
                          <w:rPr>
                            <w:sz w:val="18"/>
                          </w:rPr>
                          <w:t>1</w:t>
                        </w:r>
                      </w:p>
                    </w:tc>
                    <w:tc>
                      <w:tcPr>
                        <w:tcW w:w="1656" w:type="dxa"/>
                      </w:tcPr>
                      <w:p w:rsidR="00E10FB2" w:rsidRDefault="00B81A0C">
                        <w:pPr>
                          <w:pStyle w:val="TableParagraph"/>
                          <w:ind w:right="487"/>
                          <w:jc w:val="right"/>
                          <w:rPr>
                            <w:sz w:val="18"/>
                          </w:rPr>
                        </w:pPr>
                        <w:r>
                          <w:rPr>
                            <w:sz w:val="18"/>
                          </w:rPr>
                          <w:t>$1,000</w:t>
                        </w:r>
                      </w:p>
                    </w:tc>
                  </w:tr>
                  <w:tr w:rsidR="00E10FB2">
                    <w:trPr>
                      <w:trHeight w:val="340"/>
                    </w:trPr>
                    <w:tc>
                      <w:tcPr>
                        <w:tcW w:w="1654" w:type="dxa"/>
                      </w:tcPr>
                      <w:p w:rsidR="00E10FB2" w:rsidRDefault="00B81A0C">
                        <w:pPr>
                          <w:pStyle w:val="TableParagraph"/>
                          <w:spacing w:before="119" w:line="202" w:lineRule="exact"/>
                          <w:ind w:left="102"/>
                          <w:rPr>
                            <w:sz w:val="18"/>
                          </w:rPr>
                        </w:pPr>
                        <w:r>
                          <w:rPr>
                            <w:sz w:val="18"/>
                          </w:rPr>
                          <w:t>Flinders Island</w:t>
                        </w:r>
                      </w:p>
                    </w:tc>
                    <w:tc>
                      <w:tcPr>
                        <w:tcW w:w="1654" w:type="dxa"/>
                      </w:tcPr>
                      <w:p w:rsidR="00E10FB2" w:rsidRDefault="00B81A0C">
                        <w:pPr>
                          <w:pStyle w:val="TableParagraph"/>
                          <w:ind w:right="44"/>
                          <w:jc w:val="center"/>
                          <w:rPr>
                            <w:sz w:val="18"/>
                          </w:rPr>
                        </w:pPr>
                        <w:r>
                          <w:rPr>
                            <w:sz w:val="18"/>
                          </w:rPr>
                          <w:t>1</w:t>
                        </w:r>
                      </w:p>
                    </w:tc>
                    <w:tc>
                      <w:tcPr>
                        <w:tcW w:w="1656" w:type="dxa"/>
                      </w:tcPr>
                      <w:p w:rsidR="00E10FB2" w:rsidRDefault="00B81A0C">
                        <w:pPr>
                          <w:pStyle w:val="TableParagraph"/>
                          <w:ind w:right="487"/>
                          <w:jc w:val="right"/>
                          <w:rPr>
                            <w:sz w:val="18"/>
                          </w:rPr>
                        </w:pPr>
                        <w:r>
                          <w:rPr>
                            <w:sz w:val="18"/>
                          </w:rPr>
                          <w:t>$1,000</w:t>
                        </w:r>
                      </w:p>
                    </w:tc>
                  </w:tr>
                  <w:tr w:rsidR="00E10FB2">
                    <w:trPr>
                      <w:trHeight w:val="320"/>
                    </w:trPr>
                    <w:tc>
                      <w:tcPr>
                        <w:tcW w:w="1654" w:type="dxa"/>
                      </w:tcPr>
                      <w:p w:rsidR="00E10FB2" w:rsidRDefault="00B81A0C">
                        <w:pPr>
                          <w:pStyle w:val="TableParagraph"/>
                          <w:spacing w:before="119" w:line="199" w:lineRule="exact"/>
                          <w:ind w:left="102"/>
                          <w:rPr>
                            <w:sz w:val="18"/>
                          </w:rPr>
                        </w:pPr>
                        <w:r>
                          <w:rPr>
                            <w:sz w:val="18"/>
                          </w:rPr>
                          <w:t>King Island</w:t>
                        </w:r>
                      </w:p>
                    </w:tc>
                    <w:tc>
                      <w:tcPr>
                        <w:tcW w:w="1654" w:type="dxa"/>
                      </w:tcPr>
                      <w:p w:rsidR="00E10FB2" w:rsidRDefault="00B81A0C">
                        <w:pPr>
                          <w:pStyle w:val="TableParagraph"/>
                          <w:ind w:right="44"/>
                          <w:jc w:val="center"/>
                          <w:rPr>
                            <w:sz w:val="18"/>
                          </w:rPr>
                        </w:pPr>
                        <w:r>
                          <w:rPr>
                            <w:sz w:val="18"/>
                          </w:rPr>
                          <w:t>1</w:t>
                        </w:r>
                      </w:p>
                    </w:tc>
                    <w:tc>
                      <w:tcPr>
                        <w:tcW w:w="1656" w:type="dxa"/>
                      </w:tcPr>
                      <w:p w:rsidR="00E10FB2" w:rsidRDefault="00B81A0C">
                        <w:pPr>
                          <w:pStyle w:val="TableParagraph"/>
                          <w:ind w:right="487"/>
                          <w:jc w:val="right"/>
                          <w:rPr>
                            <w:sz w:val="18"/>
                          </w:rPr>
                        </w:pPr>
                        <w:r>
                          <w:rPr>
                            <w:sz w:val="18"/>
                          </w:rPr>
                          <w:t>$1,000</w:t>
                        </w:r>
                      </w:p>
                    </w:tc>
                  </w:tr>
                  <w:tr w:rsidR="00E10FB2">
                    <w:trPr>
                      <w:trHeight w:val="340"/>
                    </w:trPr>
                    <w:tc>
                      <w:tcPr>
                        <w:tcW w:w="1654" w:type="dxa"/>
                      </w:tcPr>
                      <w:p w:rsidR="00E10FB2" w:rsidRDefault="00B81A0C">
                        <w:pPr>
                          <w:pStyle w:val="TableParagraph"/>
                          <w:spacing w:before="119" w:line="202" w:lineRule="exact"/>
                          <w:ind w:left="102"/>
                          <w:rPr>
                            <w:sz w:val="18"/>
                          </w:rPr>
                        </w:pPr>
                        <w:r>
                          <w:rPr>
                            <w:sz w:val="18"/>
                          </w:rPr>
                          <w:t>West Coast</w:t>
                        </w:r>
                      </w:p>
                    </w:tc>
                    <w:tc>
                      <w:tcPr>
                        <w:tcW w:w="1654" w:type="dxa"/>
                      </w:tcPr>
                      <w:p w:rsidR="00E10FB2" w:rsidRDefault="00B81A0C">
                        <w:pPr>
                          <w:pStyle w:val="TableParagraph"/>
                          <w:ind w:right="44"/>
                          <w:jc w:val="center"/>
                          <w:rPr>
                            <w:sz w:val="18"/>
                          </w:rPr>
                        </w:pPr>
                        <w:r>
                          <w:rPr>
                            <w:sz w:val="18"/>
                          </w:rPr>
                          <w:t>1</w:t>
                        </w:r>
                      </w:p>
                    </w:tc>
                    <w:tc>
                      <w:tcPr>
                        <w:tcW w:w="1656" w:type="dxa"/>
                      </w:tcPr>
                      <w:p w:rsidR="00E10FB2" w:rsidRDefault="00B81A0C">
                        <w:pPr>
                          <w:pStyle w:val="TableParagraph"/>
                          <w:ind w:right="487"/>
                          <w:jc w:val="right"/>
                          <w:rPr>
                            <w:sz w:val="18"/>
                          </w:rPr>
                        </w:pPr>
                        <w:r>
                          <w:rPr>
                            <w:sz w:val="18"/>
                          </w:rPr>
                          <w:t>$1,000</w:t>
                        </w:r>
                      </w:p>
                    </w:tc>
                  </w:tr>
                </w:tbl>
                <w:p w:rsidR="00E10FB2" w:rsidRDefault="00E10FB2">
                  <w:pPr>
                    <w:pStyle w:val="BodyText"/>
                  </w:pPr>
                </w:p>
              </w:txbxContent>
            </v:textbox>
            <w10:wrap type="topAndBottom" anchorx="page"/>
          </v:shape>
        </w:pict>
      </w:r>
      <w:r>
        <w:t>The Transport Commission is required by legislation to make available OOTLs in each Tasmanian taxi area each year.   The number of OOTLs to be released in 2019 for each particular taxi area and minimum tender price is:</w:t>
      </w:r>
    </w:p>
    <w:p w:rsidR="00E10FB2" w:rsidRDefault="00E10FB2">
      <w:pPr>
        <w:pStyle w:val="BodyText"/>
      </w:pPr>
    </w:p>
    <w:p w:rsidR="00E10FB2" w:rsidRDefault="00E10FB2">
      <w:pPr>
        <w:pStyle w:val="BodyText"/>
      </w:pPr>
    </w:p>
    <w:p w:rsidR="00E10FB2" w:rsidRDefault="00B81A0C">
      <w:pPr>
        <w:pStyle w:val="BodyText"/>
        <w:spacing w:before="136" w:line="256" w:lineRule="auto"/>
        <w:ind w:left="112" w:right="419"/>
      </w:pPr>
      <w:r>
        <w:t xml:space="preserve">The OOTLs will be made available by tender. The tender will be open between 28 September 2019 and 2.00pm 16 October 2019 and will be advertised in the major Tasmanian newspapers and at </w:t>
      </w:r>
      <w:hyperlink r:id="rId6">
        <w:r>
          <w:rPr>
            <w:color w:val="0077CC"/>
            <w:u w:val="single" w:color="0077CC"/>
          </w:rPr>
          <w:t>www.tenders.tas.gov.a</w:t>
        </w:r>
        <w:r>
          <w:rPr>
            <w:color w:val="0077CC"/>
            <w:u w:val="single" w:color="0077CC"/>
          </w:rPr>
          <w:t>u</w:t>
        </w:r>
        <w:r>
          <w:t>.</w:t>
        </w:r>
      </w:hyperlink>
    </w:p>
    <w:p w:rsidR="00E10FB2" w:rsidRDefault="00B81A0C">
      <w:pPr>
        <w:pStyle w:val="BodyText"/>
        <w:spacing w:before="123" w:line="259" w:lineRule="auto"/>
        <w:ind w:left="112" w:right="154"/>
      </w:pPr>
      <w:r>
        <w:t xml:space="preserve">The Commission must make OOTLs available for all taxi areas including Hobart. OOTLs must be made available as the moratorium on release of </w:t>
      </w:r>
      <w:proofErr w:type="spellStart"/>
      <w:r>
        <w:t>licences</w:t>
      </w:r>
      <w:proofErr w:type="spellEnd"/>
      <w:r>
        <w:t xml:space="preserve"> has ended. The moratorium prevented any additional OOTLs being made available in all taxi areas for the y</w:t>
      </w:r>
      <w:r>
        <w:t>ears 2016 and 2017 and prevented release of OOTLs in Hobart in 2018.</w:t>
      </w:r>
    </w:p>
    <w:p w:rsidR="00E10FB2" w:rsidRDefault="00E10FB2">
      <w:pPr>
        <w:pStyle w:val="BodyText"/>
        <w:spacing w:before="6"/>
        <w:rPr>
          <w:sz w:val="16"/>
        </w:rPr>
      </w:pPr>
    </w:p>
    <w:p w:rsidR="00E10FB2" w:rsidRDefault="00B81A0C">
      <w:pPr>
        <w:pStyle w:val="BodyText"/>
        <w:spacing w:line="256" w:lineRule="auto"/>
        <w:ind w:left="112" w:right="834"/>
      </w:pPr>
      <w:r>
        <w:t xml:space="preserve">The contact officer for all questions about the tender or submitting a tender is Anne-Maree Mills, Manager Regulations and Concessions.  She may be contacted by email at </w:t>
      </w:r>
      <w:hyperlink r:id="rId7">
        <w:r>
          <w:t>anne-maree.mills@stategrowth.tas.gov.au.</w:t>
        </w:r>
      </w:hyperlink>
    </w:p>
    <w:p w:rsidR="00E10FB2" w:rsidRDefault="00E10FB2">
      <w:pPr>
        <w:spacing w:line="256" w:lineRule="auto"/>
        <w:sectPr w:rsidR="00E10FB2">
          <w:type w:val="continuous"/>
          <w:pgSz w:w="11910" w:h="16840"/>
          <w:pgMar w:top="1580" w:right="540" w:bottom="280" w:left="740" w:header="720" w:footer="720" w:gutter="0"/>
          <w:cols w:space="720"/>
        </w:sectPr>
      </w:pPr>
    </w:p>
    <w:p w:rsidR="00E10FB2" w:rsidRDefault="00B81A0C">
      <w:pPr>
        <w:pStyle w:val="Heading1"/>
        <w:spacing w:before="86"/>
      </w:pPr>
      <w:r>
        <w:rPr>
          <w:color w:val="2D74B5"/>
        </w:rPr>
        <w:lastRenderedPageBreak/>
        <w:t>Appropriate systems for a taxi service</w:t>
      </w:r>
    </w:p>
    <w:p w:rsidR="00E10FB2" w:rsidRDefault="00B81A0C">
      <w:pPr>
        <w:pStyle w:val="BodyText"/>
        <w:spacing w:before="261" w:line="256" w:lineRule="auto"/>
        <w:ind w:left="112" w:right="165"/>
      </w:pPr>
      <w:r>
        <w:t>An accredited operator of a taxi service must have systems (or procedures) that meet the Accreditation Standar</w:t>
      </w:r>
      <w:r>
        <w:t>ds. The Accreditation Standards set out the minimum safety specifications for a passenger transport service.</w:t>
      </w:r>
    </w:p>
    <w:p w:rsidR="00E10FB2" w:rsidRDefault="00E10FB2">
      <w:pPr>
        <w:pStyle w:val="BodyText"/>
        <w:spacing w:before="9"/>
        <w:rPr>
          <w:sz w:val="16"/>
        </w:rPr>
      </w:pPr>
    </w:p>
    <w:p w:rsidR="00E10FB2" w:rsidRDefault="00B81A0C">
      <w:pPr>
        <w:pStyle w:val="BodyText"/>
        <w:ind w:left="112"/>
      </w:pPr>
      <w:r>
        <w:t>When the accreditation systems are working and they meet the Accreditation Standards:</w:t>
      </w:r>
    </w:p>
    <w:p w:rsidR="00E10FB2" w:rsidRDefault="00E10FB2">
      <w:pPr>
        <w:pStyle w:val="BodyText"/>
        <w:spacing w:before="11"/>
        <w:rPr>
          <w:sz w:val="17"/>
        </w:rPr>
      </w:pPr>
    </w:p>
    <w:p w:rsidR="00E10FB2" w:rsidRDefault="00B81A0C">
      <w:pPr>
        <w:pStyle w:val="ListParagraph"/>
        <w:numPr>
          <w:ilvl w:val="0"/>
          <w:numId w:val="1"/>
        </w:numPr>
        <w:tabs>
          <w:tab w:val="left" w:pos="877"/>
          <w:tab w:val="left" w:pos="879"/>
        </w:tabs>
        <w:spacing w:before="0" w:line="259" w:lineRule="auto"/>
        <w:ind w:right="1063"/>
      </w:pPr>
      <w:r>
        <w:t>the accredited operator will be aware of important dates su</w:t>
      </w:r>
      <w:r>
        <w:t>ch as when registrations and vehicle inspections are</w:t>
      </w:r>
      <w:r>
        <w:rPr>
          <w:spacing w:val="-5"/>
        </w:rPr>
        <w:t xml:space="preserve"> </w:t>
      </w:r>
      <w:r>
        <w:t>due</w:t>
      </w:r>
    </w:p>
    <w:p w:rsidR="00E10FB2" w:rsidRDefault="00B81A0C">
      <w:pPr>
        <w:pStyle w:val="ListParagraph"/>
        <w:numPr>
          <w:ilvl w:val="0"/>
          <w:numId w:val="1"/>
        </w:numPr>
        <w:tabs>
          <w:tab w:val="left" w:pos="877"/>
          <w:tab w:val="left" w:pos="879"/>
        </w:tabs>
        <w:spacing w:before="0" w:line="279" w:lineRule="exact"/>
      </w:pPr>
      <w:r>
        <w:t>taxis will be registered and</w:t>
      </w:r>
      <w:r>
        <w:rPr>
          <w:spacing w:val="-6"/>
        </w:rPr>
        <w:t xml:space="preserve"> </w:t>
      </w:r>
      <w:r>
        <w:t>roadworthy</w:t>
      </w:r>
    </w:p>
    <w:p w:rsidR="00E10FB2" w:rsidRDefault="00B81A0C">
      <w:pPr>
        <w:pStyle w:val="ListParagraph"/>
        <w:numPr>
          <w:ilvl w:val="0"/>
          <w:numId w:val="1"/>
        </w:numPr>
        <w:tabs>
          <w:tab w:val="left" w:pos="877"/>
          <w:tab w:val="left" w:pos="879"/>
        </w:tabs>
        <w:spacing w:before="22"/>
      </w:pPr>
      <w:r>
        <w:t>drivers will be appropriately licensed and certified</w:t>
      </w:r>
      <w:r>
        <w:rPr>
          <w:spacing w:val="-5"/>
        </w:rPr>
        <w:t xml:space="preserve"> </w:t>
      </w:r>
      <w:r>
        <w:t>and</w:t>
      </w:r>
    </w:p>
    <w:p w:rsidR="00E10FB2" w:rsidRDefault="00B81A0C">
      <w:pPr>
        <w:pStyle w:val="ListParagraph"/>
        <w:numPr>
          <w:ilvl w:val="0"/>
          <w:numId w:val="1"/>
        </w:numPr>
        <w:tabs>
          <w:tab w:val="left" w:pos="877"/>
          <w:tab w:val="left" w:pos="879"/>
        </w:tabs>
      </w:pPr>
      <w:proofErr w:type="gramStart"/>
      <w:r>
        <w:t>passengers</w:t>
      </w:r>
      <w:proofErr w:type="gramEnd"/>
      <w:r>
        <w:t xml:space="preserve"> and drivers will be</w:t>
      </w:r>
      <w:r>
        <w:rPr>
          <w:spacing w:val="-8"/>
        </w:rPr>
        <w:t xml:space="preserve"> </w:t>
      </w:r>
      <w:r>
        <w:t>safe.</w:t>
      </w:r>
    </w:p>
    <w:p w:rsidR="00E10FB2" w:rsidRDefault="00E10FB2">
      <w:pPr>
        <w:pStyle w:val="BodyText"/>
        <w:spacing w:before="10"/>
        <w:rPr>
          <w:sz w:val="41"/>
        </w:rPr>
      </w:pPr>
    </w:p>
    <w:p w:rsidR="00E10FB2" w:rsidRDefault="00B81A0C">
      <w:pPr>
        <w:pStyle w:val="BodyText"/>
        <w:ind w:left="112"/>
      </w:pPr>
      <w:r>
        <w:t>When the accreditation systems are not working:</w:t>
      </w:r>
    </w:p>
    <w:p w:rsidR="00E10FB2" w:rsidRDefault="00E10FB2">
      <w:pPr>
        <w:pStyle w:val="BodyText"/>
        <w:spacing w:before="11"/>
        <w:rPr>
          <w:sz w:val="17"/>
        </w:rPr>
      </w:pPr>
    </w:p>
    <w:p w:rsidR="00E10FB2" w:rsidRDefault="00B81A0C">
      <w:pPr>
        <w:pStyle w:val="ListParagraph"/>
        <w:numPr>
          <w:ilvl w:val="0"/>
          <w:numId w:val="1"/>
        </w:numPr>
        <w:tabs>
          <w:tab w:val="left" w:pos="877"/>
          <w:tab w:val="left" w:pos="879"/>
        </w:tabs>
        <w:spacing w:before="0"/>
      </w:pPr>
      <w:r>
        <w:t>taxis become unregistered, are not presented for inspection on time, and/or may become</w:t>
      </w:r>
      <w:r>
        <w:rPr>
          <w:spacing w:val="-34"/>
        </w:rPr>
        <w:t xml:space="preserve">  </w:t>
      </w:r>
      <w:proofErr w:type="spellStart"/>
      <w:r>
        <w:t>unroadworthy</w:t>
      </w:r>
      <w:proofErr w:type="spellEnd"/>
    </w:p>
    <w:p w:rsidR="00E10FB2" w:rsidRDefault="00B81A0C">
      <w:pPr>
        <w:pStyle w:val="ListParagraph"/>
        <w:numPr>
          <w:ilvl w:val="0"/>
          <w:numId w:val="1"/>
        </w:numPr>
        <w:tabs>
          <w:tab w:val="left" w:pos="877"/>
          <w:tab w:val="left" w:pos="879"/>
        </w:tabs>
      </w:pPr>
      <w:r>
        <w:t>drivers may not be appropriately licensed and certified</w:t>
      </w:r>
      <w:r>
        <w:rPr>
          <w:spacing w:val="-12"/>
        </w:rPr>
        <w:t xml:space="preserve"> </w:t>
      </w:r>
      <w:r>
        <w:t>and/or</w:t>
      </w:r>
    </w:p>
    <w:p w:rsidR="00E10FB2" w:rsidRDefault="00B81A0C">
      <w:pPr>
        <w:pStyle w:val="ListParagraph"/>
        <w:numPr>
          <w:ilvl w:val="0"/>
          <w:numId w:val="1"/>
        </w:numPr>
        <w:tabs>
          <w:tab w:val="left" w:pos="877"/>
          <w:tab w:val="left" w:pos="879"/>
        </w:tabs>
      </w:pPr>
      <w:proofErr w:type="gramStart"/>
      <w:r>
        <w:t>the</w:t>
      </w:r>
      <w:proofErr w:type="gramEnd"/>
      <w:r>
        <w:t xml:space="preserve"> taxi service may become</w:t>
      </w:r>
      <w:r>
        <w:rPr>
          <w:spacing w:val="-8"/>
        </w:rPr>
        <w:t xml:space="preserve"> </w:t>
      </w:r>
      <w:r>
        <w:t>unsafe.</w:t>
      </w:r>
    </w:p>
    <w:p w:rsidR="00E10FB2" w:rsidRDefault="00B81A0C">
      <w:pPr>
        <w:pStyle w:val="BodyText"/>
        <w:spacing w:before="220" w:line="256" w:lineRule="auto"/>
        <w:ind w:left="112" w:right="221"/>
      </w:pPr>
      <w:r>
        <w:t xml:space="preserve">There is information at </w:t>
      </w:r>
      <w:hyperlink r:id="rId8">
        <w:r>
          <w:rPr>
            <w:color w:val="0077CC"/>
            <w:u w:val="single" w:color="0077CC"/>
          </w:rPr>
          <w:t>https://www.transport.tas.gov.au/passenger/operators</w:t>
        </w:r>
        <w:r>
          <w:rPr>
            <w:color w:val="0077CC"/>
          </w:rPr>
          <w:t xml:space="preserve"> </w:t>
        </w:r>
      </w:hyperlink>
      <w:r>
        <w:t>to help accredited operators build accreditation systems that meet the Accreditation Standards.  This information includes:</w:t>
      </w:r>
    </w:p>
    <w:p w:rsidR="00E10FB2" w:rsidRDefault="00E10FB2">
      <w:pPr>
        <w:pStyle w:val="BodyText"/>
        <w:spacing w:before="6"/>
        <w:rPr>
          <w:sz w:val="16"/>
        </w:rPr>
      </w:pPr>
    </w:p>
    <w:p w:rsidR="00E10FB2" w:rsidRDefault="00B81A0C">
      <w:pPr>
        <w:pStyle w:val="ListParagraph"/>
        <w:numPr>
          <w:ilvl w:val="0"/>
          <w:numId w:val="1"/>
        </w:numPr>
        <w:tabs>
          <w:tab w:val="left" w:pos="832"/>
          <w:tab w:val="left" w:pos="833"/>
        </w:tabs>
        <w:spacing w:before="1"/>
        <w:ind w:left="832" w:hanging="360"/>
      </w:pPr>
      <w:r>
        <w:t xml:space="preserve">the </w:t>
      </w:r>
      <w:r>
        <w:rPr>
          <w:i/>
        </w:rPr>
        <w:t>Operator Accreditation Manual (Taxi</w:t>
      </w:r>
      <w:r>
        <w:rPr>
          <w:i/>
        </w:rPr>
        <w:t xml:space="preserve"> Services) </w:t>
      </w:r>
      <w:r>
        <w:t>which sets out the Accreditation Standards</w:t>
      </w:r>
      <w:r>
        <w:rPr>
          <w:spacing w:val="-29"/>
        </w:rPr>
        <w:t xml:space="preserve"> </w:t>
      </w:r>
      <w:r>
        <w:t>and</w:t>
      </w:r>
    </w:p>
    <w:p w:rsidR="00E10FB2" w:rsidRDefault="00B81A0C">
      <w:pPr>
        <w:pStyle w:val="ListParagraph"/>
        <w:numPr>
          <w:ilvl w:val="0"/>
          <w:numId w:val="1"/>
        </w:numPr>
        <w:tabs>
          <w:tab w:val="left" w:pos="832"/>
          <w:tab w:val="left" w:pos="833"/>
        </w:tabs>
        <w:spacing w:before="22" w:line="259" w:lineRule="auto"/>
        <w:ind w:left="832" w:right="564" w:hanging="360"/>
      </w:pPr>
      <w:proofErr w:type="gramStart"/>
      <w:r>
        <w:t>the</w:t>
      </w:r>
      <w:proofErr w:type="gramEnd"/>
      <w:r>
        <w:t xml:space="preserve"> </w:t>
      </w:r>
      <w:r>
        <w:rPr>
          <w:i/>
        </w:rPr>
        <w:t xml:space="preserve">Operator Accreditation Manual (Forms) </w:t>
      </w:r>
      <w:r>
        <w:t>which sets out the minimum information that you need to collect for your systems to meet the Accreditation</w:t>
      </w:r>
      <w:r>
        <w:rPr>
          <w:spacing w:val="-18"/>
        </w:rPr>
        <w:t xml:space="preserve"> </w:t>
      </w:r>
      <w:r>
        <w:t>Standards.</w:t>
      </w:r>
    </w:p>
    <w:p w:rsidR="00E10FB2" w:rsidRDefault="00E10FB2">
      <w:pPr>
        <w:pStyle w:val="BodyText"/>
        <w:spacing w:before="6"/>
        <w:rPr>
          <w:sz w:val="16"/>
        </w:rPr>
      </w:pPr>
    </w:p>
    <w:p w:rsidR="00E10FB2" w:rsidRDefault="00B81A0C">
      <w:pPr>
        <w:pStyle w:val="BodyText"/>
        <w:spacing w:line="256" w:lineRule="auto"/>
        <w:ind w:left="112" w:right="220"/>
      </w:pPr>
      <w:r>
        <w:t>Accredited operators may choose to co</w:t>
      </w:r>
      <w:r>
        <w:t>llect and store other information that is not included on the Forms and the systems.  Electronic alternatives can be used instead of paper based forms.</w:t>
      </w:r>
    </w:p>
    <w:p w:rsidR="00E10FB2" w:rsidRDefault="00E10FB2">
      <w:pPr>
        <w:pStyle w:val="BodyText"/>
        <w:spacing w:before="6"/>
        <w:rPr>
          <w:sz w:val="16"/>
        </w:rPr>
      </w:pPr>
    </w:p>
    <w:p w:rsidR="00E10FB2" w:rsidRDefault="00B81A0C">
      <w:pPr>
        <w:pStyle w:val="BodyText"/>
        <w:spacing w:before="1" w:line="256" w:lineRule="auto"/>
        <w:ind w:left="112" w:right="314"/>
      </w:pPr>
      <w:r>
        <w:t>Records (including information on the Forms) used for the Accreditation must be kept for at least 3 years, and be available to an auditor or the Commission.</w:t>
      </w:r>
    </w:p>
    <w:p w:rsidR="00E10FB2" w:rsidRDefault="00E10FB2">
      <w:pPr>
        <w:pStyle w:val="BodyText"/>
        <w:spacing w:before="9"/>
        <w:rPr>
          <w:sz w:val="16"/>
        </w:rPr>
      </w:pPr>
    </w:p>
    <w:p w:rsidR="00E10FB2" w:rsidRDefault="00B81A0C">
      <w:pPr>
        <w:pStyle w:val="BodyText"/>
        <w:spacing w:line="259" w:lineRule="auto"/>
        <w:ind w:left="112"/>
      </w:pPr>
      <w:r>
        <w:t xml:space="preserve">Accredited operators need to review their accreditation systems regularly to make sure they work. </w:t>
      </w:r>
      <w:r>
        <w:t xml:space="preserve">This is very important. If a taxi becomes unregistered or </w:t>
      </w:r>
      <w:proofErr w:type="spellStart"/>
      <w:r>
        <w:t>unroadworthy</w:t>
      </w:r>
      <w:proofErr w:type="spellEnd"/>
      <w:r>
        <w:t xml:space="preserve">, the cause of the taxi becoming unregistered or </w:t>
      </w:r>
      <w:proofErr w:type="spellStart"/>
      <w:r>
        <w:t>unroadworthy</w:t>
      </w:r>
      <w:proofErr w:type="spellEnd"/>
      <w:r>
        <w:t xml:space="preserve"> needs to be found. When the cause is found, the operator needs to fix the accreditation systems so that it doesn’t happen ag</w:t>
      </w:r>
      <w:r>
        <w:t>ain.</w:t>
      </w:r>
    </w:p>
    <w:p w:rsidR="00E10FB2" w:rsidRDefault="00E10FB2">
      <w:pPr>
        <w:pStyle w:val="BodyText"/>
        <w:spacing w:before="6"/>
        <w:rPr>
          <w:sz w:val="16"/>
        </w:rPr>
      </w:pPr>
    </w:p>
    <w:p w:rsidR="00E10FB2" w:rsidRDefault="00B81A0C">
      <w:pPr>
        <w:pStyle w:val="BodyText"/>
        <w:spacing w:line="259" w:lineRule="auto"/>
        <w:ind w:left="112" w:right="165"/>
      </w:pPr>
      <w:r>
        <w:t>The accreditation systems are tested by an auditor at regular, scheduled intervals. The audit report provides information that helps the Commission to determine if the accreditation systems meet the Accreditation Standards. If the accreditation syste</w:t>
      </w:r>
      <w:r>
        <w:t>ms do not meet the Accreditation Standards, the Commission will work with the Operator to improve the accreditation systems in various ways which may include education, monitoring, restrictions or sanctions.</w:t>
      </w:r>
    </w:p>
    <w:p w:rsidR="00E10FB2" w:rsidRDefault="00E10FB2">
      <w:pPr>
        <w:pStyle w:val="BodyText"/>
        <w:rPr>
          <w:sz w:val="27"/>
        </w:rPr>
      </w:pPr>
    </w:p>
    <w:p w:rsidR="00E10FB2" w:rsidRDefault="00B81A0C">
      <w:pPr>
        <w:pStyle w:val="Heading1"/>
      </w:pPr>
      <w:r>
        <w:rPr>
          <w:color w:val="2D74B5"/>
        </w:rPr>
        <w:t>Defect notices issued to taxis</w:t>
      </w:r>
    </w:p>
    <w:p w:rsidR="00E10FB2" w:rsidRDefault="00B81A0C">
      <w:pPr>
        <w:pStyle w:val="BodyText"/>
        <w:spacing w:before="260" w:line="256" w:lineRule="auto"/>
        <w:ind w:left="112" w:right="91"/>
      </w:pPr>
      <w:r>
        <w:t>The Transport Sa</w:t>
      </w:r>
      <w:r>
        <w:t xml:space="preserve">fety and Investigation Unit has recently issued traffic infringement notices (TIN) and defect notices for taxis with non-compliant </w:t>
      </w:r>
      <w:proofErr w:type="spellStart"/>
      <w:r>
        <w:t>tyres</w:t>
      </w:r>
      <w:proofErr w:type="spellEnd"/>
      <w:r>
        <w:t xml:space="preserve">. Non-compliant </w:t>
      </w:r>
      <w:proofErr w:type="spellStart"/>
      <w:r>
        <w:t>tyres</w:t>
      </w:r>
      <w:proofErr w:type="spellEnd"/>
      <w:r>
        <w:t xml:space="preserve"> pose a safety risk to drivers and passengers when braking and on slippery or wet roads.</w:t>
      </w:r>
    </w:p>
    <w:p w:rsidR="00E10FB2" w:rsidRDefault="00E10FB2">
      <w:pPr>
        <w:spacing w:line="256" w:lineRule="auto"/>
        <w:sectPr w:rsidR="00E10FB2">
          <w:pgSz w:w="11910" w:h="16840"/>
          <w:pgMar w:top="1280" w:right="640" w:bottom="280" w:left="740" w:header="720" w:footer="720" w:gutter="0"/>
          <w:cols w:space="720"/>
        </w:sectPr>
      </w:pPr>
    </w:p>
    <w:p w:rsidR="00E10FB2" w:rsidRDefault="00B81A0C">
      <w:pPr>
        <w:pStyle w:val="BodyText"/>
        <w:spacing w:before="37" w:line="259" w:lineRule="auto"/>
        <w:ind w:left="112" w:right="165"/>
      </w:pPr>
      <w:r>
        <w:lastRenderedPageBreak/>
        <w:t xml:space="preserve">As part of the Pre-Departure Inspection (Accreditation Standard 2.2) the </w:t>
      </w:r>
      <w:proofErr w:type="spellStart"/>
      <w:r>
        <w:t>tyres</w:t>
      </w:r>
      <w:proofErr w:type="spellEnd"/>
      <w:r>
        <w:t xml:space="preserve"> on every taxi should be looked at each day before the taxi is used. The Pre-Departure Inspection should detect </w:t>
      </w:r>
      <w:proofErr w:type="spellStart"/>
      <w:r>
        <w:t>tyres</w:t>
      </w:r>
      <w:proofErr w:type="spellEnd"/>
      <w:r>
        <w:t xml:space="preserve"> which are nearing replacement well before the</w:t>
      </w:r>
      <w:r>
        <w:t>y become non-compliant and do not meet Vehicle Standards.</w:t>
      </w:r>
    </w:p>
    <w:p w:rsidR="00E10FB2" w:rsidRDefault="00E10FB2">
      <w:pPr>
        <w:pStyle w:val="BodyText"/>
        <w:spacing w:before="6"/>
        <w:rPr>
          <w:sz w:val="16"/>
        </w:rPr>
      </w:pPr>
    </w:p>
    <w:p w:rsidR="00E10FB2" w:rsidRDefault="00B81A0C">
      <w:pPr>
        <w:pStyle w:val="BodyText"/>
        <w:ind w:left="112"/>
      </w:pPr>
      <w:r>
        <w:t xml:space="preserve">When non-compliant </w:t>
      </w:r>
      <w:proofErr w:type="spellStart"/>
      <w:r>
        <w:t>tyres</w:t>
      </w:r>
      <w:proofErr w:type="spellEnd"/>
      <w:r>
        <w:t xml:space="preserve"> are found on a taxi it shows the accreditation systems are not working and:</w:t>
      </w:r>
    </w:p>
    <w:p w:rsidR="00E10FB2" w:rsidRDefault="00E10FB2">
      <w:pPr>
        <w:pStyle w:val="BodyText"/>
        <w:spacing w:before="10"/>
        <w:rPr>
          <w:sz w:val="17"/>
        </w:rPr>
      </w:pPr>
    </w:p>
    <w:p w:rsidR="00E10FB2" w:rsidRDefault="00B81A0C">
      <w:pPr>
        <w:pStyle w:val="ListParagraph"/>
        <w:numPr>
          <w:ilvl w:val="0"/>
          <w:numId w:val="1"/>
        </w:numPr>
        <w:tabs>
          <w:tab w:val="left" w:pos="832"/>
          <w:tab w:val="left" w:pos="833"/>
        </w:tabs>
        <w:spacing w:before="0"/>
        <w:ind w:left="832" w:hanging="360"/>
      </w:pPr>
      <w:r>
        <w:t>when the taxi with the fault is detected on road, a TIN or defect notice may be</w:t>
      </w:r>
      <w:r>
        <w:rPr>
          <w:spacing w:val="-30"/>
        </w:rPr>
        <w:t xml:space="preserve"> </w:t>
      </w:r>
      <w:r>
        <w:t>issued</w:t>
      </w:r>
    </w:p>
    <w:p w:rsidR="00E10FB2" w:rsidRDefault="00B81A0C">
      <w:pPr>
        <w:pStyle w:val="ListParagraph"/>
        <w:numPr>
          <w:ilvl w:val="0"/>
          <w:numId w:val="1"/>
        </w:numPr>
        <w:tabs>
          <w:tab w:val="left" w:pos="832"/>
          <w:tab w:val="left" w:pos="833"/>
        </w:tabs>
        <w:ind w:left="832" w:hanging="360"/>
      </w:pPr>
      <w:r>
        <w:t>when the taxi with the fault is presented for regulatory inspection, the taxi will not pass inspection</w:t>
      </w:r>
      <w:r>
        <w:rPr>
          <w:spacing w:val="-29"/>
        </w:rPr>
        <w:t xml:space="preserve"> </w:t>
      </w:r>
      <w:r>
        <w:t>and</w:t>
      </w:r>
    </w:p>
    <w:p w:rsidR="00E10FB2" w:rsidRDefault="00B81A0C">
      <w:pPr>
        <w:pStyle w:val="ListParagraph"/>
        <w:numPr>
          <w:ilvl w:val="0"/>
          <w:numId w:val="1"/>
        </w:numPr>
        <w:tabs>
          <w:tab w:val="left" w:pos="832"/>
          <w:tab w:val="left" w:pos="833"/>
        </w:tabs>
        <w:spacing w:line="256" w:lineRule="auto"/>
        <w:ind w:left="832" w:right="118" w:hanging="360"/>
      </w:pPr>
      <w:proofErr w:type="gramStart"/>
      <w:r>
        <w:t>when</w:t>
      </w:r>
      <w:proofErr w:type="gramEnd"/>
      <w:r>
        <w:t xml:space="preserve"> the Commission becomes aware that the accreditation systems are not working, the Commission will work with the Operator to improve the safety of</w:t>
      </w:r>
      <w:r>
        <w:t xml:space="preserve"> the taxi</w:t>
      </w:r>
      <w:r>
        <w:rPr>
          <w:spacing w:val="-20"/>
        </w:rPr>
        <w:t xml:space="preserve"> </w:t>
      </w:r>
      <w:r>
        <w:t>service.</w:t>
      </w:r>
    </w:p>
    <w:p w:rsidR="00E10FB2" w:rsidRDefault="00E10FB2">
      <w:pPr>
        <w:pStyle w:val="BodyText"/>
        <w:spacing w:before="8"/>
        <w:rPr>
          <w:sz w:val="16"/>
        </w:rPr>
      </w:pPr>
    </w:p>
    <w:p w:rsidR="00E10FB2" w:rsidRDefault="00B81A0C">
      <w:pPr>
        <w:pStyle w:val="BodyText"/>
        <w:ind w:left="112"/>
      </w:pPr>
      <w:r>
        <w:t>Pre-Departure Inspection reports must be kept for 3 years (Accreditation Standard 1.2 Record Keeping).</w:t>
      </w:r>
    </w:p>
    <w:p w:rsidR="00E10FB2" w:rsidRDefault="00E10FB2">
      <w:pPr>
        <w:pStyle w:val="BodyText"/>
        <w:rPr>
          <w:sz w:val="18"/>
        </w:rPr>
      </w:pPr>
    </w:p>
    <w:p w:rsidR="00E10FB2" w:rsidRDefault="00B81A0C">
      <w:pPr>
        <w:pStyle w:val="BodyText"/>
        <w:spacing w:line="259" w:lineRule="auto"/>
        <w:ind w:left="112" w:right="232"/>
      </w:pPr>
      <w:r>
        <w:t>If a taxi has been issued with a defect notice or does not pass the regulatory inspection, the accreditation systems should be revis</w:t>
      </w:r>
      <w:r>
        <w:t>ed to establish the factors that led to the taxi being used on-road when it was defective. Some things to do are:</w:t>
      </w:r>
    </w:p>
    <w:p w:rsidR="00E10FB2" w:rsidRDefault="00E10FB2">
      <w:pPr>
        <w:pStyle w:val="BodyText"/>
        <w:spacing w:before="4"/>
        <w:rPr>
          <w:sz w:val="16"/>
        </w:rPr>
      </w:pPr>
    </w:p>
    <w:p w:rsidR="00E10FB2" w:rsidRDefault="00B81A0C">
      <w:pPr>
        <w:pStyle w:val="ListParagraph"/>
        <w:numPr>
          <w:ilvl w:val="0"/>
          <w:numId w:val="1"/>
        </w:numPr>
        <w:tabs>
          <w:tab w:val="left" w:pos="832"/>
          <w:tab w:val="left" w:pos="833"/>
        </w:tabs>
        <w:spacing w:before="0"/>
        <w:ind w:left="832" w:hanging="360"/>
      </w:pPr>
      <w:r>
        <w:t>review the pre-departure checklist to ensure details are included in relation to each item to be</w:t>
      </w:r>
      <w:r>
        <w:rPr>
          <w:spacing w:val="-27"/>
        </w:rPr>
        <w:t xml:space="preserve"> </w:t>
      </w:r>
      <w:r>
        <w:t>inspected</w:t>
      </w:r>
    </w:p>
    <w:p w:rsidR="00E10FB2" w:rsidRDefault="00B81A0C">
      <w:pPr>
        <w:pStyle w:val="ListParagraph"/>
        <w:numPr>
          <w:ilvl w:val="0"/>
          <w:numId w:val="1"/>
        </w:numPr>
        <w:tabs>
          <w:tab w:val="left" w:pos="832"/>
          <w:tab w:val="left" w:pos="833"/>
        </w:tabs>
        <w:ind w:left="832" w:hanging="360"/>
      </w:pPr>
      <w:r>
        <w:t>check drivers are aware of their r</w:t>
      </w:r>
      <w:r>
        <w:t>esponsibilities when performing a pre-departure</w:t>
      </w:r>
      <w:r>
        <w:rPr>
          <w:spacing w:val="-20"/>
        </w:rPr>
        <w:t xml:space="preserve"> </w:t>
      </w:r>
      <w:r>
        <w:t>inspection</w:t>
      </w:r>
    </w:p>
    <w:p w:rsidR="00E10FB2" w:rsidRDefault="00B81A0C">
      <w:pPr>
        <w:pStyle w:val="ListParagraph"/>
        <w:numPr>
          <w:ilvl w:val="0"/>
          <w:numId w:val="1"/>
        </w:numPr>
        <w:tabs>
          <w:tab w:val="left" w:pos="832"/>
          <w:tab w:val="left" w:pos="833"/>
        </w:tabs>
        <w:spacing w:before="19"/>
        <w:ind w:left="832" w:hanging="360"/>
      </w:pPr>
      <w:r>
        <w:t>make any necessary improvements to the system to ensure conformance into the future</w:t>
      </w:r>
      <w:r>
        <w:rPr>
          <w:spacing w:val="-23"/>
        </w:rPr>
        <w:t xml:space="preserve"> </w:t>
      </w:r>
      <w:r>
        <w:t>and</w:t>
      </w:r>
    </w:p>
    <w:p w:rsidR="00E10FB2" w:rsidRDefault="00B81A0C">
      <w:pPr>
        <w:pStyle w:val="ListParagraph"/>
        <w:numPr>
          <w:ilvl w:val="0"/>
          <w:numId w:val="1"/>
        </w:numPr>
        <w:tabs>
          <w:tab w:val="left" w:pos="832"/>
          <w:tab w:val="left" w:pos="833"/>
        </w:tabs>
        <w:spacing w:before="22" w:line="259" w:lineRule="auto"/>
        <w:ind w:left="832" w:right="159" w:hanging="360"/>
      </w:pPr>
      <w:proofErr w:type="gramStart"/>
      <w:r>
        <w:t>tell</w:t>
      </w:r>
      <w:proofErr w:type="gramEnd"/>
      <w:r>
        <w:t xml:space="preserve"> employees / drivers about the improvements and ensure employees / drivers sign a form acknowledging that</w:t>
      </w:r>
      <w:r>
        <w:t xml:space="preserve"> they aware of and understand the procedures (these forms are kept with the</w:t>
      </w:r>
      <w:r>
        <w:rPr>
          <w:spacing w:val="-19"/>
        </w:rPr>
        <w:t xml:space="preserve"> </w:t>
      </w:r>
      <w:r>
        <w:t>records).</w:t>
      </w:r>
    </w:p>
    <w:p w:rsidR="00E10FB2" w:rsidRDefault="00B81A0C">
      <w:pPr>
        <w:pStyle w:val="Heading1"/>
        <w:spacing w:before="171"/>
      </w:pPr>
      <w:r>
        <w:rPr>
          <w:color w:val="2D74B5"/>
        </w:rPr>
        <w:t xml:space="preserve">Taxi driver </w:t>
      </w:r>
      <w:bookmarkStart w:id="0" w:name="_GoBack"/>
      <w:bookmarkEnd w:id="0"/>
      <w:r>
        <w:rPr>
          <w:color w:val="2D74B5"/>
          <w:spacing w:val="-58"/>
        </w:rPr>
        <w:t xml:space="preserve"> </w:t>
      </w:r>
      <w:proofErr w:type="spellStart"/>
      <w:r>
        <w:rPr>
          <w:color w:val="2D74B5"/>
        </w:rPr>
        <w:t>authorisations</w:t>
      </w:r>
      <w:proofErr w:type="spellEnd"/>
    </w:p>
    <w:p w:rsidR="00E10FB2" w:rsidRDefault="00B81A0C">
      <w:pPr>
        <w:pStyle w:val="BodyText"/>
        <w:spacing w:before="177" w:line="256" w:lineRule="auto"/>
        <w:ind w:left="112" w:right="509"/>
      </w:pPr>
      <w:r>
        <w:t>Accredited operators are responsible for ensuring their drivers are appropriately licensed and certified to drive public passenger vehicles.</w:t>
      </w:r>
    </w:p>
    <w:p w:rsidR="00E10FB2" w:rsidRDefault="00B81A0C">
      <w:pPr>
        <w:pStyle w:val="BodyText"/>
        <w:spacing w:before="123" w:line="403" w:lineRule="auto"/>
        <w:ind w:left="112" w:right="4332"/>
      </w:pPr>
      <w:r>
        <w:t xml:space="preserve">There is a new on-line tool available on the State Growth website at </w:t>
      </w:r>
      <w:hyperlink r:id="rId9">
        <w:r>
          <w:rPr>
            <w:color w:val="0077CC"/>
          </w:rPr>
          <w:t>https://ptinfo.transport.tas.gov.au/ancillary_check.aspx</w:t>
        </w:r>
      </w:hyperlink>
    </w:p>
    <w:p w:rsidR="00E10FB2" w:rsidRDefault="00B81A0C">
      <w:pPr>
        <w:pStyle w:val="BodyText"/>
        <w:ind w:left="112" w:right="91"/>
      </w:pPr>
      <w:r>
        <w:t xml:space="preserve">The on-line tool allows operators to check that their </w:t>
      </w:r>
      <w:r>
        <w:t xml:space="preserve">drivers have a current driver </w:t>
      </w:r>
      <w:proofErr w:type="spellStart"/>
      <w:r>
        <w:t>licence</w:t>
      </w:r>
      <w:proofErr w:type="spellEnd"/>
      <w:r>
        <w:t xml:space="preserve"> and ancillary certificate by entering the correct driver </w:t>
      </w:r>
      <w:proofErr w:type="spellStart"/>
      <w:r>
        <w:t>licence</w:t>
      </w:r>
      <w:proofErr w:type="spellEnd"/>
      <w:r>
        <w:t xml:space="preserve"> number and surname of their driver.</w:t>
      </w:r>
    </w:p>
    <w:p w:rsidR="00E10FB2" w:rsidRDefault="00B81A0C">
      <w:pPr>
        <w:pStyle w:val="Heading1"/>
        <w:spacing w:before="174"/>
      </w:pPr>
      <w:r>
        <w:rPr>
          <w:color w:val="2D74B5"/>
        </w:rPr>
        <w:t>Taxi Smartcard Supplement</w:t>
      </w:r>
    </w:p>
    <w:p w:rsidR="00E10FB2" w:rsidRDefault="00B81A0C">
      <w:pPr>
        <w:pStyle w:val="BodyText"/>
        <w:spacing w:before="259" w:line="259" w:lineRule="auto"/>
        <w:ind w:left="112" w:right="221"/>
      </w:pPr>
      <w:r>
        <w:t>A holder of a Taxi Smartcard who is a participant of the NDIS can keep their Taxi Smartcard</w:t>
      </w:r>
      <w:r>
        <w:t xml:space="preserve"> until 31 December 2023. The amount of taxi subsidies that they can use on their Taxi Smartcard will be capped. The amount of the cap is:</w:t>
      </w:r>
    </w:p>
    <w:p w:rsidR="00E10FB2" w:rsidRDefault="00E10FB2">
      <w:pPr>
        <w:pStyle w:val="BodyText"/>
        <w:spacing w:before="1"/>
        <w:rPr>
          <w:sz w:val="19"/>
        </w:rPr>
      </w:pPr>
    </w:p>
    <w:tbl>
      <w:tblPr>
        <w:tblW w:w="0" w:type="auto"/>
        <w:tblInd w:w="10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268"/>
        <w:gridCol w:w="3545"/>
        <w:gridCol w:w="4391"/>
      </w:tblGrid>
      <w:tr w:rsidR="00E10FB2">
        <w:trPr>
          <w:trHeight w:val="660"/>
        </w:trPr>
        <w:tc>
          <w:tcPr>
            <w:tcW w:w="2268" w:type="dxa"/>
            <w:tcBorders>
              <w:top w:val="nil"/>
              <w:left w:val="nil"/>
            </w:tcBorders>
          </w:tcPr>
          <w:p w:rsidR="00E10FB2" w:rsidRDefault="00E10FB2">
            <w:pPr>
              <w:pStyle w:val="TableParagraph"/>
              <w:spacing w:line="240" w:lineRule="auto"/>
              <w:rPr>
                <w:rFonts w:ascii="Times New Roman"/>
                <w:sz w:val="20"/>
              </w:rPr>
            </w:pPr>
          </w:p>
        </w:tc>
        <w:tc>
          <w:tcPr>
            <w:tcW w:w="3545" w:type="dxa"/>
          </w:tcPr>
          <w:p w:rsidR="00E10FB2" w:rsidRDefault="00B81A0C">
            <w:pPr>
              <w:pStyle w:val="TableParagraph"/>
              <w:spacing w:before="119" w:line="240" w:lineRule="auto"/>
              <w:ind w:left="1044"/>
              <w:rPr>
                <w:sz w:val="18"/>
              </w:rPr>
            </w:pPr>
            <w:r>
              <w:rPr>
                <w:color w:val="0077CC"/>
                <w:sz w:val="18"/>
              </w:rPr>
              <w:t>Travel in a wheelchair</w:t>
            </w:r>
          </w:p>
        </w:tc>
        <w:tc>
          <w:tcPr>
            <w:tcW w:w="4391" w:type="dxa"/>
          </w:tcPr>
          <w:p w:rsidR="00E10FB2" w:rsidRDefault="00B81A0C">
            <w:pPr>
              <w:pStyle w:val="TableParagraph"/>
              <w:spacing w:before="119" w:line="240" w:lineRule="auto"/>
              <w:ind w:left="1212"/>
              <w:rPr>
                <w:sz w:val="18"/>
              </w:rPr>
            </w:pPr>
            <w:r>
              <w:rPr>
                <w:color w:val="0077CC"/>
                <w:sz w:val="18"/>
              </w:rPr>
              <w:t>Do not travel in a wheelchair</w:t>
            </w:r>
          </w:p>
        </w:tc>
      </w:tr>
      <w:tr w:rsidR="00E10FB2">
        <w:trPr>
          <w:trHeight w:val="740"/>
        </w:trPr>
        <w:tc>
          <w:tcPr>
            <w:tcW w:w="2268" w:type="dxa"/>
          </w:tcPr>
          <w:p w:rsidR="00E10FB2" w:rsidRDefault="00B81A0C">
            <w:pPr>
              <w:pStyle w:val="TableParagraph"/>
              <w:spacing w:before="119" w:line="240" w:lineRule="auto"/>
              <w:ind w:left="103"/>
              <w:rPr>
                <w:sz w:val="18"/>
              </w:rPr>
            </w:pPr>
            <w:r>
              <w:rPr>
                <w:sz w:val="18"/>
              </w:rPr>
              <w:t>Cap - Year 1</w:t>
            </w:r>
          </w:p>
        </w:tc>
        <w:tc>
          <w:tcPr>
            <w:tcW w:w="3545" w:type="dxa"/>
          </w:tcPr>
          <w:p w:rsidR="00E10FB2" w:rsidRDefault="00B81A0C">
            <w:pPr>
              <w:pStyle w:val="TableParagraph"/>
              <w:spacing w:before="119" w:line="240" w:lineRule="auto"/>
              <w:ind w:left="308" w:right="308"/>
              <w:jc w:val="center"/>
              <w:rPr>
                <w:sz w:val="18"/>
              </w:rPr>
            </w:pPr>
            <w:r>
              <w:rPr>
                <w:sz w:val="18"/>
              </w:rPr>
              <w:t>$1,000.00</w:t>
            </w:r>
          </w:p>
          <w:p w:rsidR="00E10FB2" w:rsidRDefault="00B81A0C">
            <w:pPr>
              <w:pStyle w:val="TableParagraph"/>
              <w:spacing w:before="155" w:line="240" w:lineRule="auto"/>
              <w:ind w:left="308" w:right="310"/>
              <w:jc w:val="center"/>
              <w:rPr>
                <w:sz w:val="18"/>
              </w:rPr>
            </w:pPr>
            <w:r>
              <w:rPr>
                <w:sz w:val="18"/>
              </w:rPr>
              <w:t>(60% of taxi fares up to $30.00 per trip)</w:t>
            </w:r>
          </w:p>
        </w:tc>
        <w:tc>
          <w:tcPr>
            <w:tcW w:w="4391" w:type="dxa"/>
          </w:tcPr>
          <w:p w:rsidR="00E10FB2" w:rsidRDefault="00B81A0C">
            <w:pPr>
              <w:pStyle w:val="TableParagraph"/>
              <w:spacing w:before="119" w:line="240" w:lineRule="auto"/>
              <w:ind w:left="448" w:right="732"/>
              <w:jc w:val="center"/>
              <w:rPr>
                <w:sz w:val="18"/>
              </w:rPr>
            </w:pPr>
            <w:r>
              <w:rPr>
                <w:sz w:val="18"/>
              </w:rPr>
              <w:t>$1,000.00</w:t>
            </w:r>
          </w:p>
          <w:p w:rsidR="00E10FB2" w:rsidRDefault="00B81A0C">
            <w:pPr>
              <w:pStyle w:val="TableParagraph"/>
              <w:spacing w:before="155" w:line="240" w:lineRule="auto"/>
              <w:ind w:left="739"/>
              <w:rPr>
                <w:sz w:val="18"/>
              </w:rPr>
            </w:pPr>
            <w:r>
              <w:rPr>
                <w:sz w:val="18"/>
              </w:rPr>
              <w:t>(50% of taxi fares up to $25.00 per trip)</w:t>
            </w:r>
          </w:p>
        </w:tc>
      </w:tr>
      <w:tr w:rsidR="00E10FB2">
        <w:trPr>
          <w:trHeight w:val="740"/>
        </w:trPr>
        <w:tc>
          <w:tcPr>
            <w:tcW w:w="2268" w:type="dxa"/>
          </w:tcPr>
          <w:p w:rsidR="00E10FB2" w:rsidRDefault="00B81A0C">
            <w:pPr>
              <w:pStyle w:val="TableParagraph"/>
              <w:spacing w:before="119" w:line="276" w:lineRule="auto"/>
              <w:ind w:left="103" w:right="377"/>
              <w:rPr>
                <w:sz w:val="18"/>
              </w:rPr>
            </w:pPr>
            <w:r>
              <w:rPr>
                <w:sz w:val="18"/>
              </w:rPr>
              <w:t>Cap - Each other year until 31 December 2023</w:t>
            </w:r>
          </w:p>
        </w:tc>
        <w:tc>
          <w:tcPr>
            <w:tcW w:w="3545" w:type="dxa"/>
          </w:tcPr>
          <w:p w:rsidR="00E10FB2" w:rsidRDefault="00B81A0C">
            <w:pPr>
              <w:pStyle w:val="TableParagraph"/>
              <w:spacing w:before="119" w:line="240" w:lineRule="auto"/>
              <w:ind w:left="308" w:right="226"/>
              <w:jc w:val="center"/>
              <w:rPr>
                <w:sz w:val="18"/>
              </w:rPr>
            </w:pPr>
            <w:r>
              <w:rPr>
                <w:sz w:val="18"/>
              </w:rPr>
              <w:t>$350.00</w:t>
            </w:r>
          </w:p>
          <w:p w:rsidR="00E10FB2" w:rsidRDefault="00B81A0C">
            <w:pPr>
              <w:pStyle w:val="TableParagraph"/>
              <w:spacing w:before="152" w:line="240" w:lineRule="auto"/>
              <w:ind w:left="308" w:right="310"/>
              <w:jc w:val="center"/>
              <w:rPr>
                <w:sz w:val="18"/>
              </w:rPr>
            </w:pPr>
            <w:r>
              <w:rPr>
                <w:sz w:val="18"/>
              </w:rPr>
              <w:t>(60% of taxi fares up to $30.00 per trip)</w:t>
            </w:r>
          </w:p>
        </w:tc>
        <w:tc>
          <w:tcPr>
            <w:tcW w:w="4391" w:type="dxa"/>
          </w:tcPr>
          <w:p w:rsidR="00E10FB2" w:rsidRDefault="00B81A0C">
            <w:pPr>
              <w:pStyle w:val="TableParagraph"/>
              <w:spacing w:before="119" w:line="240" w:lineRule="auto"/>
              <w:ind w:left="615" w:right="732"/>
              <w:jc w:val="center"/>
              <w:rPr>
                <w:sz w:val="18"/>
              </w:rPr>
            </w:pPr>
            <w:r>
              <w:rPr>
                <w:sz w:val="18"/>
              </w:rPr>
              <w:t>$350.00</w:t>
            </w:r>
          </w:p>
          <w:p w:rsidR="00E10FB2" w:rsidRDefault="00B81A0C">
            <w:pPr>
              <w:pStyle w:val="TableParagraph"/>
              <w:spacing w:before="152" w:line="240" w:lineRule="auto"/>
              <w:ind w:left="730" w:right="732"/>
              <w:jc w:val="center"/>
              <w:rPr>
                <w:sz w:val="18"/>
              </w:rPr>
            </w:pPr>
            <w:r>
              <w:rPr>
                <w:sz w:val="18"/>
              </w:rPr>
              <w:t>(50% of taxi fares up to $25.00 per trip)</w:t>
            </w:r>
          </w:p>
        </w:tc>
      </w:tr>
    </w:tbl>
    <w:p w:rsidR="00E10FB2" w:rsidRDefault="00E10FB2">
      <w:pPr>
        <w:jc w:val="center"/>
        <w:rPr>
          <w:sz w:val="18"/>
        </w:rPr>
        <w:sectPr w:rsidR="00E10FB2">
          <w:pgSz w:w="11910" w:h="16840"/>
          <w:pgMar w:top="1360" w:right="640" w:bottom="280" w:left="740" w:header="720" w:footer="720" w:gutter="0"/>
          <w:cols w:space="720"/>
        </w:sectPr>
      </w:pPr>
    </w:p>
    <w:p w:rsidR="00E10FB2" w:rsidRDefault="00B81A0C">
      <w:pPr>
        <w:pStyle w:val="BodyText"/>
        <w:spacing w:before="37"/>
        <w:ind w:left="112"/>
      </w:pPr>
      <w:r>
        <w:lastRenderedPageBreak/>
        <w:t>There are rules for an NDIS participant using their Taxi Smartcard.  The rules are:</w:t>
      </w:r>
    </w:p>
    <w:p w:rsidR="00E10FB2" w:rsidRDefault="00E10FB2">
      <w:pPr>
        <w:pStyle w:val="BodyText"/>
        <w:spacing w:before="2"/>
        <w:rPr>
          <w:sz w:val="18"/>
        </w:rPr>
      </w:pPr>
    </w:p>
    <w:p w:rsidR="00E10FB2" w:rsidRDefault="00B81A0C">
      <w:pPr>
        <w:pStyle w:val="ListParagraph"/>
        <w:numPr>
          <w:ilvl w:val="0"/>
          <w:numId w:val="1"/>
        </w:numPr>
        <w:tabs>
          <w:tab w:val="left" w:pos="832"/>
          <w:tab w:val="left" w:pos="833"/>
        </w:tabs>
        <w:spacing w:before="0"/>
        <w:ind w:left="832" w:hanging="360"/>
      </w:pPr>
      <w:r>
        <w:t>taxis are not</w:t>
      </w:r>
      <w:r>
        <w:rPr>
          <w:spacing w:val="-5"/>
        </w:rPr>
        <w:t xml:space="preserve"> </w:t>
      </w:r>
      <w:r>
        <w:t>free</w:t>
      </w:r>
    </w:p>
    <w:p w:rsidR="00E10FB2" w:rsidRDefault="00B81A0C">
      <w:pPr>
        <w:pStyle w:val="ListParagraph"/>
        <w:numPr>
          <w:ilvl w:val="0"/>
          <w:numId w:val="1"/>
        </w:numPr>
        <w:tabs>
          <w:tab w:val="left" w:pos="832"/>
          <w:tab w:val="left" w:pos="833"/>
        </w:tabs>
        <w:spacing w:before="22"/>
        <w:ind w:left="832" w:hanging="360"/>
      </w:pPr>
      <w:r>
        <w:t>Taxi Smartcard users need to pay for some of the taxi</w:t>
      </w:r>
      <w:r>
        <w:rPr>
          <w:spacing w:val="-24"/>
        </w:rPr>
        <w:t xml:space="preserve"> </w:t>
      </w:r>
      <w:r>
        <w:t>fare</w:t>
      </w:r>
    </w:p>
    <w:p w:rsidR="00E10FB2" w:rsidRDefault="00B81A0C">
      <w:pPr>
        <w:pStyle w:val="ListParagraph"/>
        <w:numPr>
          <w:ilvl w:val="0"/>
          <w:numId w:val="1"/>
        </w:numPr>
        <w:tabs>
          <w:tab w:val="left" w:pos="832"/>
          <w:tab w:val="left" w:pos="833"/>
        </w:tabs>
        <w:spacing w:before="19"/>
        <w:ind w:left="832" w:hanging="360"/>
      </w:pPr>
      <w:r>
        <w:t>the Taxi Smartcard cannot be used at the same time as transport funding in the NDIS plan</w:t>
      </w:r>
      <w:r>
        <w:rPr>
          <w:spacing w:val="-25"/>
        </w:rPr>
        <w:t xml:space="preserve"> </w:t>
      </w:r>
      <w:r>
        <w:t>and</w:t>
      </w:r>
    </w:p>
    <w:p w:rsidR="00E10FB2" w:rsidRDefault="00B81A0C">
      <w:pPr>
        <w:pStyle w:val="ListParagraph"/>
        <w:numPr>
          <w:ilvl w:val="0"/>
          <w:numId w:val="1"/>
        </w:numPr>
        <w:tabs>
          <w:tab w:val="left" w:pos="832"/>
          <w:tab w:val="left" w:pos="833"/>
        </w:tabs>
        <w:ind w:left="832" w:hanging="360"/>
      </w:pPr>
      <w:proofErr w:type="gramStart"/>
      <w:r>
        <w:t>the</w:t>
      </w:r>
      <w:proofErr w:type="gramEnd"/>
      <w:r>
        <w:t xml:space="preserve"> Taxi Smartcard cannot be given to anyone</w:t>
      </w:r>
      <w:r>
        <w:rPr>
          <w:spacing w:val="-7"/>
        </w:rPr>
        <w:t xml:space="preserve"> </w:t>
      </w:r>
      <w:r>
        <w:t>else.</w:t>
      </w:r>
    </w:p>
    <w:p w:rsidR="00E10FB2" w:rsidRDefault="00B81A0C">
      <w:pPr>
        <w:pStyle w:val="BodyText"/>
        <w:spacing w:before="220" w:line="439" w:lineRule="auto"/>
        <w:ind w:left="112" w:right="2354"/>
      </w:pPr>
      <w:r>
        <w:t>The cap will not apply to a holder of a Taxi Smartcard who is not a participant of the NDIS. The next Taxi Newsletter will set out the date when the cap will begin.</w:t>
      </w:r>
    </w:p>
    <w:p w:rsidR="00E10FB2" w:rsidRDefault="00B81A0C">
      <w:pPr>
        <w:pStyle w:val="Heading1"/>
        <w:spacing w:line="339" w:lineRule="exact"/>
      </w:pPr>
      <w:r>
        <w:rPr>
          <w:color w:val="2D74B5"/>
        </w:rPr>
        <w:t>Wheelchair-accessible taxi (WAT) interim</w:t>
      </w:r>
      <w:r>
        <w:rPr>
          <w:color w:val="2D74B5"/>
        </w:rPr>
        <w:t xml:space="preserve"> trip subsidy payments</w:t>
      </w:r>
    </w:p>
    <w:p w:rsidR="00E10FB2" w:rsidRDefault="00B81A0C">
      <w:pPr>
        <w:pStyle w:val="BodyText"/>
        <w:spacing w:before="259"/>
        <w:ind w:left="112"/>
      </w:pPr>
      <w:r>
        <w:t>Interim WAT trip subsidy payments (Interim WAT payments) stopped on 1 July 2019.</w:t>
      </w:r>
    </w:p>
    <w:p w:rsidR="00E10FB2" w:rsidRDefault="00E10FB2">
      <w:pPr>
        <w:pStyle w:val="BodyText"/>
        <w:rPr>
          <w:sz w:val="18"/>
        </w:rPr>
      </w:pPr>
    </w:p>
    <w:p w:rsidR="00E10FB2" w:rsidRDefault="00B81A0C">
      <w:pPr>
        <w:pStyle w:val="BodyText"/>
        <w:spacing w:line="259" w:lineRule="auto"/>
        <w:ind w:left="112"/>
      </w:pPr>
      <w:r>
        <w:t>Interim WAT payments were put in place in September 2016. Interim WAT payments were intended to serve as a proxy for the WAT trip subsidy payments that</w:t>
      </w:r>
      <w:r>
        <w:t xml:space="preserve"> WAT operators would no longer receive. WAT trip subsidy payments were no longer made as Taxi Smartcards were cancelled when the holder became a participant of the NDIS.</w:t>
      </w:r>
    </w:p>
    <w:p w:rsidR="00E10FB2" w:rsidRDefault="00E10FB2">
      <w:pPr>
        <w:pStyle w:val="BodyText"/>
        <w:spacing w:before="6"/>
        <w:rPr>
          <w:sz w:val="16"/>
        </w:rPr>
      </w:pPr>
    </w:p>
    <w:p w:rsidR="00E10FB2" w:rsidRDefault="00B81A0C">
      <w:pPr>
        <w:pStyle w:val="BodyText"/>
        <w:spacing w:line="256" w:lineRule="auto"/>
        <w:ind w:left="112" w:right="86"/>
      </w:pPr>
      <w:r>
        <w:t>Participants of the NDIS will now keep their Taxi Smartcards until the end of 2023. I</w:t>
      </w:r>
      <w:r>
        <w:t>t follows that WAT operators will continue to receive the WAT trip subsidy payments until December 2023, making Interim WAT payments unnecessary.</w:t>
      </w:r>
    </w:p>
    <w:p w:rsidR="00E10FB2" w:rsidRDefault="00B81A0C">
      <w:pPr>
        <w:pStyle w:val="Heading1"/>
        <w:spacing w:before="174"/>
      </w:pPr>
      <w:r>
        <w:rPr>
          <w:color w:val="2D74B5"/>
        </w:rPr>
        <w:t>Misuse of Taxi Smartcards</w:t>
      </w:r>
    </w:p>
    <w:p w:rsidR="00E10FB2" w:rsidRDefault="00B81A0C">
      <w:pPr>
        <w:pStyle w:val="BodyText"/>
        <w:spacing w:before="259"/>
        <w:ind w:left="112"/>
      </w:pPr>
      <w:r>
        <w:t>From time to time a taxi driver may suspect a passenger is misusing a Taxi Smartcard</w:t>
      </w:r>
      <w:r>
        <w:t>.  This may occur when:</w:t>
      </w:r>
    </w:p>
    <w:p w:rsidR="00E10FB2" w:rsidRDefault="00E10FB2">
      <w:pPr>
        <w:pStyle w:val="BodyText"/>
        <w:spacing w:before="11"/>
        <w:rPr>
          <w:sz w:val="17"/>
        </w:rPr>
      </w:pPr>
    </w:p>
    <w:p w:rsidR="00E10FB2" w:rsidRDefault="00B81A0C">
      <w:pPr>
        <w:pStyle w:val="ListParagraph"/>
        <w:numPr>
          <w:ilvl w:val="0"/>
          <w:numId w:val="1"/>
        </w:numPr>
        <w:tabs>
          <w:tab w:val="left" w:pos="832"/>
          <w:tab w:val="left" w:pos="833"/>
        </w:tabs>
        <w:spacing w:before="0"/>
        <w:ind w:left="832" w:hanging="360"/>
      </w:pPr>
      <w:r>
        <w:t>the passenger’s appearance does not match details on the Taxi Smartcard</w:t>
      </w:r>
      <w:r>
        <w:rPr>
          <w:spacing w:val="-21"/>
        </w:rPr>
        <w:t xml:space="preserve"> </w:t>
      </w:r>
      <w:r>
        <w:t>or</w:t>
      </w:r>
    </w:p>
    <w:p w:rsidR="00E10FB2" w:rsidRDefault="00B81A0C">
      <w:pPr>
        <w:pStyle w:val="ListParagraph"/>
        <w:numPr>
          <w:ilvl w:val="0"/>
          <w:numId w:val="1"/>
        </w:numPr>
        <w:tabs>
          <w:tab w:val="left" w:pos="832"/>
          <w:tab w:val="left" w:pos="833"/>
        </w:tabs>
        <w:spacing w:line="259" w:lineRule="auto"/>
        <w:ind w:left="832" w:right="350" w:hanging="360"/>
      </w:pPr>
      <w:proofErr w:type="gramStart"/>
      <w:r>
        <w:t>the</w:t>
      </w:r>
      <w:proofErr w:type="gramEnd"/>
      <w:r>
        <w:t xml:space="preserve"> passenger is attempting to use both NDIS funding and the Taxi Smartcard at the same time to obtain free taxi</w:t>
      </w:r>
      <w:r>
        <w:rPr>
          <w:spacing w:val="-5"/>
        </w:rPr>
        <w:t xml:space="preserve"> </w:t>
      </w:r>
      <w:r>
        <w:t>travel.</w:t>
      </w:r>
    </w:p>
    <w:p w:rsidR="00E10FB2" w:rsidRDefault="00E10FB2">
      <w:pPr>
        <w:pStyle w:val="BodyText"/>
        <w:spacing w:before="6"/>
        <w:rPr>
          <w:sz w:val="16"/>
        </w:rPr>
      </w:pPr>
    </w:p>
    <w:p w:rsidR="00E10FB2" w:rsidRDefault="00B81A0C">
      <w:pPr>
        <w:pStyle w:val="BodyText"/>
        <w:spacing w:line="259" w:lineRule="auto"/>
        <w:ind w:left="112"/>
      </w:pPr>
      <w:r>
        <w:t>Even though the taxi driver may suspect the misuse of the Taxi Smartcard, a driver must always accept a Taxi Smartcard which is presented to them. When the taxi driver suspects that there may be some misuse of a Taxi Smartcard, the driver should:</w:t>
      </w:r>
    </w:p>
    <w:p w:rsidR="00E10FB2" w:rsidRDefault="00B81A0C">
      <w:pPr>
        <w:pStyle w:val="ListParagraph"/>
        <w:numPr>
          <w:ilvl w:val="0"/>
          <w:numId w:val="1"/>
        </w:numPr>
        <w:tabs>
          <w:tab w:val="left" w:pos="832"/>
          <w:tab w:val="left" w:pos="833"/>
        </w:tabs>
        <w:spacing w:before="197"/>
        <w:ind w:left="832" w:hanging="360"/>
      </w:pPr>
      <w:r>
        <w:t>write dow</w:t>
      </w:r>
      <w:r>
        <w:t>n the number of the Taxi</w:t>
      </w:r>
      <w:r>
        <w:rPr>
          <w:spacing w:val="-8"/>
        </w:rPr>
        <w:t xml:space="preserve"> </w:t>
      </w:r>
      <w:r>
        <w:t>Smartcard</w:t>
      </w:r>
    </w:p>
    <w:p w:rsidR="00E10FB2" w:rsidRDefault="00B81A0C">
      <w:pPr>
        <w:pStyle w:val="ListParagraph"/>
        <w:numPr>
          <w:ilvl w:val="0"/>
          <w:numId w:val="1"/>
        </w:numPr>
        <w:tabs>
          <w:tab w:val="left" w:pos="832"/>
          <w:tab w:val="left" w:pos="833"/>
        </w:tabs>
        <w:spacing w:before="22"/>
        <w:ind w:left="832" w:hanging="360"/>
      </w:pPr>
      <w:r>
        <w:t>write down the time, date and place of the taxi</w:t>
      </w:r>
      <w:r>
        <w:rPr>
          <w:spacing w:val="-11"/>
        </w:rPr>
        <w:t xml:space="preserve"> </w:t>
      </w:r>
      <w:r>
        <w:t>travel</w:t>
      </w:r>
    </w:p>
    <w:p w:rsidR="00E10FB2" w:rsidRDefault="00B81A0C">
      <w:pPr>
        <w:pStyle w:val="ListParagraph"/>
        <w:numPr>
          <w:ilvl w:val="0"/>
          <w:numId w:val="1"/>
        </w:numPr>
        <w:tabs>
          <w:tab w:val="left" w:pos="832"/>
          <w:tab w:val="left" w:pos="833"/>
        </w:tabs>
        <w:spacing w:before="22"/>
        <w:ind w:left="832" w:hanging="360"/>
      </w:pPr>
      <w:r>
        <w:t>write down the reasons that the driver suspects that the Taxi Smartcard may be misused</w:t>
      </w:r>
      <w:r>
        <w:rPr>
          <w:spacing w:val="-22"/>
        </w:rPr>
        <w:t xml:space="preserve"> </w:t>
      </w:r>
      <w:r>
        <w:t>and</w:t>
      </w:r>
    </w:p>
    <w:p w:rsidR="00E10FB2" w:rsidRDefault="00B81A0C">
      <w:pPr>
        <w:pStyle w:val="ListParagraph"/>
        <w:numPr>
          <w:ilvl w:val="0"/>
          <w:numId w:val="1"/>
        </w:numPr>
        <w:tabs>
          <w:tab w:val="left" w:pos="832"/>
          <w:tab w:val="left" w:pos="833"/>
        </w:tabs>
        <w:spacing w:before="22"/>
        <w:ind w:left="832" w:hanging="360"/>
      </w:pPr>
      <w:proofErr w:type="gramStart"/>
      <w:r>
        <w:t>email</w:t>
      </w:r>
      <w:proofErr w:type="gramEnd"/>
      <w:r>
        <w:t xml:space="preserve"> the above to</w:t>
      </w:r>
      <w:r>
        <w:rPr>
          <w:color w:val="0077CC"/>
          <w:spacing w:val="-15"/>
        </w:rPr>
        <w:t xml:space="preserve"> </w:t>
      </w:r>
      <w:hyperlink r:id="rId10">
        <w:r>
          <w:rPr>
            <w:color w:val="0077CC"/>
            <w:u w:val="single" w:color="0077CC"/>
          </w:rPr>
          <w:t>passenger.transport@stategrowth.tas.gov.au</w:t>
        </w:r>
      </w:hyperlink>
      <w:r>
        <w:t>.</w:t>
      </w:r>
    </w:p>
    <w:p w:rsidR="00E10FB2" w:rsidRDefault="00B81A0C">
      <w:pPr>
        <w:pStyle w:val="Heading1"/>
        <w:spacing w:before="190"/>
      </w:pPr>
      <w:r>
        <w:rPr>
          <w:color w:val="2D74B5"/>
        </w:rPr>
        <w:t>Taxi Fare Review</w:t>
      </w:r>
    </w:p>
    <w:p w:rsidR="00E10FB2" w:rsidRDefault="00B81A0C">
      <w:pPr>
        <w:pStyle w:val="BodyText"/>
        <w:spacing w:before="258" w:line="259" w:lineRule="auto"/>
        <w:ind w:left="112" w:right="86"/>
      </w:pPr>
      <w:r>
        <w:t>There was a very good response to the invitation to provide input and views about a taxi fare increase. These responses together</w:t>
      </w:r>
      <w:r>
        <w:t xml:space="preserve"> with responses from other community groups will be considered together. The outcome of these responses will be communicated in the next newsletter.</w:t>
      </w:r>
    </w:p>
    <w:p w:rsidR="00E10FB2" w:rsidRDefault="00E10FB2">
      <w:pPr>
        <w:pStyle w:val="BodyText"/>
        <w:spacing w:before="12"/>
        <w:rPr>
          <w:sz w:val="26"/>
        </w:rPr>
      </w:pPr>
    </w:p>
    <w:p w:rsidR="00E10FB2" w:rsidRDefault="00B81A0C">
      <w:pPr>
        <w:pStyle w:val="Heading1"/>
      </w:pPr>
      <w:r>
        <w:rPr>
          <w:color w:val="2D74B5"/>
        </w:rPr>
        <w:t>Regulations and Concessions Unit</w:t>
      </w:r>
    </w:p>
    <w:p w:rsidR="00E10FB2" w:rsidRDefault="00B81A0C">
      <w:pPr>
        <w:pStyle w:val="BodyText"/>
        <w:spacing w:before="261"/>
        <w:ind w:left="112"/>
      </w:pPr>
      <w:r>
        <w:t xml:space="preserve">If you need help you can email: </w:t>
      </w:r>
      <w:hyperlink r:id="rId11">
        <w:r>
          <w:rPr>
            <w:color w:val="0077CC"/>
            <w:u w:val="single" w:color="0077CC"/>
          </w:rPr>
          <w:t>operator.accreditation@stategrowth.tas.gov.au</w:t>
        </w:r>
      </w:hyperlink>
      <w:r>
        <w:t>.</w:t>
      </w:r>
    </w:p>
    <w:sectPr w:rsidR="00E10FB2">
      <w:pgSz w:w="11910" w:h="16840"/>
      <w:pgMar w:top="1360" w:right="6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F1039"/>
    <w:multiLevelType w:val="hybridMultilevel"/>
    <w:tmpl w:val="2C88B458"/>
    <w:lvl w:ilvl="0" w:tplc="219CD99A">
      <w:numFmt w:val="bullet"/>
      <w:lvlText w:val=""/>
      <w:lvlJc w:val="left"/>
      <w:pPr>
        <w:ind w:left="878" w:hanging="361"/>
      </w:pPr>
      <w:rPr>
        <w:rFonts w:ascii="Symbol" w:eastAsia="Symbol" w:hAnsi="Symbol" w:cs="Symbol" w:hint="default"/>
        <w:w w:val="100"/>
        <w:sz w:val="22"/>
        <w:szCs w:val="22"/>
      </w:rPr>
    </w:lvl>
    <w:lvl w:ilvl="1" w:tplc="6CDE19CC">
      <w:numFmt w:val="bullet"/>
      <w:lvlText w:val="•"/>
      <w:lvlJc w:val="left"/>
      <w:pPr>
        <w:ind w:left="1844" w:hanging="361"/>
      </w:pPr>
      <w:rPr>
        <w:rFonts w:hint="default"/>
      </w:rPr>
    </w:lvl>
    <w:lvl w:ilvl="2" w:tplc="F00ECD74">
      <w:numFmt w:val="bullet"/>
      <w:lvlText w:val="•"/>
      <w:lvlJc w:val="left"/>
      <w:pPr>
        <w:ind w:left="2809" w:hanging="361"/>
      </w:pPr>
      <w:rPr>
        <w:rFonts w:hint="default"/>
      </w:rPr>
    </w:lvl>
    <w:lvl w:ilvl="3" w:tplc="7AD6E3FE">
      <w:numFmt w:val="bullet"/>
      <w:lvlText w:val="•"/>
      <w:lvlJc w:val="left"/>
      <w:pPr>
        <w:ind w:left="3773" w:hanging="361"/>
      </w:pPr>
      <w:rPr>
        <w:rFonts w:hint="default"/>
      </w:rPr>
    </w:lvl>
    <w:lvl w:ilvl="4" w:tplc="3B5A33A0">
      <w:numFmt w:val="bullet"/>
      <w:lvlText w:val="•"/>
      <w:lvlJc w:val="left"/>
      <w:pPr>
        <w:ind w:left="4738" w:hanging="361"/>
      </w:pPr>
      <w:rPr>
        <w:rFonts w:hint="default"/>
      </w:rPr>
    </w:lvl>
    <w:lvl w:ilvl="5" w:tplc="E076B544">
      <w:numFmt w:val="bullet"/>
      <w:lvlText w:val="•"/>
      <w:lvlJc w:val="left"/>
      <w:pPr>
        <w:ind w:left="5703" w:hanging="361"/>
      </w:pPr>
      <w:rPr>
        <w:rFonts w:hint="default"/>
      </w:rPr>
    </w:lvl>
    <w:lvl w:ilvl="6" w:tplc="93D84672">
      <w:numFmt w:val="bullet"/>
      <w:lvlText w:val="•"/>
      <w:lvlJc w:val="left"/>
      <w:pPr>
        <w:ind w:left="6667" w:hanging="361"/>
      </w:pPr>
      <w:rPr>
        <w:rFonts w:hint="default"/>
      </w:rPr>
    </w:lvl>
    <w:lvl w:ilvl="7" w:tplc="FDBA72D6">
      <w:numFmt w:val="bullet"/>
      <w:lvlText w:val="•"/>
      <w:lvlJc w:val="left"/>
      <w:pPr>
        <w:ind w:left="7632" w:hanging="361"/>
      </w:pPr>
      <w:rPr>
        <w:rFonts w:hint="default"/>
      </w:rPr>
    </w:lvl>
    <w:lvl w:ilvl="8" w:tplc="F1DC2C1A">
      <w:numFmt w:val="bullet"/>
      <w:lvlText w:val="•"/>
      <w:lvlJc w:val="left"/>
      <w:pPr>
        <w:ind w:left="859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10FB2"/>
    <w:rsid w:val="00B81A0C"/>
    <w:rsid w:val="00E10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B92479A-9AB9-4BED-ADF5-54553A9D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rFonts w:ascii="Gill Sans MT" w:eastAsia="Gill Sans MT" w:hAnsi="Gill Sans MT" w:cs="Gill Sans M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
      <w:ind w:left="832" w:hanging="360"/>
    </w:pPr>
  </w:style>
  <w:style w:type="paragraph" w:customStyle="1" w:styleId="TableParagraph">
    <w:name w:val="Table Paragraph"/>
    <w:basedOn w:val="Normal"/>
    <w:uiPriority w:val="1"/>
    <w:qFormat/>
    <w:pPr>
      <w:spacing w:line="21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ransport.tas.gov.au/passenger/opera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e-maree.mills@stategrowth.ta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as.gov.au/" TargetMode="External"/><Relationship Id="rId11" Type="http://schemas.openxmlformats.org/officeDocument/2006/relationships/hyperlink" Target="mailto:operator.accreditation@stategrowth.tas.gov.au" TargetMode="External"/><Relationship Id="rId5" Type="http://schemas.openxmlformats.org/officeDocument/2006/relationships/image" Target="media/image1.jpeg"/><Relationship Id="rId10" Type="http://schemas.openxmlformats.org/officeDocument/2006/relationships/hyperlink" Target="mailto:passenger.transport@stategrowth.tas.gov.au" TargetMode="External"/><Relationship Id="rId4" Type="http://schemas.openxmlformats.org/officeDocument/2006/relationships/webSettings" Target="webSettings.xml"/><Relationship Id="rId9" Type="http://schemas.openxmlformats.org/officeDocument/2006/relationships/hyperlink" Target="https://ptinfo.transport.tas.gov.au/ancillary_chec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Anne-Maree</dc:creator>
  <cp:lastModifiedBy>Botterill-James, Melanie</cp:lastModifiedBy>
  <cp:revision>2</cp:revision>
  <dcterms:created xsi:type="dcterms:W3CDTF">2019-08-27T05:14:00Z</dcterms:created>
  <dcterms:modified xsi:type="dcterms:W3CDTF">2019-08-27T05:14:00Z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2013</vt:lpwstr>
  </property>
  <property fmtid="{D5CDD505-2E9C-101B-9397-08002B2CF9AE}" pid="4" name="LastSaved">
    <vt:filetime>2019-08-27T00:00:00Z</vt:filetime>
  </property>
</Properties>
</file>