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576F0" w14:textId="77777777" w:rsidR="001453CE" w:rsidRDefault="001453CE" w:rsidP="00F87816">
      <w:pPr>
        <w:pStyle w:val="Title"/>
        <w:jc w:val="right"/>
      </w:pPr>
      <w:bookmarkStart w:id="0" w:name="_GoBack"/>
      <w:bookmarkEnd w:id="0"/>
    </w:p>
    <w:p w14:paraId="5F542824" w14:textId="77777777" w:rsidR="006E7989" w:rsidRPr="00E84C08" w:rsidRDefault="004032CC" w:rsidP="00F87816">
      <w:pPr>
        <w:pStyle w:val="Title"/>
        <w:jc w:val="right"/>
      </w:pPr>
      <w:r w:rsidRPr="004957A3">
        <w:rPr>
          <w:b/>
          <w:noProof/>
          <w:lang w:val="en-AU" w:eastAsia="en-AU"/>
        </w:rPr>
        <w:drawing>
          <wp:anchor distT="0" distB="0" distL="114300" distR="114300" simplePos="0" relativeHeight="251653120" behindDoc="1" locked="0" layoutInCell="1" allowOverlap="1" wp14:anchorId="5D96E78E" wp14:editId="6DB55378">
            <wp:simplePos x="0" y="0"/>
            <wp:positionH relativeFrom="page">
              <wp:align>left</wp:align>
            </wp:positionH>
            <wp:positionV relativeFrom="paragraph">
              <wp:posOffset>-553840</wp:posOffset>
            </wp:positionV>
            <wp:extent cx="7591646" cy="10736341"/>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fact 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1646" cy="10736341"/>
                    </a:xfrm>
                    <a:prstGeom prst="rect">
                      <a:avLst/>
                    </a:prstGeom>
                  </pic:spPr>
                </pic:pic>
              </a:graphicData>
            </a:graphic>
            <wp14:sizeRelH relativeFrom="page">
              <wp14:pctWidth>0</wp14:pctWidth>
            </wp14:sizeRelH>
            <wp14:sizeRelV relativeFrom="page">
              <wp14:pctHeight>0</wp14:pctHeight>
            </wp14:sizeRelV>
          </wp:anchor>
        </w:drawing>
      </w:r>
      <w:r w:rsidR="006D3E7E" w:rsidRPr="006D3E7E">
        <w:t>Transporter</w:t>
      </w:r>
    </w:p>
    <w:p w14:paraId="3A94CF4F" w14:textId="77777777" w:rsidR="00E84C08" w:rsidRPr="006E7989" w:rsidRDefault="00E84C08" w:rsidP="00F87816"/>
    <w:p w14:paraId="79E1E88E" w14:textId="61D41052" w:rsidR="006E7989" w:rsidRPr="006E7989" w:rsidRDefault="00F87816" w:rsidP="00F87816">
      <w:pPr>
        <w:tabs>
          <w:tab w:val="left" w:pos="6385"/>
        </w:tabs>
      </w:pPr>
      <w:r>
        <w:tab/>
      </w:r>
    </w:p>
    <w:p w14:paraId="6AA38E23" w14:textId="6E7B1563" w:rsidR="006E7989" w:rsidRPr="006E7989" w:rsidRDefault="009A039B" w:rsidP="00F87816">
      <w:r>
        <w:tab/>
      </w:r>
    </w:p>
    <w:p w14:paraId="1F90CCFA" w14:textId="77777777" w:rsidR="006E7989" w:rsidRPr="006E7989" w:rsidRDefault="006E7989" w:rsidP="00F87816"/>
    <w:p w14:paraId="11145AC1" w14:textId="77777777" w:rsidR="006E7989" w:rsidRPr="006E7989" w:rsidRDefault="006E7989" w:rsidP="00F87816"/>
    <w:p w14:paraId="54EA5FF9" w14:textId="7B9D986B" w:rsidR="00E84C08" w:rsidRPr="00F87816" w:rsidRDefault="00E84C08" w:rsidP="00F87816">
      <w:pPr>
        <w:pStyle w:val="Heading2"/>
        <w:jc w:val="right"/>
      </w:pPr>
      <w:r>
        <w:rPr>
          <w:sz w:val="28"/>
        </w:rPr>
        <w:tab/>
      </w:r>
      <w:r w:rsidR="00F87816">
        <w:rPr>
          <w:sz w:val="28"/>
        </w:rPr>
        <w:tab/>
      </w:r>
      <w:r w:rsidR="00F87816">
        <w:rPr>
          <w:sz w:val="28"/>
        </w:rPr>
        <w:tab/>
      </w:r>
      <w:r w:rsidR="00F87816">
        <w:rPr>
          <w:sz w:val="28"/>
        </w:rPr>
        <w:tab/>
      </w:r>
      <w:r w:rsidR="00F87816">
        <w:rPr>
          <w:sz w:val="28"/>
        </w:rPr>
        <w:tab/>
      </w:r>
      <w:r w:rsidR="00453D83">
        <w:rPr>
          <w:color w:val="auto"/>
        </w:rPr>
        <w:t xml:space="preserve">August </w:t>
      </w:r>
      <w:r w:rsidR="00B60DC8" w:rsidRPr="00F87816">
        <w:rPr>
          <w:color w:val="auto"/>
        </w:rPr>
        <w:t>201</w:t>
      </w:r>
      <w:r w:rsidR="009A0B65" w:rsidRPr="00F87816">
        <w:rPr>
          <w:color w:val="auto"/>
        </w:rPr>
        <w:t>9</w:t>
      </w:r>
    </w:p>
    <w:p w14:paraId="3E70C6B2" w14:textId="352D58E8" w:rsidR="0083367A" w:rsidRPr="00F87816" w:rsidRDefault="008F712C" w:rsidP="00F87816">
      <w:pPr>
        <w:pStyle w:val="Heading1"/>
      </w:pPr>
      <w:r>
        <w:t xml:space="preserve">Spring </w:t>
      </w:r>
      <w:r w:rsidR="00F53E03">
        <w:t>is just around the corner</w:t>
      </w:r>
    </w:p>
    <w:p w14:paraId="6065E903" w14:textId="58F468B2" w:rsidR="002B3DBF" w:rsidRPr="00F87816" w:rsidRDefault="00146CA6" w:rsidP="00F87816">
      <w:r>
        <w:t>We hope you are keeping warm</w:t>
      </w:r>
      <w:r w:rsidR="0012686F">
        <w:t xml:space="preserve"> on thos</w:t>
      </w:r>
      <w:r w:rsidR="00BE7A92">
        <w:t xml:space="preserve">e early morning bus runs with the cold August weather </w:t>
      </w:r>
      <w:r w:rsidR="0012686F">
        <w:t>showing no sign of letting up</w:t>
      </w:r>
      <w:r w:rsidR="00D8290F">
        <w:t xml:space="preserve">. At least we know warmer times are just around the corner. </w:t>
      </w:r>
    </w:p>
    <w:p w14:paraId="6152EB0B" w14:textId="33614A15" w:rsidR="000E2172" w:rsidRDefault="00931CD4" w:rsidP="00F87816">
      <w:pPr>
        <w:pStyle w:val="Heading1"/>
      </w:pPr>
      <w:r>
        <w:t xml:space="preserve">Bus Services Review (formerly Project </w:t>
      </w:r>
      <w:r w:rsidR="007F0FBD">
        <w:t>2018</w:t>
      </w:r>
      <w:r>
        <w:t>)</w:t>
      </w:r>
      <w:r w:rsidR="007F0FBD">
        <w:t xml:space="preserve"> update</w:t>
      </w:r>
    </w:p>
    <w:p w14:paraId="5ACD7E97" w14:textId="3D1C19DA" w:rsidR="00186C8F" w:rsidRPr="00F87816" w:rsidRDefault="00186C8F" w:rsidP="00AE184A">
      <w:pPr>
        <w:keepNext/>
        <w:spacing w:after="120"/>
        <w:rPr>
          <w:b/>
        </w:rPr>
      </w:pPr>
      <w:r w:rsidRPr="00F87816">
        <w:rPr>
          <w:b/>
        </w:rPr>
        <w:t xml:space="preserve">General </w:t>
      </w:r>
      <w:r w:rsidR="00F87816">
        <w:rPr>
          <w:b/>
        </w:rPr>
        <w:t>a</w:t>
      </w:r>
      <w:r w:rsidRPr="00F87816">
        <w:rPr>
          <w:b/>
        </w:rPr>
        <w:t xml:space="preserve">ccess </w:t>
      </w:r>
      <w:r w:rsidR="00F87816">
        <w:rPr>
          <w:b/>
        </w:rPr>
        <w:t>services</w:t>
      </w:r>
    </w:p>
    <w:p w14:paraId="02929D8F" w14:textId="7DB5EDD5" w:rsidR="00781573" w:rsidRDefault="00453D83" w:rsidP="00781573">
      <w:r>
        <w:t>Some</w:t>
      </w:r>
      <w:r w:rsidRPr="009B35A5">
        <w:t xml:space="preserve"> 388 responses were received</w:t>
      </w:r>
      <w:r>
        <w:t xml:space="preserve"> during </w:t>
      </w:r>
      <w:r w:rsidR="00781573">
        <w:t xml:space="preserve">consultation </w:t>
      </w:r>
      <w:r>
        <w:t xml:space="preserve">on </w:t>
      </w:r>
      <w:r w:rsidR="00781573">
        <w:t>the northern general access bus network servic</w:t>
      </w:r>
      <w:r>
        <w:t>ing</w:t>
      </w:r>
      <w:r w:rsidR="00781573">
        <w:t xml:space="preserve"> Launceston and surrounding towns</w:t>
      </w:r>
      <w:r>
        <w:t>.</w:t>
      </w:r>
      <w:r w:rsidR="00781573">
        <w:t xml:space="preserve">  </w:t>
      </w:r>
    </w:p>
    <w:p w14:paraId="3A40E410" w14:textId="4772045B" w:rsidR="00EA45F0" w:rsidRDefault="00453D83" w:rsidP="00781573">
      <w:r>
        <w:t xml:space="preserve">This included </w:t>
      </w:r>
      <w:r w:rsidRPr="009B35A5">
        <w:t xml:space="preserve">181 </w:t>
      </w:r>
      <w:r w:rsidR="00B95F41">
        <w:t xml:space="preserve">responses </w:t>
      </w:r>
      <w:r w:rsidRPr="009B35A5">
        <w:t>relat</w:t>
      </w:r>
      <w:r w:rsidR="00B95F41">
        <w:t>ing</w:t>
      </w:r>
      <w:r w:rsidRPr="009B35A5">
        <w:t xml:space="preserve"> to the Launceston </w:t>
      </w:r>
      <w:r>
        <w:t>urban n</w:t>
      </w:r>
      <w:r w:rsidRPr="009B35A5">
        <w:t xml:space="preserve">etwork and 207 </w:t>
      </w:r>
      <w:r w:rsidR="00B95F41">
        <w:t xml:space="preserve">on </w:t>
      </w:r>
      <w:r w:rsidRPr="009B35A5">
        <w:t xml:space="preserve">the </w:t>
      </w:r>
      <w:r>
        <w:t>outer-urban and regional n</w:t>
      </w:r>
      <w:r w:rsidRPr="009B35A5">
        <w:t xml:space="preserve">etwork. </w:t>
      </w:r>
      <w:r w:rsidR="00B95F41">
        <w:t xml:space="preserve">Some </w:t>
      </w:r>
      <w:r w:rsidRPr="009B35A5">
        <w:t>254 responses</w:t>
      </w:r>
      <w:r w:rsidR="00B95F41">
        <w:t xml:space="preserve"> came</w:t>
      </w:r>
      <w:r w:rsidRPr="009B35A5">
        <w:t xml:space="preserve"> </w:t>
      </w:r>
      <w:r w:rsidR="00B95F41">
        <w:t xml:space="preserve">from </w:t>
      </w:r>
      <w:r w:rsidRPr="009B35A5">
        <w:t>areas where</w:t>
      </w:r>
      <w:r w:rsidR="00B95F41">
        <w:t xml:space="preserve"> </w:t>
      </w:r>
      <w:r w:rsidR="00EA45F0">
        <w:t>proposed changes were</w:t>
      </w:r>
      <w:r w:rsidR="00B95F41">
        <w:t xml:space="preserve"> anticipated to be of greatest concern to residents. </w:t>
      </w:r>
      <w:r w:rsidR="00EA45F0">
        <w:t xml:space="preserve">The Department delivered </w:t>
      </w:r>
      <w:r w:rsidR="0044284C">
        <w:t>f</w:t>
      </w:r>
      <w:r w:rsidRPr="009B35A5">
        <w:t>act sheets</w:t>
      </w:r>
      <w:r w:rsidR="00D8290F">
        <w:t xml:space="preserve"> to </w:t>
      </w:r>
      <w:r w:rsidR="00BE7A92">
        <w:t>residents’</w:t>
      </w:r>
      <w:r w:rsidRPr="009B35A5">
        <w:t xml:space="preserve"> households</w:t>
      </w:r>
      <w:r w:rsidR="00B95F41">
        <w:t xml:space="preserve"> in these tow</w:t>
      </w:r>
      <w:r w:rsidR="00EA45F0">
        <w:t>ns.</w:t>
      </w:r>
      <w:r w:rsidRPr="009B35A5">
        <w:t xml:space="preserve">  </w:t>
      </w:r>
    </w:p>
    <w:p w14:paraId="4745293D" w14:textId="7C1DFA2F" w:rsidR="00453D83" w:rsidRDefault="00EA45F0" w:rsidP="00781573">
      <w:r>
        <w:t>Most of the responses on the</w:t>
      </w:r>
      <w:r w:rsidRPr="00EA45F0">
        <w:t xml:space="preserve"> </w:t>
      </w:r>
      <w:r>
        <w:t xml:space="preserve">Launceston urban, outer-urban and regional routes, operated by Manions’ Coaches, Lee’s Coaches, RD &amp; FH Sainty, Tassielink Transit, and Calow’s Coaches, </w:t>
      </w:r>
      <w:r w:rsidR="00453D83" w:rsidRPr="009B35A5">
        <w:t>were received via the Department’s ‘Have your say’ web feedback form.</w:t>
      </w:r>
    </w:p>
    <w:p w14:paraId="2D893953" w14:textId="77777777" w:rsidR="00781573" w:rsidRDefault="00781573" w:rsidP="00781573">
      <w:r w:rsidRPr="00D32978">
        <w:t>Once all feedback</w:t>
      </w:r>
      <w:r>
        <w:t xml:space="preserve"> from the consultation</w:t>
      </w:r>
      <w:r w:rsidRPr="00D32978">
        <w:t xml:space="preserve"> has been analysed</w:t>
      </w:r>
      <w:r>
        <w:t>,</w:t>
      </w:r>
      <w:r w:rsidRPr="00D32978">
        <w:t xml:space="preserve"> a Final Consultation R</w:t>
      </w:r>
      <w:r>
        <w:t>esponse R</w:t>
      </w:r>
      <w:r w:rsidRPr="00D32978">
        <w:t>eport will be pub</w:t>
      </w:r>
      <w:r>
        <w:t>lished on the Transport website. Following this, the finalised network will be communicated.</w:t>
      </w:r>
    </w:p>
    <w:p w14:paraId="0468FA80" w14:textId="07E5CA0E" w:rsidR="00781573" w:rsidRDefault="00781573" w:rsidP="00781573">
      <w:r>
        <w:t xml:space="preserve">The </w:t>
      </w:r>
      <w:r w:rsidR="00EA45F0">
        <w:t xml:space="preserve">six </w:t>
      </w:r>
      <w:r w:rsidR="00594893">
        <w:t xml:space="preserve">week </w:t>
      </w:r>
      <w:r>
        <w:t xml:space="preserve">extension of the consultation period has resulted in a review </w:t>
      </w:r>
      <w:r w:rsidR="00DC6D43">
        <w:t xml:space="preserve">of </w:t>
      </w:r>
      <w:r>
        <w:t xml:space="preserve">overall project timelines. </w:t>
      </w:r>
      <w:r w:rsidR="00D02046">
        <w:t>T</w:t>
      </w:r>
      <w:r>
        <w:t xml:space="preserve">he northern network </w:t>
      </w:r>
      <w:r w:rsidR="00D8290F">
        <w:t xml:space="preserve">will </w:t>
      </w:r>
      <w:r>
        <w:t>be rolled out in January 2020 and the north</w:t>
      </w:r>
      <w:r w:rsidR="00D8290F">
        <w:t xml:space="preserve"> </w:t>
      </w:r>
      <w:r>
        <w:t>western network in April 2020. Community consultation for the north</w:t>
      </w:r>
      <w:r w:rsidR="004336CE">
        <w:t>-</w:t>
      </w:r>
      <w:r>
        <w:t xml:space="preserve">west </w:t>
      </w:r>
      <w:r w:rsidR="00D8290F">
        <w:t xml:space="preserve">will run through September and October. </w:t>
      </w:r>
    </w:p>
    <w:p w14:paraId="1DB415F9" w14:textId="212E8A93" w:rsidR="00C25A10" w:rsidRPr="00F87816" w:rsidRDefault="00C25A10" w:rsidP="00C25A10">
      <w:pPr>
        <w:keepNext/>
        <w:spacing w:after="120"/>
        <w:rPr>
          <w:b/>
        </w:rPr>
      </w:pPr>
      <w:r>
        <w:rPr>
          <w:b/>
        </w:rPr>
        <w:t>Contract Payment Model Calculator - School bus services</w:t>
      </w:r>
    </w:p>
    <w:p w14:paraId="7FBE5948" w14:textId="1FA7E911" w:rsidR="00C25A10" w:rsidRPr="003D0217" w:rsidRDefault="0012686F" w:rsidP="00C25A10">
      <w:pPr>
        <w:pStyle w:val="NormalWeb"/>
        <w:rPr>
          <w:rFonts w:ascii="Gill Sans MT" w:eastAsiaTheme="minorHAnsi" w:hAnsi="Gill Sans MT" w:cstheme="minorBidi"/>
          <w:sz w:val="22"/>
          <w:szCs w:val="22"/>
          <w:lang w:val="en-GB" w:eastAsia="en-US"/>
        </w:rPr>
      </w:pPr>
      <w:r>
        <w:rPr>
          <w:rFonts w:ascii="Gill Sans MT" w:eastAsiaTheme="minorHAnsi" w:hAnsi="Gill Sans MT" w:cstheme="minorBidi"/>
          <w:sz w:val="22"/>
          <w:szCs w:val="22"/>
          <w:lang w:val="en-GB" w:eastAsia="en-US"/>
        </w:rPr>
        <w:t>T</w:t>
      </w:r>
      <w:r w:rsidR="00C25A10" w:rsidRPr="003D0217">
        <w:rPr>
          <w:rFonts w:ascii="Gill Sans MT" w:eastAsiaTheme="minorHAnsi" w:hAnsi="Gill Sans MT" w:cstheme="minorBidi"/>
          <w:sz w:val="22"/>
          <w:szCs w:val="22"/>
          <w:lang w:val="en-GB" w:eastAsia="en-US"/>
        </w:rPr>
        <w:t xml:space="preserve">here is now a payment calculator for the new school bus contracts on our website. The </w:t>
      </w:r>
      <w:r w:rsidR="00406D8B">
        <w:rPr>
          <w:rFonts w:ascii="Gill Sans MT" w:eastAsiaTheme="minorHAnsi" w:hAnsi="Gill Sans MT" w:cstheme="minorBidi"/>
          <w:sz w:val="22"/>
          <w:szCs w:val="22"/>
          <w:lang w:val="en-GB" w:eastAsia="en-US"/>
        </w:rPr>
        <w:t xml:space="preserve">payment calculator </w:t>
      </w:r>
      <w:r w:rsidR="00C25A10" w:rsidRPr="003D0217">
        <w:rPr>
          <w:rFonts w:ascii="Gill Sans MT" w:eastAsiaTheme="minorHAnsi" w:hAnsi="Gill Sans MT" w:cstheme="minorBidi"/>
          <w:sz w:val="22"/>
          <w:szCs w:val="22"/>
          <w:lang w:val="en-GB" w:eastAsia="en-US"/>
        </w:rPr>
        <w:t>is provided in good faith and without prejudice.  It has been tested and is provided to assist you with calculations for the funding offer</w:t>
      </w:r>
      <w:r w:rsidR="00D02046">
        <w:rPr>
          <w:rFonts w:ascii="Gill Sans MT" w:eastAsiaTheme="minorHAnsi" w:hAnsi="Gill Sans MT" w:cstheme="minorBidi"/>
          <w:sz w:val="22"/>
          <w:szCs w:val="22"/>
          <w:lang w:val="en-GB" w:eastAsia="en-US"/>
        </w:rPr>
        <w:t>. It can also</w:t>
      </w:r>
      <w:r w:rsidR="00C25A10" w:rsidRPr="003D0217">
        <w:rPr>
          <w:rFonts w:ascii="Gill Sans MT" w:eastAsiaTheme="minorHAnsi" w:hAnsi="Gill Sans MT" w:cstheme="minorBidi"/>
          <w:sz w:val="22"/>
          <w:szCs w:val="22"/>
          <w:lang w:val="en-GB" w:eastAsia="en-US"/>
        </w:rPr>
        <w:t xml:space="preserve"> model any changes you may be considering </w:t>
      </w:r>
      <w:r>
        <w:rPr>
          <w:rFonts w:ascii="Gill Sans MT" w:eastAsiaTheme="minorHAnsi" w:hAnsi="Gill Sans MT" w:cstheme="minorBidi"/>
          <w:sz w:val="22"/>
          <w:szCs w:val="22"/>
          <w:lang w:val="en-GB" w:eastAsia="en-US"/>
        </w:rPr>
        <w:t xml:space="preserve">for example </w:t>
      </w:r>
      <w:r w:rsidR="00C25A10" w:rsidRPr="003D0217">
        <w:rPr>
          <w:rFonts w:ascii="Gill Sans MT" w:eastAsiaTheme="minorHAnsi" w:hAnsi="Gill Sans MT" w:cstheme="minorBidi"/>
          <w:sz w:val="22"/>
          <w:szCs w:val="22"/>
          <w:lang w:val="en-GB" w:eastAsia="en-US"/>
        </w:rPr>
        <w:t xml:space="preserve">bus change or varying unloaded kilometres. </w:t>
      </w:r>
    </w:p>
    <w:p w14:paraId="447420DB" w14:textId="77777777" w:rsidR="00C25A10" w:rsidRPr="003D0217" w:rsidRDefault="00C25A10" w:rsidP="00C25A10">
      <w:pPr>
        <w:pStyle w:val="NormalWeb"/>
        <w:rPr>
          <w:rFonts w:ascii="Gill Sans MT" w:eastAsiaTheme="minorHAnsi" w:hAnsi="Gill Sans MT" w:cstheme="minorBidi"/>
          <w:sz w:val="22"/>
          <w:szCs w:val="22"/>
          <w:lang w:val="en-GB" w:eastAsia="en-US"/>
        </w:rPr>
      </w:pPr>
      <w:r w:rsidRPr="003D0217">
        <w:rPr>
          <w:rFonts w:ascii="Gill Sans MT" w:eastAsiaTheme="minorHAnsi" w:hAnsi="Gill Sans MT" w:cstheme="minorBidi"/>
          <w:sz w:val="22"/>
          <w:szCs w:val="22"/>
          <w:lang w:val="en-GB" w:eastAsia="en-US"/>
        </w:rPr>
        <w:t xml:space="preserve">Where an issue is found or updates made, a log of these changes will be published with the updated model. A ‘correct as at’ date is also provided in the lower left corner of the model to provide assurance of the latest version. </w:t>
      </w:r>
    </w:p>
    <w:p w14:paraId="361D5B95" w14:textId="77777777" w:rsidR="00C25A10" w:rsidRPr="003D0217" w:rsidRDefault="00C25A10" w:rsidP="00C25A10">
      <w:pPr>
        <w:pStyle w:val="NormalWeb"/>
        <w:rPr>
          <w:rFonts w:ascii="Gill Sans MT" w:eastAsiaTheme="minorHAnsi" w:hAnsi="Gill Sans MT" w:cstheme="minorBidi"/>
          <w:sz w:val="22"/>
          <w:szCs w:val="22"/>
          <w:lang w:val="en-GB" w:eastAsia="en-US"/>
        </w:rPr>
      </w:pPr>
      <w:r w:rsidRPr="003D0217">
        <w:rPr>
          <w:rFonts w:ascii="Gill Sans MT" w:eastAsiaTheme="minorHAnsi" w:hAnsi="Gill Sans MT" w:cstheme="minorBidi"/>
          <w:sz w:val="22"/>
          <w:szCs w:val="22"/>
          <w:lang w:val="en-GB" w:eastAsia="en-US"/>
        </w:rPr>
        <w:lastRenderedPageBreak/>
        <w:t>The model was last updated on 27 May 2019 due to the following changes:</w:t>
      </w:r>
    </w:p>
    <w:p w14:paraId="1F4F3DCB" w14:textId="77777777" w:rsidR="00C25A10" w:rsidRPr="003D0217" w:rsidRDefault="00C25A10" w:rsidP="00C25A10">
      <w:pPr>
        <w:pStyle w:val="NormalWeb"/>
        <w:numPr>
          <w:ilvl w:val="0"/>
          <w:numId w:val="28"/>
        </w:numPr>
        <w:rPr>
          <w:rFonts w:ascii="Gill Sans MT" w:eastAsiaTheme="minorHAnsi" w:hAnsi="Gill Sans MT" w:cstheme="minorBidi"/>
          <w:sz w:val="22"/>
          <w:szCs w:val="22"/>
          <w:lang w:val="en-GB" w:eastAsia="en-US"/>
        </w:rPr>
      </w:pPr>
      <w:r w:rsidRPr="003D0217">
        <w:rPr>
          <w:rFonts w:ascii="Gill Sans MT" w:eastAsiaTheme="minorHAnsi" w:hAnsi="Gill Sans MT" w:cstheme="minorBidi"/>
          <w:sz w:val="22"/>
          <w:szCs w:val="22"/>
          <w:lang w:val="en-GB" w:eastAsia="en-US"/>
        </w:rPr>
        <w:t>The current date will automatically be populated at the top of the ‘Service Details’ section. Note: If a point in time calculation is required, please save as a PDF or other static document type.</w:t>
      </w:r>
    </w:p>
    <w:p w14:paraId="3E026658" w14:textId="77777777" w:rsidR="00C25A10" w:rsidRPr="003D0217" w:rsidRDefault="00C25A10" w:rsidP="00C25A10">
      <w:pPr>
        <w:pStyle w:val="NormalWeb"/>
        <w:numPr>
          <w:ilvl w:val="0"/>
          <w:numId w:val="28"/>
        </w:numPr>
        <w:rPr>
          <w:rFonts w:ascii="Gill Sans MT" w:eastAsiaTheme="minorHAnsi" w:hAnsi="Gill Sans MT" w:cstheme="minorBidi"/>
          <w:sz w:val="22"/>
          <w:szCs w:val="22"/>
          <w:lang w:val="en-GB" w:eastAsia="en-US"/>
        </w:rPr>
      </w:pPr>
      <w:r w:rsidRPr="003D0217">
        <w:rPr>
          <w:rFonts w:ascii="Gill Sans MT" w:eastAsiaTheme="minorHAnsi" w:hAnsi="Gill Sans MT" w:cstheme="minorBidi"/>
          <w:sz w:val="22"/>
          <w:szCs w:val="22"/>
          <w:lang w:val="en-GB" w:eastAsia="en-US"/>
        </w:rPr>
        <w:t>The model was not correctly calculating the Variable Running Allowance per Km rate where the required bus size = ‘Small’ and ‘Fuel Step 1’ was selected.</w:t>
      </w:r>
    </w:p>
    <w:p w14:paraId="7D1D1063" w14:textId="77777777" w:rsidR="00C25A10" w:rsidRPr="003D0217" w:rsidRDefault="00C25A10" w:rsidP="00C25A10">
      <w:pPr>
        <w:pStyle w:val="NormalWeb"/>
        <w:numPr>
          <w:ilvl w:val="0"/>
          <w:numId w:val="28"/>
        </w:numPr>
        <w:rPr>
          <w:rFonts w:ascii="Gill Sans MT" w:eastAsiaTheme="minorHAnsi" w:hAnsi="Gill Sans MT" w:cstheme="minorBidi"/>
          <w:sz w:val="22"/>
          <w:szCs w:val="22"/>
          <w:lang w:val="en-GB" w:eastAsia="en-US"/>
        </w:rPr>
      </w:pPr>
      <w:r w:rsidRPr="003D0217">
        <w:rPr>
          <w:rFonts w:ascii="Gill Sans MT" w:eastAsiaTheme="minorHAnsi" w:hAnsi="Gill Sans MT" w:cstheme="minorBidi"/>
          <w:sz w:val="22"/>
          <w:szCs w:val="22"/>
          <w:lang w:val="en-GB" w:eastAsia="en-US"/>
        </w:rPr>
        <w:t>The model was not correctly calculating the ‘Total Other Annual Capital Allowances’ where multiple buses were entered.</w:t>
      </w:r>
    </w:p>
    <w:p w14:paraId="5F0A9EAC" w14:textId="26300D67" w:rsidR="00C25A10" w:rsidRPr="003D0217" w:rsidRDefault="00C25A10" w:rsidP="00C25A10">
      <w:pPr>
        <w:pStyle w:val="NormalWeb"/>
        <w:numPr>
          <w:ilvl w:val="0"/>
          <w:numId w:val="28"/>
        </w:numPr>
        <w:rPr>
          <w:rFonts w:ascii="Gill Sans MT" w:eastAsiaTheme="minorHAnsi" w:hAnsi="Gill Sans MT" w:cstheme="minorBidi"/>
          <w:sz w:val="22"/>
          <w:szCs w:val="22"/>
          <w:lang w:val="en-GB" w:eastAsia="en-US"/>
        </w:rPr>
      </w:pPr>
      <w:r w:rsidRPr="003D0217">
        <w:rPr>
          <w:rFonts w:ascii="Gill Sans MT" w:eastAsiaTheme="minorHAnsi" w:hAnsi="Gill Sans MT" w:cstheme="minorBidi"/>
          <w:sz w:val="22"/>
          <w:szCs w:val="22"/>
          <w:lang w:val="en-GB" w:eastAsia="en-US"/>
        </w:rPr>
        <w:t xml:space="preserve">A new ‘Other Vehicle Operating Cost Step’ drop down has been included. This now allows for additional per </w:t>
      </w:r>
      <w:r w:rsidR="0012686F">
        <w:rPr>
          <w:rFonts w:ascii="Gill Sans MT" w:eastAsiaTheme="minorHAnsi" w:hAnsi="Gill Sans MT" w:cstheme="minorBidi"/>
          <w:sz w:val="22"/>
          <w:szCs w:val="22"/>
          <w:lang w:val="en-GB" w:eastAsia="en-US"/>
        </w:rPr>
        <w:t xml:space="preserve">kilometre </w:t>
      </w:r>
      <w:r w:rsidRPr="003D0217">
        <w:rPr>
          <w:rFonts w:ascii="Gill Sans MT" w:eastAsiaTheme="minorHAnsi" w:hAnsi="Gill Sans MT" w:cstheme="minorBidi"/>
          <w:sz w:val="22"/>
          <w:szCs w:val="22"/>
          <w:lang w:val="en-GB" w:eastAsia="en-US"/>
        </w:rPr>
        <w:t xml:space="preserve">payment (Step 1) to be calculated only on Other Vehicle Operating Costs and separate from the ‘Fuel Step’. This additional allowance can only be applied where the Crown is satisfied the buses are operating on significant sections of gravel, winding or steep roads which materially increase the wear and tear on the bus. </w:t>
      </w:r>
    </w:p>
    <w:p w14:paraId="35761E4D" w14:textId="77777777" w:rsidR="00C25A10" w:rsidRPr="003D0217" w:rsidRDefault="00C25A10" w:rsidP="00C25A10">
      <w:pPr>
        <w:pStyle w:val="NormalWeb"/>
        <w:numPr>
          <w:ilvl w:val="0"/>
          <w:numId w:val="28"/>
        </w:numPr>
        <w:rPr>
          <w:rFonts w:ascii="Gill Sans MT" w:eastAsiaTheme="minorHAnsi" w:hAnsi="Gill Sans MT" w:cstheme="minorBidi"/>
          <w:sz w:val="22"/>
          <w:szCs w:val="22"/>
          <w:lang w:val="en-GB" w:eastAsia="en-US"/>
        </w:rPr>
      </w:pPr>
      <w:r w:rsidRPr="003D0217">
        <w:rPr>
          <w:rFonts w:ascii="Gill Sans MT" w:eastAsiaTheme="minorHAnsi" w:hAnsi="Gill Sans MT" w:cstheme="minorBidi"/>
          <w:sz w:val="22"/>
          <w:szCs w:val="22"/>
          <w:lang w:val="en-GB" w:eastAsia="en-US"/>
        </w:rPr>
        <w:t xml:space="preserve">The ‘Maximum Capital Rates – School’ tab now contains transition rates for eligible Medium, Large and Extra Large buses that allows payments for eligible buses transitioned onto the contract at 21 and 22 years of age in 2020.  NOTE: The calculator uses the current year (i.e. 2019) to calculate the age of buses.   </w:t>
      </w:r>
    </w:p>
    <w:p w14:paraId="0F754671" w14:textId="77777777" w:rsidR="00C25A10" w:rsidRPr="003D0217" w:rsidRDefault="00C25A10" w:rsidP="00C25A10">
      <w:pPr>
        <w:pStyle w:val="NormalWeb"/>
        <w:numPr>
          <w:ilvl w:val="0"/>
          <w:numId w:val="28"/>
        </w:numPr>
        <w:rPr>
          <w:rFonts w:ascii="Gill Sans MT" w:eastAsiaTheme="minorHAnsi" w:hAnsi="Gill Sans MT" w:cstheme="minorBidi"/>
          <w:sz w:val="22"/>
          <w:szCs w:val="22"/>
          <w:lang w:val="en-GB" w:eastAsia="en-US"/>
        </w:rPr>
      </w:pPr>
      <w:r w:rsidRPr="003D0217">
        <w:rPr>
          <w:rFonts w:ascii="Gill Sans MT" w:eastAsiaTheme="minorHAnsi" w:hAnsi="Gill Sans MT" w:cstheme="minorBidi"/>
          <w:sz w:val="22"/>
          <w:szCs w:val="22"/>
          <w:lang w:val="en-GB" w:eastAsia="en-US"/>
        </w:rPr>
        <w:t>The model was not correctly calculating the Variable Running Allowance for a Small Bus contract where the Step 1 was selected.</w:t>
      </w:r>
    </w:p>
    <w:p w14:paraId="211C280E" w14:textId="392B502F" w:rsidR="00C25A10" w:rsidRDefault="00C25A10" w:rsidP="00C25A10">
      <w:r>
        <w:t>Check out the calculator and other new contract information at</w:t>
      </w:r>
      <w:r w:rsidR="007A5F8E">
        <w:t>,</w:t>
      </w:r>
      <w:r>
        <w:t xml:space="preserve"> </w:t>
      </w:r>
      <w:hyperlink r:id="rId9" w:history="1">
        <w:r w:rsidR="00D02046" w:rsidRPr="005246E4">
          <w:rPr>
            <w:rStyle w:val="Hyperlink"/>
          </w:rPr>
          <w:t>www.transport.tas.gov.au/busreview/new_contract_information</w:t>
        </w:r>
      </w:hyperlink>
    </w:p>
    <w:p w14:paraId="46E6437C" w14:textId="3B599A01" w:rsidR="00283E34" w:rsidRDefault="00283E34" w:rsidP="00283E34">
      <w:pPr>
        <w:pStyle w:val="Heading1"/>
      </w:pPr>
      <w:r>
        <w:t xml:space="preserve">Upcoming Request for Tender for </w:t>
      </w:r>
      <w:r w:rsidR="00F53E03">
        <w:t>general access bus service</w:t>
      </w:r>
    </w:p>
    <w:p w14:paraId="6E2D79FA" w14:textId="1F17A08D" w:rsidR="00283E34" w:rsidRDefault="0012686F" w:rsidP="00283E34">
      <w:r>
        <w:t>A</w:t>
      </w:r>
      <w:r w:rsidR="00283E34">
        <w:t xml:space="preserve"> Request for Tender (RFT) for the provision of a regular passenger transport service between Sheffield and Devonport (via Railton and Latrobe)</w:t>
      </w:r>
      <w:r w:rsidR="0067174B">
        <w:t xml:space="preserve"> will</w:t>
      </w:r>
      <w:r>
        <w:t xml:space="preserve"> be released by the Department</w:t>
      </w:r>
      <w:r w:rsidR="001C5563">
        <w:t xml:space="preserve"> in late August/</w:t>
      </w:r>
      <w:r w:rsidR="0044284C">
        <w:t>early September.</w:t>
      </w:r>
    </w:p>
    <w:p w14:paraId="61AD69B3" w14:textId="156067E5" w:rsidR="00283E34" w:rsidRDefault="0067174B" w:rsidP="00283E34">
      <w:r>
        <w:t>T</w:t>
      </w:r>
      <w:r w:rsidR="00283E34">
        <w:t>he new service</w:t>
      </w:r>
      <w:r>
        <w:t xml:space="preserve"> will</w:t>
      </w:r>
      <w:r w:rsidR="00283E34">
        <w:t xml:space="preserve"> commence from 19 January 2020 </w:t>
      </w:r>
      <w:r w:rsidR="004336CE">
        <w:t>in line with</w:t>
      </w:r>
      <w:r>
        <w:t xml:space="preserve"> the </w:t>
      </w:r>
      <w:r w:rsidR="00283E34">
        <w:t>roll out of new contracts under the Bus Service Review</w:t>
      </w:r>
      <w:r>
        <w:t>.</w:t>
      </w:r>
      <w:r w:rsidR="00283E34">
        <w:t xml:space="preserve"> The initial contract term will be five years with an option to extend for a further five years.  </w:t>
      </w:r>
    </w:p>
    <w:p w14:paraId="54BCD7DC" w14:textId="2CD68FC3" w:rsidR="00283E34" w:rsidRDefault="00283E34" w:rsidP="00283E34">
      <w:r>
        <w:t>State Growth will conduct an open tender process to achieve value for money, open and effective competition, compliance with ethical standards, and to enhance opportunities for local business</w:t>
      </w:r>
      <w:r w:rsidR="00D02046">
        <w:t>, in keeping with the Government’s Procurement Principles.</w:t>
      </w:r>
    </w:p>
    <w:p w14:paraId="25A9516F" w14:textId="2E8B099B" w:rsidR="00283E34" w:rsidRDefault="00283E34" w:rsidP="00283E34">
      <w:r>
        <w:t>If you</w:t>
      </w:r>
      <w:r w:rsidR="00EF131B">
        <w:t xml:space="preserve"> a</w:t>
      </w:r>
      <w:r>
        <w:t>re interested in tendering for the provision of this service, please register at the Tasmanian Government Tenders website www.tenders.tas.gov.au.</w:t>
      </w:r>
    </w:p>
    <w:p w14:paraId="6BA5D53B" w14:textId="351270BC" w:rsidR="00283E34" w:rsidRDefault="00283E34" w:rsidP="00283E34">
      <w:r>
        <w:t xml:space="preserve">Information on preparing a </w:t>
      </w:r>
      <w:r w:rsidR="007A5F8E">
        <w:t>t</w:t>
      </w:r>
      <w:r>
        <w:t>ender is available on the Tasmanian Government’s Purchasing website at www.purchasing.tas.gov.au/winning-government-business.</w:t>
      </w:r>
    </w:p>
    <w:p w14:paraId="53F22454" w14:textId="0B36D814" w:rsidR="00283E34" w:rsidRDefault="00283E34" w:rsidP="00283E34">
      <w:r>
        <w:t>We understand you may want more information, however, please hold your questions until after the RFT is released as many questions may be answered in the tender documents. We are not able to provide any further information about the tender until the release date.</w:t>
      </w:r>
    </w:p>
    <w:p w14:paraId="40737FC1" w14:textId="1848F17F" w:rsidR="00904F4D" w:rsidRPr="00AF2915" w:rsidRDefault="00904F4D" w:rsidP="00904F4D">
      <w:pPr>
        <w:rPr>
          <w:rFonts w:eastAsiaTheme="majorEastAsia" w:cstheme="majorBidi"/>
          <w:color w:val="009999"/>
          <w:sz w:val="36"/>
          <w:szCs w:val="32"/>
        </w:rPr>
      </w:pPr>
      <w:r w:rsidRPr="00AF2915">
        <w:rPr>
          <w:rFonts w:eastAsiaTheme="majorEastAsia" w:cstheme="majorBidi"/>
          <w:color w:val="009999"/>
          <w:sz w:val="36"/>
          <w:szCs w:val="32"/>
        </w:rPr>
        <w:t xml:space="preserve">Registry of Ancillary Certificates to </w:t>
      </w:r>
      <w:r w:rsidR="00F53E03" w:rsidRPr="00AF2915">
        <w:rPr>
          <w:rFonts w:eastAsiaTheme="majorEastAsia" w:cstheme="majorBidi"/>
          <w:color w:val="009999"/>
          <w:sz w:val="36"/>
          <w:szCs w:val="32"/>
        </w:rPr>
        <w:t xml:space="preserve">drive </w:t>
      </w:r>
      <w:r w:rsidR="00804D79" w:rsidRPr="00AF2915">
        <w:rPr>
          <w:rFonts w:eastAsiaTheme="majorEastAsia" w:cstheme="majorBidi"/>
          <w:color w:val="009999"/>
          <w:sz w:val="36"/>
          <w:szCs w:val="32"/>
        </w:rPr>
        <w:t>Public Passenger Vehicles</w:t>
      </w:r>
    </w:p>
    <w:p w14:paraId="35F130EF" w14:textId="29F8F804" w:rsidR="00904F4D" w:rsidRPr="00AF2915" w:rsidRDefault="00904F4D" w:rsidP="00804D79">
      <w:pPr>
        <w:rPr>
          <w:lang w:val="en-AU"/>
        </w:rPr>
      </w:pPr>
      <w:r w:rsidRPr="00AF2915">
        <w:t>The Registrar of Motor Vehicles is improving the way driver ancillary certificate details are made available to accredited passenger transport operators.</w:t>
      </w:r>
    </w:p>
    <w:p w14:paraId="70F2B103" w14:textId="231C141C" w:rsidR="00904F4D" w:rsidRPr="00AF2915" w:rsidRDefault="00904F4D" w:rsidP="00904F4D">
      <w:r w:rsidRPr="00AF2915">
        <w:t xml:space="preserve">It is a condition of passenger transport operator accreditation that accredited operators ensure their drivers are appropriately licensed and certified to drive their vehicles, and continue to remain so while driving public passenger </w:t>
      </w:r>
      <w:r w:rsidRPr="00AF2915">
        <w:lastRenderedPageBreak/>
        <w:t>vehicles. The Registrar of Motor Vehicles facilitates this requirement by publishing a register of current ancillary certificates on the Transport Tasmania website for operators to undertake periodic checks.</w:t>
      </w:r>
    </w:p>
    <w:p w14:paraId="5669B000" w14:textId="0079DB7A" w:rsidR="00904F4D" w:rsidRPr="00AF2915" w:rsidRDefault="00904F4D" w:rsidP="00904F4D">
      <w:r w:rsidRPr="00AF2915">
        <w:t xml:space="preserve">A new online tool is now available that allows ancillary certificates to be checked by entering the driver licence number and surname of the licence holder.  The online tool replaces the publication of the register. The details entered online must exactly match the details on the driver licence. A successful search will provide the ancillary certificate type, ancillary certificate expiry date and driver licence expiry date of the licence searched. </w:t>
      </w:r>
    </w:p>
    <w:p w14:paraId="06D3B076" w14:textId="16C4A86F" w:rsidR="00904F4D" w:rsidRPr="00AF2915" w:rsidRDefault="00904F4D" w:rsidP="00904F4D">
      <w:r w:rsidRPr="00AF2915">
        <w:t>Information available through this page is updated in real time; a significant improvement over the previous publishing schedule of the register.</w:t>
      </w:r>
    </w:p>
    <w:p w14:paraId="664BF006" w14:textId="3A139C8F" w:rsidR="00904F4D" w:rsidRPr="0044284C" w:rsidRDefault="00904F4D" w:rsidP="003D0217">
      <w:pPr>
        <w:rPr>
          <w:rStyle w:val="Hyperlink"/>
          <w:u w:val="none"/>
        </w:rPr>
      </w:pPr>
      <w:r w:rsidRPr="00AF2915">
        <w:t>The new ancillary certificate verification onl</w:t>
      </w:r>
      <w:r w:rsidR="00AF2915" w:rsidRPr="00AF2915">
        <w:t xml:space="preserve">ine tool is available online at </w:t>
      </w:r>
      <w:hyperlink r:id="rId10" w:history="1">
        <w:r w:rsidR="00AF2915" w:rsidRPr="0044284C">
          <w:rPr>
            <w:rStyle w:val="Hyperlink"/>
            <w:color w:val="000000" w:themeColor="text1"/>
            <w:u w:val="none"/>
          </w:rPr>
          <w:t>https://ptinfo.transport.tas.gov.au/ancillary_check.aspx</w:t>
        </w:r>
      </w:hyperlink>
    </w:p>
    <w:p w14:paraId="74AAA113" w14:textId="3D808AD3" w:rsidR="004675BD" w:rsidRDefault="004675BD" w:rsidP="003D0217">
      <w:pPr>
        <w:rPr>
          <w:rFonts w:eastAsiaTheme="majorEastAsia" w:cstheme="majorBidi"/>
          <w:color w:val="009999"/>
          <w:sz w:val="36"/>
          <w:szCs w:val="32"/>
        </w:rPr>
      </w:pPr>
      <w:r>
        <w:rPr>
          <w:rFonts w:eastAsiaTheme="majorEastAsia" w:cstheme="majorBidi"/>
          <w:color w:val="009999"/>
          <w:sz w:val="36"/>
          <w:szCs w:val="32"/>
        </w:rPr>
        <w:t xml:space="preserve">Appropriate </w:t>
      </w:r>
      <w:r w:rsidR="00F53E03">
        <w:rPr>
          <w:rFonts w:eastAsiaTheme="majorEastAsia" w:cstheme="majorBidi"/>
          <w:color w:val="009999"/>
          <w:sz w:val="36"/>
          <w:szCs w:val="32"/>
        </w:rPr>
        <w:t xml:space="preserve">systems </w:t>
      </w:r>
      <w:r>
        <w:rPr>
          <w:rFonts w:eastAsiaTheme="majorEastAsia" w:cstheme="majorBidi"/>
          <w:color w:val="009999"/>
          <w:sz w:val="36"/>
          <w:szCs w:val="32"/>
        </w:rPr>
        <w:t xml:space="preserve">for a </w:t>
      </w:r>
      <w:r w:rsidR="00F53E03">
        <w:rPr>
          <w:rFonts w:eastAsiaTheme="majorEastAsia" w:cstheme="majorBidi"/>
          <w:color w:val="009999"/>
          <w:sz w:val="36"/>
          <w:szCs w:val="32"/>
        </w:rPr>
        <w:t>bus service</w:t>
      </w:r>
    </w:p>
    <w:p w14:paraId="246B91B6" w14:textId="77777777" w:rsidR="004675BD" w:rsidRDefault="004675BD" w:rsidP="004675BD">
      <w:pPr>
        <w:spacing w:before="200" w:after="120"/>
        <w:rPr>
          <w:rFonts w:ascii="Calibri" w:hAnsi="Calibri"/>
          <w:lang w:val="en-AU"/>
        </w:rPr>
      </w:pPr>
      <w:r>
        <w:t>An accredited operator of a bus service must have systems (or procedures) that meet the Accreditation Standards.  The Accreditation Standards set out the minimum safety specifications for a passenger transport service.</w:t>
      </w:r>
    </w:p>
    <w:p w14:paraId="4DC1C517" w14:textId="77777777" w:rsidR="004675BD" w:rsidRDefault="004675BD" w:rsidP="004675BD">
      <w:pPr>
        <w:spacing w:before="200" w:after="120"/>
      </w:pPr>
      <w:r>
        <w:t>When the accreditation systems are working and they meet the Accreditation Standards:</w:t>
      </w:r>
    </w:p>
    <w:p w14:paraId="1DB2D242" w14:textId="15EA4B46" w:rsidR="004675BD" w:rsidRDefault="004675BD" w:rsidP="004675BD">
      <w:pPr>
        <w:pStyle w:val="ListParagraph"/>
        <w:numPr>
          <w:ilvl w:val="0"/>
          <w:numId w:val="30"/>
        </w:numPr>
        <w:spacing w:before="200" w:after="120" w:line="252" w:lineRule="auto"/>
      </w:pPr>
      <w:r>
        <w:t>the accredited operator will be aware of important dates such as when registrations and inspections are due</w:t>
      </w:r>
    </w:p>
    <w:p w14:paraId="7038EBB7" w14:textId="58567F6A" w:rsidR="004675BD" w:rsidRDefault="004675BD" w:rsidP="004675BD">
      <w:pPr>
        <w:pStyle w:val="ListParagraph"/>
        <w:numPr>
          <w:ilvl w:val="0"/>
          <w:numId w:val="30"/>
        </w:numPr>
        <w:spacing w:before="200" w:after="120" w:line="252" w:lineRule="auto"/>
      </w:pPr>
      <w:r>
        <w:t>buses will be registered and roadworthy</w:t>
      </w:r>
    </w:p>
    <w:p w14:paraId="52B7BF18" w14:textId="0962EE30" w:rsidR="004675BD" w:rsidRDefault="004675BD" w:rsidP="004675BD">
      <w:pPr>
        <w:pStyle w:val="ListParagraph"/>
        <w:numPr>
          <w:ilvl w:val="0"/>
          <w:numId w:val="30"/>
        </w:numPr>
        <w:spacing w:before="200" w:after="120" w:line="252" w:lineRule="auto"/>
      </w:pPr>
      <w:r>
        <w:t>drivers will be appropriately licensed and certified</w:t>
      </w:r>
    </w:p>
    <w:p w14:paraId="6E2AE00C" w14:textId="77777777" w:rsidR="004675BD" w:rsidRDefault="004675BD" w:rsidP="004675BD">
      <w:pPr>
        <w:pStyle w:val="ListParagraph"/>
        <w:numPr>
          <w:ilvl w:val="0"/>
          <w:numId w:val="30"/>
        </w:numPr>
        <w:spacing w:before="200" w:after="120" w:line="252" w:lineRule="auto"/>
      </w:pPr>
      <w:r>
        <w:t>passengers and drivers will be safe.</w:t>
      </w:r>
    </w:p>
    <w:p w14:paraId="6453B5FE" w14:textId="77777777" w:rsidR="004675BD" w:rsidRDefault="004675BD" w:rsidP="004675BD">
      <w:pPr>
        <w:spacing w:before="200" w:after="120"/>
      </w:pPr>
      <w:r>
        <w:t>When the accreditation systems are not working:</w:t>
      </w:r>
    </w:p>
    <w:p w14:paraId="7A79BB98" w14:textId="77777777" w:rsidR="004675BD" w:rsidRDefault="004675BD" w:rsidP="004675BD">
      <w:pPr>
        <w:pStyle w:val="ListParagraph"/>
        <w:numPr>
          <w:ilvl w:val="0"/>
          <w:numId w:val="31"/>
        </w:numPr>
        <w:spacing w:before="200" w:after="120" w:line="252" w:lineRule="auto"/>
      </w:pPr>
      <w:r>
        <w:t>buses become unregistered, are not presented for inspection on time, and/or may become unroadworthy</w:t>
      </w:r>
    </w:p>
    <w:p w14:paraId="2B1EACC2" w14:textId="33585166" w:rsidR="004675BD" w:rsidRDefault="004675BD" w:rsidP="004675BD">
      <w:pPr>
        <w:pStyle w:val="ListParagraph"/>
        <w:numPr>
          <w:ilvl w:val="0"/>
          <w:numId w:val="31"/>
        </w:numPr>
        <w:spacing w:before="200" w:after="120" w:line="252" w:lineRule="auto"/>
      </w:pPr>
      <w:r>
        <w:t>drivers may not be appropriately licensed and certified</w:t>
      </w:r>
    </w:p>
    <w:p w14:paraId="52D64FBD" w14:textId="77777777" w:rsidR="004675BD" w:rsidRDefault="004675BD" w:rsidP="004675BD">
      <w:pPr>
        <w:pStyle w:val="ListParagraph"/>
        <w:numPr>
          <w:ilvl w:val="0"/>
          <w:numId w:val="31"/>
        </w:numPr>
        <w:spacing w:before="200" w:after="120" w:line="252" w:lineRule="auto"/>
      </w:pPr>
      <w:r>
        <w:t>the bus service may become unsafe.</w:t>
      </w:r>
    </w:p>
    <w:p w14:paraId="02BDE785" w14:textId="516C46BB" w:rsidR="004675BD" w:rsidRDefault="004675BD" w:rsidP="004675BD">
      <w:pPr>
        <w:spacing w:before="200" w:after="120"/>
      </w:pPr>
      <w:r>
        <w:t xml:space="preserve">There is information at </w:t>
      </w:r>
      <w:hyperlink r:id="rId11" w:history="1">
        <w:r w:rsidR="007A5F8E" w:rsidRPr="007A5F8E">
          <w:rPr>
            <w:rStyle w:val="Hyperlink"/>
          </w:rPr>
          <w:t>www.transport.tas.gov.au/passenger/operators</w:t>
        </w:r>
      </w:hyperlink>
      <w:r>
        <w:t xml:space="preserve"> to help operators build accreditation systems that mee</w:t>
      </w:r>
      <w:r w:rsidR="001C5563">
        <w:t>t the Accreditation Standards. </w:t>
      </w:r>
      <w:r>
        <w:t>This information includes:</w:t>
      </w:r>
    </w:p>
    <w:p w14:paraId="4A679555" w14:textId="21F0086C" w:rsidR="004675BD" w:rsidRDefault="004675BD" w:rsidP="004675BD">
      <w:pPr>
        <w:pStyle w:val="ListParagraph"/>
        <w:numPr>
          <w:ilvl w:val="0"/>
          <w:numId w:val="32"/>
        </w:numPr>
        <w:spacing w:before="200" w:after="0" w:line="252" w:lineRule="auto"/>
      </w:pPr>
      <w:r>
        <w:t xml:space="preserve">the </w:t>
      </w:r>
      <w:r>
        <w:rPr>
          <w:i/>
          <w:iCs/>
        </w:rPr>
        <w:t xml:space="preserve">Operator Accreditation Manual </w:t>
      </w:r>
      <w:r>
        <w:t>which sets out the Accreditation Standards</w:t>
      </w:r>
    </w:p>
    <w:p w14:paraId="02D8CAAE" w14:textId="77777777" w:rsidR="004675BD" w:rsidRDefault="004675BD" w:rsidP="004675BD">
      <w:pPr>
        <w:pStyle w:val="ListParagraph"/>
        <w:numPr>
          <w:ilvl w:val="0"/>
          <w:numId w:val="32"/>
        </w:numPr>
        <w:spacing w:before="200" w:after="0" w:line="252" w:lineRule="auto"/>
      </w:pPr>
      <w:r>
        <w:t xml:space="preserve">the </w:t>
      </w:r>
      <w:r>
        <w:rPr>
          <w:i/>
          <w:iCs/>
        </w:rPr>
        <w:t>Operator Accreditation Manual (Forms)</w:t>
      </w:r>
      <w:r>
        <w:t xml:space="preserve"> which sets out the minimum information that you need to collect for your systems to meet the Accreditation Standards.</w:t>
      </w:r>
    </w:p>
    <w:p w14:paraId="3AF0C2FB" w14:textId="026BDE85" w:rsidR="004675BD" w:rsidRDefault="004675BD" w:rsidP="004675BD">
      <w:pPr>
        <w:spacing w:before="200"/>
      </w:pPr>
      <w:r>
        <w:t xml:space="preserve">Accredited operators may choose to collect and store other information that is not included on the </w:t>
      </w:r>
      <w:r w:rsidR="00342B82">
        <w:t>f</w:t>
      </w:r>
      <w:r>
        <w:t>orms and systems. Electronic alternatives can be used instead of paper based forms.</w:t>
      </w:r>
      <w:r w:rsidR="00804D79">
        <w:t xml:space="preserve"> </w:t>
      </w:r>
      <w:r>
        <w:t xml:space="preserve">Records (including information on the </w:t>
      </w:r>
      <w:r w:rsidR="00342B82">
        <w:t>f</w:t>
      </w:r>
      <w:r>
        <w:t xml:space="preserve">orms) used for the </w:t>
      </w:r>
      <w:r w:rsidR="00342B82">
        <w:t>a</w:t>
      </w:r>
      <w:r>
        <w:t xml:space="preserve">ccreditation must be kept for at least </w:t>
      </w:r>
      <w:r w:rsidR="00342B82">
        <w:t>three</w:t>
      </w:r>
      <w:r>
        <w:t xml:space="preserve"> years, and be available to an auditor or the Commission.</w:t>
      </w:r>
    </w:p>
    <w:p w14:paraId="4174E8EE" w14:textId="169F3BA1" w:rsidR="004675BD" w:rsidRDefault="00BE7A92" w:rsidP="004675BD">
      <w:pPr>
        <w:spacing w:before="200"/>
      </w:pPr>
      <w:r>
        <w:t>It is very important for o</w:t>
      </w:r>
      <w:r w:rsidR="004675BD">
        <w:t xml:space="preserve">perators to review their accreditation systems regularly to make sure they work. If a </w:t>
      </w:r>
      <w:r w:rsidR="00804D79">
        <w:t xml:space="preserve">bus </w:t>
      </w:r>
      <w:r w:rsidR="004675BD">
        <w:t>becomes unregistered or unroadworthy, the cause needs to be found.  When th</w:t>
      </w:r>
      <w:r w:rsidR="00342B82">
        <w:t xml:space="preserve">is </w:t>
      </w:r>
      <w:r w:rsidR="004675BD">
        <w:t>is found, the operator needs to fix the accreditation systems so it doesn’t happen again.</w:t>
      </w:r>
    </w:p>
    <w:p w14:paraId="21C079FE" w14:textId="652BA87F" w:rsidR="004675BD" w:rsidRPr="00904F4D" w:rsidRDefault="004675BD" w:rsidP="004675BD">
      <w:r>
        <w:t xml:space="preserve">The accreditation systems </w:t>
      </w:r>
      <w:r w:rsidR="00342B82">
        <w:t xml:space="preserve">is </w:t>
      </w:r>
      <w:r>
        <w:t xml:space="preserve">tested by an auditor at regular, scheduled intervals.  The audit report provides information that helps the Commission to determine if the accreditation systems meet the Accreditation Standards. If the accreditation systems do not meet the </w:t>
      </w:r>
      <w:r w:rsidR="00342B82">
        <w:t>s</w:t>
      </w:r>
      <w:r>
        <w:t xml:space="preserve">tandards, the Commission will work with the </w:t>
      </w:r>
      <w:r w:rsidR="00BE7A92">
        <w:t>o</w:t>
      </w:r>
      <w:r>
        <w:t>perator to improve the systems in various ways which may include education, monitoring, restrictions or sanctions.</w:t>
      </w:r>
    </w:p>
    <w:p w14:paraId="1854E223" w14:textId="22D6DB3B" w:rsidR="009D20F8" w:rsidRPr="009D20F8" w:rsidRDefault="00804D79">
      <w:pPr>
        <w:pStyle w:val="Heading1"/>
      </w:pPr>
      <w:r>
        <w:lastRenderedPageBreak/>
        <w:t xml:space="preserve">Notification </w:t>
      </w:r>
      <w:r w:rsidR="00F53E03">
        <w:t>reminder</w:t>
      </w:r>
    </w:p>
    <w:p w14:paraId="683C026B" w14:textId="35578FF2" w:rsidR="000F458B" w:rsidRPr="000F458B" w:rsidRDefault="00AF2915" w:rsidP="000F458B">
      <w:r w:rsidRPr="008F0001">
        <w:t>A</w:t>
      </w:r>
      <w:r w:rsidR="003F74DF" w:rsidRPr="008F0001">
        <w:t xml:space="preserve"> reminder that your contract requires you </w:t>
      </w:r>
      <w:r w:rsidR="00342B82">
        <w:t xml:space="preserve">to </w:t>
      </w:r>
      <w:r w:rsidR="003F74DF" w:rsidRPr="008F0001">
        <w:t xml:space="preserve">provide the Delegate with immediate notification of any </w:t>
      </w:r>
      <w:r w:rsidRPr="008F0001">
        <w:t>event arising from the performance</w:t>
      </w:r>
      <w:r w:rsidR="003F74DF" w:rsidRPr="008F0001">
        <w:t xml:space="preserve"> of the service that involves the police. This immediate notification must be followed by a written report by the close of bus</w:t>
      </w:r>
      <w:r w:rsidR="00FC2AAA">
        <w:t xml:space="preserve">iness on the next </w:t>
      </w:r>
      <w:r w:rsidR="00CD7406">
        <w:t>b</w:t>
      </w:r>
      <w:r w:rsidR="00FC2AAA">
        <w:t xml:space="preserve">usiness </w:t>
      </w:r>
      <w:r w:rsidR="00CD7406">
        <w:t>d</w:t>
      </w:r>
      <w:r w:rsidR="00FC2AAA">
        <w:t>ay.</w:t>
      </w:r>
      <w:r w:rsidR="003F74DF">
        <w:t xml:space="preserve"> </w:t>
      </w:r>
    </w:p>
    <w:p w14:paraId="4899237D" w14:textId="53F28386" w:rsidR="006E4EAC" w:rsidRPr="00AF2915" w:rsidRDefault="006E4EAC" w:rsidP="006E4EAC">
      <w:pPr>
        <w:pStyle w:val="Heading1"/>
      </w:pPr>
      <w:r w:rsidRPr="00AF2915">
        <w:t>Payment enquiries</w:t>
      </w:r>
    </w:p>
    <w:p w14:paraId="19C57EAB" w14:textId="4936FBC5" w:rsidR="006E4EAC" w:rsidRPr="00AF2915" w:rsidRDefault="007A5F8E" w:rsidP="006E4EAC">
      <w:r>
        <w:t>Y</w:t>
      </w:r>
      <w:r w:rsidR="006E4EAC" w:rsidRPr="00AF2915">
        <w:t xml:space="preserve">our monthly Recipient Created Tax Invoice (RCTI) is now sent to you from the Department’s Finance branch. Please </w:t>
      </w:r>
      <w:r w:rsidR="006E4EAC" w:rsidRPr="00AF2915">
        <w:rPr>
          <w:u w:val="single"/>
        </w:rPr>
        <w:t>do not reply to this email</w:t>
      </w:r>
      <w:r w:rsidR="006E4EAC" w:rsidRPr="00AF2915">
        <w:t xml:space="preserve"> as the Finance team member who sends through your RCTI may be unable to answer your Contract payment-related queries. For the fastest response, please continue to direct all payment related queries to the Passenger Transport Contracts team via email </w:t>
      </w:r>
      <w:hyperlink r:id="rId12" w:history="1">
        <w:r w:rsidR="006E4EAC" w:rsidRPr="00AF2915">
          <w:t>ptscontracts@stategrowth.tas.gov.au</w:t>
        </w:r>
      </w:hyperlink>
      <w:r w:rsidR="006E4EAC" w:rsidRPr="00AF2915">
        <w:t xml:space="preserve"> or </w:t>
      </w:r>
      <w:r w:rsidR="00804D79">
        <w:t>by tele</w:t>
      </w:r>
      <w:r w:rsidR="006E4EAC" w:rsidRPr="00AF2915">
        <w:t>phone (03)</w:t>
      </w:r>
      <w:r w:rsidR="00804D79">
        <w:t> </w:t>
      </w:r>
      <w:r w:rsidR="006E4EAC" w:rsidRPr="00AF2915">
        <w:t>6166</w:t>
      </w:r>
      <w:r w:rsidR="00804D79">
        <w:t> </w:t>
      </w:r>
      <w:r w:rsidR="006E4EAC" w:rsidRPr="00AF2915">
        <w:t>3343.</w:t>
      </w:r>
    </w:p>
    <w:p w14:paraId="759FD650" w14:textId="017B1679" w:rsidR="00E743D4" w:rsidRDefault="00E743D4" w:rsidP="00F87816">
      <w:pPr>
        <w:pStyle w:val="Heading1"/>
      </w:pPr>
      <w:r>
        <w:t xml:space="preserve">Bus </w:t>
      </w:r>
      <w:r w:rsidR="00804D79">
        <w:t xml:space="preserve">Cost Model Index </w:t>
      </w:r>
      <w:r>
        <w:t xml:space="preserve">(BCMI) </w:t>
      </w:r>
    </w:p>
    <w:p w14:paraId="0FEDC1A3" w14:textId="6A19D71A" w:rsidR="001D0ABD" w:rsidRPr="00D95DEB" w:rsidRDefault="00E743D4" w:rsidP="00F87816">
      <w:r>
        <w:t xml:space="preserve">The BCMI has been calculated for </w:t>
      </w:r>
      <w:r w:rsidR="00833A46">
        <w:t>August</w:t>
      </w:r>
      <w:r w:rsidR="00C25A10" w:rsidRPr="00D95DEB">
        <w:t xml:space="preserve"> </w:t>
      </w:r>
      <w:r w:rsidRPr="00D95DEB">
        <w:t>201</w:t>
      </w:r>
      <w:r w:rsidR="00EF1D22">
        <w:t>9</w:t>
      </w:r>
      <w:r w:rsidRPr="00D95DEB">
        <w:t xml:space="preserve"> </w:t>
      </w:r>
      <w:r>
        <w:t>and is</w:t>
      </w:r>
      <w:r w:rsidR="00523AFF">
        <w:t xml:space="preserve"> </w:t>
      </w:r>
      <w:r w:rsidR="00833A46">
        <w:t>129</w:t>
      </w:r>
      <w:r w:rsidR="00C25A10">
        <w:t>.7</w:t>
      </w:r>
      <w:r w:rsidR="00333F8F">
        <w:t>.</w:t>
      </w:r>
    </w:p>
    <w:p w14:paraId="2F2A4662" w14:textId="0F0E81A2" w:rsidR="00E743D4" w:rsidRPr="00954FE5" w:rsidRDefault="00E743D4" w:rsidP="00F87816">
      <w:pPr>
        <w:pStyle w:val="Heading1"/>
        <w:rPr>
          <w:highlight w:val="yellow"/>
        </w:rPr>
      </w:pPr>
      <w:r>
        <w:t xml:space="preserve">Capital </w:t>
      </w:r>
      <w:r w:rsidR="00F53E03">
        <w:t>rates</w:t>
      </w:r>
    </w:p>
    <w:p w14:paraId="65AA0F93" w14:textId="4CE0D218" w:rsidR="00AA0B87" w:rsidRDefault="00E743D4" w:rsidP="00F87816">
      <w:r w:rsidRPr="00555E87">
        <w:t xml:space="preserve">The Capital Payment rates have been calculated for the quarter </w:t>
      </w:r>
      <w:r w:rsidRPr="008F154C">
        <w:t xml:space="preserve">commencing </w:t>
      </w:r>
      <w:r w:rsidR="00C25A10">
        <w:t>July</w:t>
      </w:r>
      <w:r w:rsidR="00C25A10" w:rsidRPr="00D95DEB">
        <w:t xml:space="preserve"> </w:t>
      </w:r>
      <w:r w:rsidRPr="00D95DEB">
        <w:t>201</w:t>
      </w:r>
      <w:r w:rsidR="00EF1D22">
        <w:t>9</w:t>
      </w:r>
      <w:r w:rsidRPr="00D95DEB">
        <w:t>.</w:t>
      </w:r>
      <w:r w:rsidR="00523AFF">
        <w:t xml:space="preserve"> There have been </w:t>
      </w:r>
      <w:r w:rsidR="00833A46">
        <w:t xml:space="preserve">decreases </w:t>
      </w:r>
      <w:r w:rsidR="001453CE">
        <w:t xml:space="preserve">to the rates </w:t>
      </w:r>
      <w:r w:rsidR="00833A46">
        <w:t>for all contract types, owing predominantly to a decrease in interest rates</w:t>
      </w:r>
      <w:r w:rsidR="00523AFF">
        <w:t xml:space="preserve">. </w:t>
      </w:r>
      <w:r w:rsidRPr="008F154C">
        <w:t xml:space="preserve">Please consider </w:t>
      </w:r>
      <w:r w:rsidRPr="00555E87">
        <w:t xml:space="preserve">these rates before </w:t>
      </w:r>
      <w:r>
        <w:t xml:space="preserve">requesting bus </w:t>
      </w:r>
      <w:r w:rsidRPr="00555E87">
        <w:t xml:space="preserve">changes </w:t>
      </w:r>
      <w:r>
        <w:t>on</w:t>
      </w:r>
      <w:r w:rsidRPr="00555E87">
        <w:t xml:space="preserve"> your contract.</w:t>
      </w:r>
      <w:r w:rsidR="00AE184A">
        <w:t xml:space="preserve"> </w:t>
      </w:r>
      <w:r w:rsidRPr="00555E87">
        <w:t>For all fare-paying operators, the rates applicable to your monthly contract payment can be found on your Statement of Payment.</w:t>
      </w:r>
    </w:p>
    <w:p w14:paraId="5CB7FD75" w14:textId="328A079B" w:rsidR="00833A46" w:rsidRDefault="00BE7A92" w:rsidP="00F87816">
      <w:r>
        <w:t>Due to an error in the initial calculation, t</w:t>
      </w:r>
      <w:r w:rsidR="00833A46">
        <w:t>here has also been a recalculation of the January/April 2019 capital rates</w:t>
      </w:r>
      <w:r>
        <w:t>.</w:t>
      </w:r>
      <w:r w:rsidR="00833A46">
        <w:t xml:space="preserve"> As seen below, these changes are relatively minor, but information will be circulated to all affected operators in the coming weeks.</w:t>
      </w:r>
    </w:p>
    <w:tbl>
      <w:tblPr>
        <w:tblStyle w:val="ListTable1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701"/>
        <w:gridCol w:w="1701"/>
        <w:gridCol w:w="1701"/>
      </w:tblGrid>
      <w:tr w:rsidR="00833A46" w:rsidRPr="00066EDD" w14:paraId="5E208046" w14:textId="64FE496C" w:rsidTr="003D0217">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8247A02" w14:textId="77777777" w:rsidR="00833A46" w:rsidRPr="00FD7296" w:rsidRDefault="00833A46" w:rsidP="00AE184A">
            <w:pPr>
              <w:spacing w:after="0"/>
            </w:pPr>
            <w:r w:rsidRPr="00FD7296">
              <w:t>Contract Type</w:t>
            </w:r>
          </w:p>
        </w:tc>
        <w:tc>
          <w:tcPr>
            <w:tcW w:w="1701" w:type="dxa"/>
            <w:vAlign w:val="center"/>
          </w:tcPr>
          <w:p w14:paraId="7926BCA8" w14:textId="376E53E7" w:rsidR="00833A46" w:rsidRPr="00EF1D22" w:rsidRDefault="00833A46" w:rsidP="00AE184A">
            <w:pPr>
              <w:spacing w:after="0"/>
              <w:cnfStyle w:val="100000000000" w:firstRow="1" w:lastRow="0" w:firstColumn="0" w:lastColumn="0" w:oddVBand="0" w:evenVBand="0" w:oddHBand="0" w:evenHBand="0" w:firstRowFirstColumn="0" w:firstRowLastColumn="0" w:lastRowFirstColumn="0" w:lastRowLastColumn="0"/>
              <w:rPr>
                <w:color w:val="FF0000"/>
              </w:rPr>
            </w:pPr>
            <w:r w:rsidRPr="00B95097">
              <w:t>January</w:t>
            </w:r>
            <w:r>
              <w:t>/April</w:t>
            </w:r>
            <w:r w:rsidRPr="00B95097">
              <w:t xml:space="preserve"> 2019</w:t>
            </w:r>
            <w:r>
              <w:t xml:space="preserve"> (applied)</w:t>
            </w:r>
          </w:p>
        </w:tc>
        <w:tc>
          <w:tcPr>
            <w:tcW w:w="1701" w:type="dxa"/>
            <w:vAlign w:val="center"/>
          </w:tcPr>
          <w:p w14:paraId="11C5746D" w14:textId="1E959EFC" w:rsidR="00833A46" w:rsidRPr="00B95097" w:rsidRDefault="00833A46" w:rsidP="00AE184A">
            <w:pPr>
              <w:spacing w:after="0"/>
              <w:cnfStyle w:val="100000000000" w:firstRow="1" w:lastRow="0" w:firstColumn="0" w:lastColumn="0" w:oddVBand="0" w:evenVBand="0" w:oddHBand="0" w:evenHBand="0" w:firstRowFirstColumn="0" w:firstRowLastColumn="0" w:lastRowFirstColumn="0" w:lastRowLastColumn="0"/>
            </w:pPr>
            <w:r>
              <w:t>January/</w:t>
            </w:r>
            <w:r w:rsidRPr="00E533C4">
              <w:t>April 2019</w:t>
            </w:r>
            <w:r>
              <w:t xml:space="preserve"> (revised)</w:t>
            </w:r>
          </w:p>
        </w:tc>
        <w:tc>
          <w:tcPr>
            <w:tcW w:w="1701" w:type="dxa"/>
            <w:vAlign w:val="center"/>
          </w:tcPr>
          <w:p w14:paraId="0A53A4A1" w14:textId="7CA5D0F8" w:rsidR="00833A46" w:rsidRPr="00E533C4" w:rsidRDefault="00833A46" w:rsidP="003D0217">
            <w:pPr>
              <w:spacing w:after="0"/>
              <w:cnfStyle w:val="100000000000" w:firstRow="1" w:lastRow="0" w:firstColumn="0" w:lastColumn="0" w:oddVBand="0" w:evenVBand="0" w:oddHBand="0" w:evenHBand="0" w:firstRowFirstColumn="0" w:firstRowLastColumn="0" w:lastRowFirstColumn="0" w:lastRowLastColumn="0"/>
            </w:pPr>
            <w:r>
              <w:t>July 2019</w:t>
            </w:r>
          </w:p>
        </w:tc>
      </w:tr>
      <w:tr w:rsidR="00833A46" w:rsidRPr="00066EDD" w14:paraId="6179D192" w14:textId="45DF79A6" w:rsidTr="00EC63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1FE5F864" w14:textId="77777777" w:rsidR="00833A46" w:rsidRPr="00F87816" w:rsidRDefault="00833A46" w:rsidP="00AE184A">
            <w:pPr>
              <w:spacing w:after="0"/>
              <w:rPr>
                <w:b w:val="0"/>
              </w:rPr>
            </w:pPr>
            <w:r w:rsidRPr="00F87816">
              <w:rPr>
                <w:b w:val="0"/>
              </w:rPr>
              <w:t>Urban Fringe Student Only</w:t>
            </w:r>
          </w:p>
        </w:tc>
        <w:tc>
          <w:tcPr>
            <w:tcW w:w="1701" w:type="dxa"/>
            <w:tcBorders>
              <w:top w:val="single" w:sz="4" w:space="0" w:color="auto"/>
              <w:left w:val="single" w:sz="4" w:space="0" w:color="auto"/>
              <w:right w:val="single" w:sz="4" w:space="0" w:color="auto"/>
            </w:tcBorders>
            <w:shd w:val="clear" w:color="auto" w:fill="BDD6EE" w:themeFill="accent1" w:themeFillTint="66"/>
            <w:vAlign w:val="center"/>
          </w:tcPr>
          <w:p w14:paraId="6C4656B8" w14:textId="187DBB8D" w:rsidR="00833A46" w:rsidRPr="00B95097" w:rsidRDefault="00833A46" w:rsidP="0044284C">
            <w:pPr>
              <w:spacing w:after="0"/>
              <w:jc w:val="center"/>
              <w:cnfStyle w:val="000000100000" w:firstRow="0" w:lastRow="0" w:firstColumn="0" w:lastColumn="0" w:oddVBand="0" w:evenVBand="0" w:oddHBand="1" w:evenHBand="0" w:firstRowFirstColumn="0" w:firstRowLastColumn="0" w:lastRowFirstColumn="0" w:lastRowLastColumn="0"/>
            </w:pPr>
            <w:r>
              <w:t>$1.18</w:t>
            </w:r>
          </w:p>
        </w:tc>
        <w:tc>
          <w:tcPr>
            <w:tcW w:w="1701" w:type="dxa"/>
            <w:tcBorders>
              <w:top w:val="single" w:sz="4" w:space="0" w:color="auto"/>
              <w:left w:val="single" w:sz="4" w:space="0" w:color="auto"/>
              <w:right w:val="single" w:sz="4" w:space="0" w:color="auto"/>
            </w:tcBorders>
            <w:shd w:val="clear" w:color="auto" w:fill="BDD6EE" w:themeFill="accent1" w:themeFillTint="66"/>
            <w:vAlign w:val="center"/>
          </w:tcPr>
          <w:p w14:paraId="0D2A8638" w14:textId="5714AADD" w:rsidR="00833A46" w:rsidRDefault="00833A46" w:rsidP="0044284C">
            <w:pPr>
              <w:spacing w:after="0"/>
              <w:jc w:val="center"/>
              <w:cnfStyle w:val="000000100000" w:firstRow="0" w:lastRow="0" w:firstColumn="0" w:lastColumn="0" w:oddVBand="0" w:evenVBand="0" w:oddHBand="1" w:evenHBand="0" w:firstRowFirstColumn="0" w:firstRowLastColumn="0" w:lastRowFirstColumn="0" w:lastRowLastColumn="0"/>
            </w:pPr>
            <w:r>
              <w:t>$1.19</w:t>
            </w:r>
          </w:p>
        </w:tc>
        <w:tc>
          <w:tcPr>
            <w:tcW w:w="1701" w:type="dxa"/>
            <w:tcBorders>
              <w:top w:val="single" w:sz="4" w:space="0" w:color="auto"/>
              <w:left w:val="single" w:sz="4" w:space="0" w:color="auto"/>
              <w:right w:val="single" w:sz="4" w:space="0" w:color="auto"/>
            </w:tcBorders>
            <w:shd w:val="clear" w:color="auto" w:fill="BDD6EE" w:themeFill="accent1" w:themeFillTint="66"/>
          </w:tcPr>
          <w:p w14:paraId="294AA1E2" w14:textId="5C631816" w:rsidR="00833A46" w:rsidRDefault="00833A46" w:rsidP="0044284C">
            <w:pPr>
              <w:spacing w:after="0"/>
              <w:jc w:val="center"/>
              <w:cnfStyle w:val="000000100000" w:firstRow="0" w:lastRow="0" w:firstColumn="0" w:lastColumn="0" w:oddVBand="0" w:evenVBand="0" w:oddHBand="1" w:evenHBand="0" w:firstRowFirstColumn="0" w:firstRowLastColumn="0" w:lastRowFirstColumn="0" w:lastRowLastColumn="0"/>
            </w:pPr>
            <w:r>
              <w:t>$0.99</w:t>
            </w:r>
          </w:p>
        </w:tc>
      </w:tr>
      <w:tr w:rsidR="00833A46" w:rsidRPr="00066EDD" w14:paraId="3462517C" w14:textId="2F312701" w:rsidTr="00EC6383">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969AA47" w14:textId="77777777" w:rsidR="00833A46" w:rsidRPr="00F87816" w:rsidRDefault="00833A46" w:rsidP="00833A46">
            <w:pPr>
              <w:spacing w:after="0"/>
              <w:rPr>
                <w:b w:val="0"/>
                <w:i/>
              </w:rPr>
            </w:pPr>
            <w:r w:rsidRPr="00F87816">
              <w:rPr>
                <w:b w:val="0"/>
              </w:rPr>
              <w:t>Rural Fare Paying</w:t>
            </w:r>
          </w:p>
        </w:tc>
        <w:tc>
          <w:tcPr>
            <w:tcW w:w="1701" w:type="dxa"/>
            <w:tcBorders>
              <w:left w:val="single" w:sz="4" w:space="0" w:color="auto"/>
              <w:right w:val="single" w:sz="4" w:space="0" w:color="auto"/>
            </w:tcBorders>
            <w:shd w:val="clear" w:color="auto" w:fill="auto"/>
          </w:tcPr>
          <w:p w14:paraId="3966B609" w14:textId="2A90DED3" w:rsidR="00833A46" w:rsidRPr="00B95097" w:rsidRDefault="00833A46" w:rsidP="0044284C">
            <w:pPr>
              <w:spacing w:after="0"/>
              <w:jc w:val="center"/>
              <w:cnfStyle w:val="000000000000" w:firstRow="0" w:lastRow="0" w:firstColumn="0" w:lastColumn="0" w:oddVBand="0" w:evenVBand="0" w:oddHBand="0" w:evenHBand="0" w:firstRowFirstColumn="0" w:firstRowLastColumn="0" w:lastRowFirstColumn="0" w:lastRowLastColumn="0"/>
            </w:pPr>
            <w:r>
              <w:t>$1.18</w:t>
            </w:r>
          </w:p>
        </w:tc>
        <w:tc>
          <w:tcPr>
            <w:tcW w:w="1701" w:type="dxa"/>
            <w:tcBorders>
              <w:left w:val="single" w:sz="4" w:space="0" w:color="auto"/>
              <w:right w:val="single" w:sz="4" w:space="0" w:color="auto"/>
            </w:tcBorders>
          </w:tcPr>
          <w:p w14:paraId="4C091300" w14:textId="487D7F30" w:rsidR="00833A46" w:rsidRDefault="00833A46" w:rsidP="0044284C">
            <w:pPr>
              <w:spacing w:after="0"/>
              <w:jc w:val="center"/>
              <w:cnfStyle w:val="000000000000" w:firstRow="0" w:lastRow="0" w:firstColumn="0" w:lastColumn="0" w:oddVBand="0" w:evenVBand="0" w:oddHBand="0" w:evenHBand="0" w:firstRowFirstColumn="0" w:firstRowLastColumn="0" w:lastRowFirstColumn="0" w:lastRowLastColumn="0"/>
            </w:pPr>
            <w:r>
              <w:t>$1.19</w:t>
            </w:r>
          </w:p>
        </w:tc>
        <w:tc>
          <w:tcPr>
            <w:tcW w:w="1701" w:type="dxa"/>
            <w:tcBorders>
              <w:left w:val="single" w:sz="4" w:space="0" w:color="auto"/>
              <w:right w:val="single" w:sz="4" w:space="0" w:color="auto"/>
            </w:tcBorders>
          </w:tcPr>
          <w:p w14:paraId="0BB22B48" w14:textId="61C024B0" w:rsidR="00833A46" w:rsidRDefault="00833A46" w:rsidP="0044284C">
            <w:pPr>
              <w:spacing w:after="0"/>
              <w:jc w:val="center"/>
              <w:cnfStyle w:val="000000000000" w:firstRow="0" w:lastRow="0" w:firstColumn="0" w:lastColumn="0" w:oddVBand="0" w:evenVBand="0" w:oddHBand="0" w:evenHBand="0" w:firstRowFirstColumn="0" w:firstRowLastColumn="0" w:lastRowFirstColumn="0" w:lastRowLastColumn="0"/>
            </w:pPr>
            <w:r>
              <w:t>$0.99</w:t>
            </w:r>
          </w:p>
        </w:tc>
      </w:tr>
      <w:tr w:rsidR="00833A46" w:rsidRPr="00066EDD" w14:paraId="65DEFF66" w14:textId="4D331B6F" w:rsidTr="00EC63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3ADCD033" w14:textId="77777777" w:rsidR="00833A46" w:rsidRPr="00F87816" w:rsidRDefault="00833A46" w:rsidP="00833A46">
            <w:pPr>
              <w:spacing w:after="0"/>
              <w:rPr>
                <w:b w:val="0"/>
              </w:rPr>
            </w:pPr>
            <w:r w:rsidRPr="00F87816">
              <w:rPr>
                <w:b w:val="0"/>
              </w:rPr>
              <w:t>Long Distance Student Only</w:t>
            </w:r>
          </w:p>
        </w:tc>
        <w:tc>
          <w:tcPr>
            <w:tcW w:w="1701" w:type="dxa"/>
            <w:tcBorders>
              <w:left w:val="single" w:sz="4" w:space="0" w:color="auto"/>
              <w:right w:val="single" w:sz="4" w:space="0" w:color="auto"/>
            </w:tcBorders>
            <w:shd w:val="clear" w:color="auto" w:fill="BDD6EE" w:themeFill="accent1" w:themeFillTint="66"/>
          </w:tcPr>
          <w:p w14:paraId="66084229" w14:textId="12C10CE3" w:rsidR="00833A46" w:rsidRPr="00B95097" w:rsidRDefault="00833A46" w:rsidP="0044284C">
            <w:pPr>
              <w:spacing w:after="0"/>
              <w:jc w:val="center"/>
              <w:cnfStyle w:val="000000100000" w:firstRow="0" w:lastRow="0" w:firstColumn="0" w:lastColumn="0" w:oddVBand="0" w:evenVBand="0" w:oddHBand="1" w:evenHBand="0" w:firstRowFirstColumn="0" w:firstRowLastColumn="0" w:lastRowFirstColumn="0" w:lastRowLastColumn="0"/>
            </w:pPr>
            <w:r>
              <w:t>$1.18</w:t>
            </w:r>
          </w:p>
        </w:tc>
        <w:tc>
          <w:tcPr>
            <w:tcW w:w="1701" w:type="dxa"/>
            <w:tcBorders>
              <w:left w:val="single" w:sz="4" w:space="0" w:color="auto"/>
              <w:right w:val="single" w:sz="4" w:space="0" w:color="auto"/>
            </w:tcBorders>
            <w:shd w:val="clear" w:color="auto" w:fill="BDD6EE" w:themeFill="accent1" w:themeFillTint="66"/>
          </w:tcPr>
          <w:p w14:paraId="6906F75B" w14:textId="3D7569A8" w:rsidR="00833A46" w:rsidRDefault="00833A46" w:rsidP="0044284C">
            <w:pPr>
              <w:spacing w:after="0"/>
              <w:jc w:val="center"/>
              <w:cnfStyle w:val="000000100000" w:firstRow="0" w:lastRow="0" w:firstColumn="0" w:lastColumn="0" w:oddVBand="0" w:evenVBand="0" w:oddHBand="1" w:evenHBand="0" w:firstRowFirstColumn="0" w:firstRowLastColumn="0" w:lastRowFirstColumn="0" w:lastRowLastColumn="0"/>
            </w:pPr>
            <w:r>
              <w:t>$1.19</w:t>
            </w:r>
          </w:p>
        </w:tc>
        <w:tc>
          <w:tcPr>
            <w:tcW w:w="1701" w:type="dxa"/>
            <w:tcBorders>
              <w:left w:val="single" w:sz="4" w:space="0" w:color="auto"/>
              <w:right w:val="single" w:sz="4" w:space="0" w:color="auto"/>
            </w:tcBorders>
            <w:shd w:val="clear" w:color="auto" w:fill="BDD6EE" w:themeFill="accent1" w:themeFillTint="66"/>
          </w:tcPr>
          <w:p w14:paraId="3CB04698" w14:textId="6F9EE026" w:rsidR="00833A46" w:rsidRDefault="00833A46" w:rsidP="0044284C">
            <w:pPr>
              <w:spacing w:after="0"/>
              <w:jc w:val="center"/>
              <w:cnfStyle w:val="000000100000" w:firstRow="0" w:lastRow="0" w:firstColumn="0" w:lastColumn="0" w:oddVBand="0" w:evenVBand="0" w:oddHBand="1" w:evenHBand="0" w:firstRowFirstColumn="0" w:firstRowLastColumn="0" w:lastRowFirstColumn="0" w:lastRowLastColumn="0"/>
            </w:pPr>
            <w:r>
              <w:t>$0.99</w:t>
            </w:r>
          </w:p>
        </w:tc>
      </w:tr>
      <w:tr w:rsidR="00833A46" w:rsidRPr="00066EDD" w14:paraId="64DBE405" w14:textId="519103D1" w:rsidTr="00EC6383">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6F8EA76" w14:textId="77777777" w:rsidR="00833A46" w:rsidRPr="00F87816" w:rsidRDefault="00833A46" w:rsidP="00AE184A">
            <w:pPr>
              <w:spacing w:after="0"/>
              <w:rPr>
                <w:b w:val="0"/>
              </w:rPr>
            </w:pPr>
            <w:r w:rsidRPr="00F87816">
              <w:rPr>
                <w:b w:val="0"/>
              </w:rPr>
              <w:t>Long Distance General Access</w:t>
            </w:r>
          </w:p>
        </w:tc>
        <w:tc>
          <w:tcPr>
            <w:tcW w:w="1701" w:type="dxa"/>
            <w:tcBorders>
              <w:left w:val="single" w:sz="4" w:space="0" w:color="auto"/>
              <w:right w:val="single" w:sz="4" w:space="0" w:color="auto"/>
            </w:tcBorders>
            <w:shd w:val="clear" w:color="auto" w:fill="auto"/>
          </w:tcPr>
          <w:p w14:paraId="7E56D951" w14:textId="131817D7" w:rsidR="00833A46" w:rsidRPr="00B95097" w:rsidRDefault="00833A46" w:rsidP="0044284C">
            <w:pPr>
              <w:spacing w:after="0"/>
              <w:jc w:val="center"/>
              <w:cnfStyle w:val="000000000000" w:firstRow="0" w:lastRow="0" w:firstColumn="0" w:lastColumn="0" w:oddVBand="0" w:evenVBand="0" w:oddHBand="0" w:evenHBand="0" w:firstRowFirstColumn="0" w:firstRowLastColumn="0" w:lastRowFirstColumn="0" w:lastRowLastColumn="0"/>
            </w:pPr>
            <w:r>
              <w:t>$3.03</w:t>
            </w:r>
          </w:p>
        </w:tc>
        <w:tc>
          <w:tcPr>
            <w:tcW w:w="1701" w:type="dxa"/>
            <w:tcBorders>
              <w:left w:val="single" w:sz="4" w:space="0" w:color="auto"/>
              <w:right w:val="single" w:sz="4" w:space="0" w:color="auto"/>
            </w:tcBorders>
          </w:tcPr>
          <w:p w14:paraId="47931282" w14:textId="2853FE7D" w:rsidR="00833A46" w:rsidRDefault="00833A46" w:rsidP="0044284C">
            <w:pPr>
              <w:spacing w:after="0"/>
              <w:jc w:val="center"/>
              <w:cnfStyle w:val="000000000000" w:firstRow="0" w:lastRow="0" w:firstColumn="0" w:lastColumn="0" w:oddVBand="0" w:evenVBand="0" w:oddHBand="0" w:evenHBand="0" w:firstRowFirstColumn="0" w:firstRowLastColumn="0" w:lastRowFirstColumn="0" w:lastRowLastColumn="0"/>
            </w:pPr>
            <w:r>
              <w:t>$3.03</w:t>
            </w:r>
          </w:p>
        </w:tc>
        <w:tc>
          <w:tcPr>
            <w:tcW w:w="1701" w:type="dxa"/>
            <w:tcBorders>
              <w:left w:val="single" w:sz="4" w:space="0" w:color="auto"/>
              <w:right w:val="single" w:sz="4" w:space="0" w:color="auto"/>
            </w:tcBorders>
          </w:tcPr>
          <w:p w14:paraId="434C5785" w14:textId="3D09F6A9" w:rsidR="00833A46" w:rsidRDefault="00833A46" w:rsidP="0044284C">
            <w:pPr>
              <w:spacing w:after="0"/>
              <w:jc w:val="center"/>
              <w:cnfStyle w:val="000000000000" w:firstRow="0" w:lastRow="0" w:firstColumn="0" w:lastColumn="0" w:oddVBand="0" w:evenVBand="0" w:oddHBand="0" w:evenHBand="0" w:firstRowFirstColumn="0" w:firstRowLastColumn="0" w:lastRowFirstColumn="0" w:lastRowLastColumn="0"/>
            </w:pPr>
            <w:r>
              <w:t>$2.89</w:t>
            </w:r>
          </w:p>
        </w:tc>
      </w:tr>
      <w:tr w:rsidR="00833A46" w:rsidRPr="00066EDD" w14:paraId="56CBB6AA" w14:textId="62C6670D" w:rsidTr="00EC63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62C78DB9" w14:textId="77777777" w:rsidR="00833A46" w:rsidRPr="00F87816" w:rsidRDefault="00833A46" w:rsidP="00833A46">
            <w:pPr>
              <w:spacing w:after="0"/>
              <w:rPr>
                <w:b w:val="0"/>
              </w:rPr>
            </w:pPr>
            <w:r w:rsidRPr="00F87816">
              <w:rPr>
                <w:b w:val="0"/>
              </w:rPr>
              <w:t>Urban Fringe General Access</w:t>
            </w:r>
          </w:p>
        </w:tc>
        <w:tc>
          <w:tcPr>
            <w:tcW w:w="1701" w:type="dxa"/>
            <w:tcBorders>
              <w:left w:val="single" w:sz="4" w:space="0" w:color="auto"/>
              <w:right w:val="single" w:sz="4" w:space="0" w:color="auto"/>
            </w:tcBorders>
            <w:shd w:val="clear" w:color="auto" w:fill="BDD6EE" w:themeFill="accent1" w:themeFillTint="66"/>
          </w:tcPr>
          <w:p w14:paraId="166FB6FD" w14:textId="1E574F80" w:rsidR="00833A46" w:rsidRPr="00B95097" w:rsidRDefault="00833A46" w:rsidP="0044284C">
            <w:pPr>
              <w:spacing w:after="0"/>
              <w:jc w:val="center"/>
              <w:cnfStyle w:val="000000100000" w:firstRow="0" w:lastRow="0" w:firstColumn="0" w:lastColumn="0" w:oddVBand="0" w:evenVBand="0" w:oddHBand="1" w:evenHBand="0" w:firstRowFirstColumn="0" w:firstRowLastColumn="0" w:lastRowFirstColumn="0" w:lastRowLastColumn="0"/>
            </w:pPr>
            <w:r>
              <w:t>$3.03</w:t>
            </w:r>
          </w:p>
        </w:tc>
        <w:tc>
          <w:tcPr>
            <w:tcW w:w="1701" w:type="dxa"/>
            <w:tcBorders>
              <w:left w:val="single" w:sz="4" w:space="0" w:color="auto"/>
              <w:right w:val="single" w:sz="4" w:space="0" w:color="auto"/>
            </w:tcBorders>
            <w:shd w:val="clear" w:color="auto" w:fill="BDD6EE" w:themeFill="accent1" w:themeFillTint="66"/>
          </w:tcPr>
          <w:p w14:paraId="78BEEEDE" w14:textId="3956BE2E" w:rsidR="00833A46" w:rsidRDefault="00833A46" w:rsidP="0044284C">
            <w:pPr>
              <w:spacing w:after="0"/>
              <w:jc w:val="center"/>
              <w:cnfStyle w:val="000000100000" w:firstRow="0" w:lastRow="0" w:firstColumn="0" w:lastColumn="0" w:oddVBand="0" w:evenVBand="0" w:oddHBand="1" w:evenHBand="0" w:firstRowFirstColumn="0" w:firstRowLastColumn="0" w:lastRowFirstColumn="0" w:lastRowLastColumn="0"/>
            </w:pPr>
            <w:r>
              <w:t>$3.03</w:t>
            </w:r>
          </w:p>
        </w:tc>
        <w:tc>
          <w:tcPr>
            <w:tcW w:w="1701" w:type="dxa"/>
            <w:tcBorders>
              <w:left w:val="single" w:sz="4" w:space="0" w:color="auto"/>
              <w:right w:val="single" w:sz="4" w:space="0" w:color="auto"/>
            </w:tcBorders>
            <w:shd w:val="clear" w:color="auto" w:fill="BDD6EE" w:themeFill="accent1" w:themeFillTint="66"/>
          </w:tcPr>
          <w:p w14:paraId="706C407A" w14:textId="34DCA4E5" w:rsidR="00833A46" w:rsidRDefault="00833A46" w:rsidP="0044284C">
            <w:pPr>
              <w:spacing w:after="0"/>
              <w:jc w:val="center"/>
              <w:cnfStyle w:val="000000100000" w:firstRow="0" w:lastRow="0" w:firstColumn="0" w:lastColumn="0" w:oddVBand="0" w:evenVBand="0" w:oddHBand="1" w:evenHBand="0" w:firstRowFirstColumn="0" w:firstRowLastColumn="0" w:lastRowFirstColumn="0" w:lastRowLastColumn="0"/>
            </w:pPr>
            <w:r>
              <w:t>$2.89</w:t>
            </w:r>
          </w:p>
        </w:tc>
      </w:tr>
      <w:tr w:rsidR="00833A46" w:rsidRPr="00066EDD" w14:paraId="39581F5A" w14:textId="03F27199" w:rsidTr="00EC6383">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02B7EC8" w14:textId="77777777" w:rsidR="00833A46" w:rsidRPr="00F87816" w:rsidRDefault="00833A46" w:rsidP="00AE184A">
            <w:pPr>
              <w:spacing w:after="0"/>
              <w:rPr>
                <w:b w:val="0"/>
              </w:rPr>
            </w:pPr>
            <w:r w:rsidRPr="00F87816">
              <w:rPr>
                <w:b w:val="0"/>
              </w:rPr>
              <w:t>Urban</w:t>
            </w:r>
          </w:p>
        </w:tc>
        <w:tc>
          <w:tcPr>
            <w:tcW w:w="1701" w:type="dxa"/>
            <w:tcBorders>
              <w:left w:val="single" w:sz="4" w:space="0" w:color="auto"/>
              <w:right w:val="single" w:sz="4" w:space="0" w:color="auto"/>
            </w:tcBorders>
            <w:shd w:val="clear" w:color="auto" w:fill="auto"/>
          </w:tcPr>
          <w:p w14:paraId="795E7FC2" w14:textId="1691A46A" w:rsidR="00833A46" w:rsidRPr="00B95097" w:rsidRDefault="00833A46" w:rsidP="0044284C">
            <w:pPr>
              <w:spacing w:after="0"/>
              <w:jc w:val="center"/>
              <w:cnfStyle w:val="000000000000" w:firstRow="0" w:lastRow="0" w:firstColumn="0" w:lastColumn="0" w:oddVBand="0" w:evenVBand="0" w:oddHBand="0" w:evenHBand="0" w:firstRowFirstColumn="0" w:firstRowLastColumn="0" w:lastRowFirstColumn="0" w:lastRowLastColumn="0"/>
            </w:pPr>
            <w:r>
              <w:t>$0.92</w:t>
            </w:r>
          </w:p>
        </w:tc>
        <w:tc>
          <w:tcPr>
            <w:tcW w:w="1701" w:type="dxa"/>
            <w:tcBorders>
              <w:left w:val="single" w:sz="4" w:space="0" w:color="auto"/>
              <w:right w:val="single" w:sz="4" w:space="0" w:color="auto"/>
            </w:tcBorders>
          </w:tcPr>
          <w:p w14:paraId="2F094B10" w14:textId="4FCAAA1A" w:rsidR="00833A46" w:rsidRDefault="00833A46" w:rsidP="0044284C">
            <w:pPr>
              <w:spacing w:after="0"/>
              <w:jc w:val="center"/>
              <w:cnfStyle w:val="000000000000" w:firstRow="0" w:lastRow="0" w:firstColumn="0" w:lastColumn="0" w:oddVBand="0" w:evenVBand="0" w:oddHBand="0" w:evenHBand="0" w:firstRowFirstColumn="0" w:firstRowLastColumn="0" w:lastRowFirstColumn="0" w:lastRowLastColumn="0"/>
            </w:pPr>
            <w:r>
              <w:t>$0.92</w:t>
            </w:r>
          </w:p>
        </w:tc>
        <w:tc>
          <w:tcPr>
            <w:tcW w:w="1701" w:type="dxa"/>
            <w:tcBorders>
              <w:left w:val="single" w:sz="4" w:space="0" w:color="auto"/>
              <w:right w:val="single" w:sz="4" w:space="0" w:color="auto"/>
            </w:tcBorders>
          </w:tcPr>
          <w:p w14:paraId="06FCB601" w14:textId="0FAEAC00" w:rsidR="00833A46" w:rsidRDefault="00833A46" w:rsidP="0044284C">
            <w:pPr>
              <w:spacing w:after="0"/>
              <w:jc w:val="center"/>
              <w:cnfStyle w:val="000000000000" w:firstRow="0" w:lastRow="0" w:firstColumn="0" w:lastColumn="0" w:oddVBand="0" w:evenVBand="0" w:oddHBand="0" w:evenHBand="0" w:firstRowFirstColumn="0" w:firstRowLastColumn="0" w:lastRowFirstColumn="0" w:lastRowLastColumn="0"/>
            </w:pPr>
            <w:r>
              <w:t>$0.76</w:t>
            </w:r>
          </w:p>
        </w:tc>
      </w:tr>
      <w:tr w:rsidR="00833A46" w:rsidRPr="00066EDD" w14:paraId="17C2BFFF" w14:textId="27DEF96A" w:rsidTr="00EC63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04B78C80" w14:textId="77777777" w:rsidR="00833A46" w:rsidRPr="00F87816" w:rsidRDefault="00833A46" w:rsidP="00833A46">
            <w:pPr>
              <w:spacing w:after="0"/>
              <w:rPr>
                <w:b w:val="0"/>
              </w:rPr>
            </w:pPr>
            <w:r w:rsidRPr="00F87816">
              <w:rPr>
                <w:b w:val="0"/>
              </w:rPr>
              <w:t>Town</w:t>
            </w:r>
          </w:p>
        </w:tc>
        <w:tc>
          <w:tcPr>
            <w:tcW w:w="1701" w:type="dxa"/>
            <w:tcBorders>
              <w:left w:val="single" w:sz="4" w:space="0" w:color="auto"/>
              <w:bottom w:val="single" w:sz="4" w:space="0" w:color="auto"/>
              <w:right w:val="single" w:sz="4" w:space="0" w:color="auto"/>
            </w:tcBorders>
            <w:shd w:val="clear" w:color="auto" w:fill="BDD6EE" w:themeFill="accent1" w:themeFillTint="66"/>
          </w:tcPr>
          <w:p w14:paraId="5CB14577" w14:textId="5C548F72" w:rsidR="00833A46" w:rsidRPr="00B95097" w:rsidRDefault="00833A46" w:rsidP="0044284C">
            <w:pPr>
              <w:spacing w:after="0"/>
              <w:jc w:val="center"/>
              <w:cnfStyle w:val="000000100000" w:firstRow="0" w:lastRow="0" w:firstColumn="0" w:lastColumn="0" w:oddVBand="0" w:evenVBand="0" w:oddHBand="1" w:evenHBand="0" w:firstRowFirstColumn="0" w:firstRowLastColumn="0" w:lastRowFirstColumn="0" w:lastRowLastColumn="0"/>
            </w:pPr>
            <w:r>
              <w:t>$0.92</w:t>
            </w:r>
          </w:p>
        </w:tc>
        <w:tc>
          <w:tcPr>
            <w:tcW w:w="1701" w:type="dxa"/>
            <w:tcBorders>
              <w:left w:val="single" w:sz="4" w:space="0" w:color="auto"/>
              <w:bottom w:val="single" w:sz="4" w:space="0" w:color="auto"/>
              <w:right w:val="single" w:sz="4" w:space="0" w:color="auto"/>
            </w:tcBorders>
            <w:shd w:val="clear" w:color="auto" w:fill="BDD6EE" w:themeFill="accent1" w:themeFillTint="66"/>
          </w:tcPr>
          <w:p w14:paraId="726701D4" w14:textId="2CEC748C" w:rsidR="00833A46" w:rsidRDefault="00833A46" w:rsidP="0044284C">
            <w:pPr>
              <w:spacing w:after="0"/>
              <w:jc w:val="center"/>
              <w:cnfStyle w:val="000000100000" w:firstRow="0" w:lastRow="0" w:firstColumn="0" w:lastColumn="0" w:oddVBand="0" w:evenVBand="0" w:oddHBand="1" w:evenHBand="0" w:firstRowFirstColumn="0" w:firstRowLastColumn="0" w:lastRowFirstColumn="0" w:lastRowLastColumn="0"/>
            </w:pPr>
            <w:r>
              <w:t>$0.92</w:t>
            </w:r>
          </w:p>
        </w:tc>
        <w:tc>
          <w:tcPr>
            <w:tcW w:w="1701" w:type="dxa"/>
            <w:tcBorders>
              <w:left w:val="single" w:sz="4" w:space="0" w:color="auto"/>
              <w:bottom w:val="single" w:sz="4" w:space="0" w:color="auto"/>
              <w:right w:val="single" w:sz="4" w:space="0" w:color="auto"/>
            </w:tcBorders>
            <w:shd w:val="clear" w:color="auto" w:fill="BDD6EE" w:themeFill="accent1" w:themeFillTint="66"/>
          </w:tcPr>
          <w:p w14:paraId="30132210" w14:textId="7EFD568B" w:rsidR="00833A46" w:rsidRDefault="00833A46" w:rsidP="0044284C">
            <w:pPr>
              <w:spacing w:after="0"/>
              <w:jc w:val="center"/>
              <w:cnfStyle w:val="000000100000" w:firstRow="0" w:lastRow="0" w:firstColumn="0" w:lastColumn="0" w:oddVBand="0" w:evenVBand="0" w:oddHBand="1" w:evenHBand="0" w:firstRowFirstColumn="0" w:firstRowLastColumn="0" w:lastRowFirstColumn="0" w:lastRowLastColumn="0"/>
            </w:pPr>
            <w:r>
              <w:t>$0.76</w:t>
            </w:r>
          </w:p>
        </w:tc>
      </w:tr>
    </w:tbl>
    <w:p w14:paraId="7EB23B1D" w14:textId="77777777" w:rsidR="00E743D4" w:rsidRPr="00066EDD" w:rsidRDefault="00E743D4" w:rsidP="00F87816"/>
    <w:p w14:paraId="141AB152" w14:textId="77777777" w:rsidR="00E743D4" w:rsidRPr="00954FE5" w:rsidRDefault="00E743D4" w:rsidP="00F87816">
      <w:pPr>
        <w:pStyle w:val="Heading1"/>
      </w:pPr>
      <w:r>
        <w:t xml:space="preserve">Contacting </w:t>
      </w:r>
      <w:r w:rsidR="000B5EEC">
        <w:t>Passenger Transport</w:t>
      </w:r>
    </w:p>
    <w:p w14:paraId="34668F5E" w14:textId="485E2BF4" w:rsidR="00E743D4" w:rsidRPr="00D526FF" w:rsidRDefault="00E743D4" w:rsidP="00F87816">
      <w:r>
        <w:t>For all enquiries or notifications relating to your current contract</w:t>
      </w:r>
      <w:r w:rsidR="00AE184A">
        <w:t>s</w:t>
      </w:r>
      <w:r>
        <w:t xml:space="preserve"> (i.e. a service you currently provide) contact Passenger Transport via email </w:t>
      </w:r>
      <w:hyperlink r:id="rId13" w:history="1">
        <w:r w:rsidRPr="00F42CDF">
          <w:rPr>
            <w:rStyle w:val="Hyperlink"/>
          </w:rPr>
          <w:t>ptscontracts@stategrowth.tas.gov.au</w:t>
        </w:r>
      </w:hyperlink>
      <w:r>
        <w:t xml:space="preserve"> or phone </w:t>
      </w:r>
      <w:r w:rsidR="00EF1D22">
        <w:t xml:space="preserve">03 </w:t>
      </w:r>
      <w:r>
        <w:t>6166 3343</w:t>
      </w:r>
      <w:r w:rsidRPr="00C14152">
        <w:t>.</w:t>
      </w:r>
    </w:p>
    <w:sectPr w:rsidR="00E743D4" w:rsidRPr="00D526FF" w:rsidSect="000E2172">
      <w:footerReference w:type="default" r:id="rId14"/>
      <w:footerReference w:type="first" r:id="rId15"/>
      <w:pgSz w:w="11906" w:h="16838"/>
      <w:pgMar w:top="851" w:right="425" w:bottom="212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1ECF4" w14:textId="77777777" w:rsidR="00265406" w:rsidRDefault="00265406" w:rsidP="00F87816">
      <w:r>
        <w:separator/>
      </w:r>
    </w:p>
  </w:endnote>
  <w:endnote w:type="continuationSeparator" w:id="0">
    <w:p w14:paraId="51B2D259" w14:textId="77777777" w:rsidR="00265406" w:rsidRDefault="00265406" w:rsidP="00F8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394848"/>
      <w:docPartObj>
        <w:docPartGallery w:val="Page Numbers (Bottom of Page)"/>
        <w:docPartUnique/>
      </w:docPartObj>
    </w:sdtPr>
    <w:sdtEndPr/>
    <w:sdtContent>
      <w:sdt>
        <w:sdtPr>
          <w:id w:val="-1430108620"/>
          <w:docPartObj>
            <w:docPartGallery w:val="Page Numbers (Top of Page)"/>
            <w:docPartUnique/>
          </w:docPartObj>
        </w:sdtPr>
        <w:sdtEndPr/>
        <w:sdtContent>
          <w:p w14:paraId="79266F80" w14:textId="77777777" w:rsidR="00AC1379" w:rsidRDefault="00AC1379" w:rsidP="00F87816">
            <w:pPr>
              <w:pStyle w:val="Footer"/>
            </w:pPr>
            <w:r>
              <w:t xml:space="preserve">Page </w:t>
            </w:r>
            <w:r>
              <w:rPr>
                <w:sz w:val="24"/>
                <w:szCs w:val="24"/>
              </w:rPr>
              <w:fldChar w:fldCharType="begin"/>
            </w:r>
            <w:r>
              <w:instrText xml:space="preserve"> PAGE </w:instrText>
            </w:r>
            <w:r>
              <w:rPr>
                <w:sz w:val="24"/>
                <w:szCs w:val="24"/>
              </w:rPr>
              <w:fldChar w:fldCharType="separate"/>
            </w:r>
            <w:r w:rsidR="00AF10BE">
              <w:rPr>
                <w:noProof/>
              </w:rPr>
              <w:t>2</w:t>
            </w:r>
            <w:r>
              <w:rPr>
                <w:sz w:val="24"/>
                <w:szCs w:val="24"/>
              </w:rPr>
              <w:fldChar w:fldCharType="end"/>
            </w:r>
            <w:r>
              <w:t xml:space="preserve"> of </w:t>
            </w:r>
            <w:r w:rsidR="00571E9E">
              <w:rPr>
                <w:noProof/>
              </w:rPr>
              <w:fldChar w:fldCharType="begin"/>
            </w:r>
            <w:r w:rsidR="00571E9E">
              <w:rPr>
                <w:noProof/>
              </w:rPr>
              <w:instrText xml:space="preserve"> NUMPAGES  </w:instrText>
            </w:r>
            <w:r w:rsidR="00571E9E">
              <w:rPr>
                <w:noProof/>
              </w:rPr>
              <w:fldChar w:fldCharType="separate"/>
            </w:r>
            <w:r w:rsidR="00AF10BE">
              <w:rPr>
                <w:noProof/>
              </w:rPr>
              <w:t>4</w:t>
            </w:r>
            <w:r w:rsidR="00571E9E">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93080"/>
      <w:docPartObj>
        <w:docPartGallery w:val="Page Numbers (Bottom of Page)"/>
        <w:docPartUnique/>
      </w:docPartObj>
    </w:sdtPr>
    <w:sdtEndPr/>
    <w:sdtContent>
      <w:sdt>
        <w:sdtPr>
          <w:id w:val="1446035897"/>
          <w:docPartObj>
            <w:docPartGallery w:val="Page Numbers (Top of Page)"/>
            <w:docPartUnique/>
          </w:docPartObj>
        </w:sdtPr>
        <w:sdtEndPr/>
        <w:sdtContent>
          <w:p w14:paraId="0A2EE659" w14:textId="77777777" w:rsidR="00AC1379" w:rsidRDefault="00AC1379" w:rsidP="00F87816">
            <w:pPr>
              <w:pStyle w:val="Footer"/>
            </w:pPr>
            <w:r>
              <w:t xml:space="preserve">Page </w:t>
            </w:r>
            <w:r>
              <w:rPr>
                <w:sz w:val="24"/>
                <w:szCs w:val="24"/>
              </w:rPr>
              <w:fldChar w:fldCharType="begin"/>
            </w:r>
            <w:r>
              <w:instrText xml:space="preserve"> PAGE </w:instrText>
            </w:r>
            <w:r>
              <w:rPr>
                <w:sz w:val="24"/>
                <w:szCs w:val="24"/>
              </w:rPr>
              <w:fldChar w:fldCharType="separate"/>
            </w:r>
            <w:r w:rsidR="00AF10BE">
              <w:rPr>
                <w:noProof/>
              </w:rPr>
              <w:t>1</w:t>
            </w:r>
            <w:r>
              <w:rPr>
                <w:sz w:val="24"/>
                <w:szCs w:val="24"/>
              </w:rPr>
              <w:fldChar w:fldCharType="end"/>
            </w:r>
            <w:r>
              <w:t xml:space="preserve"> of </w:t>
            </w:r>
            <w:r w:rsidR="00571E9E">
              <w:rPr>
                <w:noProof/>
              </w:rPr>
              <w:fldChar w:fldCharType="begin"/>
            </w:r>
            <w:r w:rsidR="00571E9E">
              <w:rPr>
                <w:noProof/>
              </w:rPr>
              <w:instrText xml:space="preserve"> NUMPAGES  </w:instrText>
            </w:r>
            <w:r w:rsidR="00571E9E">
              <w:rPr>
                <w:noProof/>
              </w:rPr>
              <w:fldChar w:fldCharType="separate"/>
            </w:r>
            <w:r w:rsidR="00AF10BE">
              <w:rPr>
                <w:noProof/>
              </w:rPr>
              <w:t>4</w:t>
            </w:r>
            <w:r w:rsidR="00571E9E">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98FDC" w14:textId="77777777" w:rsidR="00265406" w:rsidRDefault="00265406" w:rsidP="00F87816">
      <w:r>
        <w:separator/>
      </w:r>
    </w:p>
  </w:footnote>
  <w:footnote w:type="continuationSeparator" w:id="0">
    <w:p w14:paraId="51B3E658" w14:textId="77777777" w:rsidR="00265406" w:rsidRDefault="00265406" w:rsidP="00F87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D80"/>
    <w:multiLevelType w:val="hybridMultilevel"/>
    <w:tmpl w:val="E73A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A559D"/>
    <w:multiLevelType w:val="hybridMultilevel"/>
    <w:tmpl w:val="5DA62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4199A"/>
    <w:multiLevelType w:val="hybridMultilevel"/>
    <w:tmpl w:val="D57A5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40E4B"/>
    <w:multiLevelType w:val="hybridMultilevel"/>
    <w:tmpl w:val="31004F7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07B65E2"/>
    <w:multiLevelType w:val="hybridMultilevel"/>
    <w:tmpl w:val="A2C035F4"/>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5" w15:restartNumberingAfterBreak="0">
    <w:nsid w:val="1DC84BA0"/>
    <w:multiLevelType w:val="hybridMultilevel"/>
    <w:tmpl w:val="1406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3A180E"/>
    <w:multiLevelType w:val="hybridMultilevel"/>
    <w:tmpl w:val="18C23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EE54F3"/>
    <w:multiLevelType w:val="hybridMultilevel"/>
    <w:tmpl w:val="5CC8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99777E"/>
    <w:multiLevelType w:val="hybridMultilevel"/>
    <w:tmpl w:val="EAC403EC"/>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5404F1"/>
    <w:multiLevelType w:val="hybridMultilevel"/>
    <w:tmpl w:val="5FF4774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A01FA"/>
    <w:multiLevelType w:val="hybridMultilevel"/>
    <w:tmpl w:val="F8B0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84CD6"/>
    <w:multiLevelType w:val="hybridMultilevel"/>
    <w:tmpl w:val="C47686AA"/>
    <w:lvl w:ilvl="0" w:tplc="0C09000F">
      <w:start w:val="1"/>
      <w:numFmt w:val="decimal"/>
      <w:lvlText w:val="%1."/>
      <w:lvlJc w:val="left"/>
      <w:pPr>
        <w:ind w:left="2574" w:hanging="360"/>
      </w:p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12" w15:restartNumberingAfterBreak="0">
    <w:nsid w:val="41BA4FD0"/>
    <w:multiLevelType w:val="hybridMultilevel"/>
    <w:tmpl w:val="55D8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B168A"/>
    <w:multiLevelType w:val="hybridMultilevel"/>
    <w:tmpl w:val="5BAC2996"/>
    <w:lvl w:ilvl="0" w:tplc="C082C3D2">
      <w:start w:val="1"/>
      <w:numFmt w:val="decimal"/>
      <w:lvlText w:val="%1."/>
      <w:lvlJc w:val="left"/>
      <w:pPr>
        <w:ind w:left="720" w:hanging="360"/>
      </w:pPr>
      <w:rPr>
        <w:rFonts w:ascii="Gill Sans MT" w:eastAsiaTheme="minorHAnsi" w:hAnsi="Gill Sans MT"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8504A1"/>
    <w:multiLevelType w:val="hybridMultilevel"/>
    <w:tmpl w:val="8AF09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825680A"/>
    <w:multiLevelType w:val="hybridMultilevel"/>
    <w:tmpl w:val="9FF63C96"/>
    <w:lvl w:ilvl="0" w:tplc="A9E0911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3D744C"/>
    <w:multiLevelType w:val="hybridMultilevel"/>
    <w:tmpl w:val="CAE403FE"/>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17" w15:restartNumberingAfterBreak="0">
    <w:nsid w:val="4D9B7C26"/>
    <w:multiLevelType w:val="hybridMultilevel"/>
    <w:tmpl w:val="6C94E622"/>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05F22CB"/>
    <w:multiLevelType w:val="hybridMultilevel"/>
    <w:tmpl w:val="E6BE9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E75857"/>
    <w:multiLevelType w:val="hybridMultilevel"/>
    <w:tmpl w:val="A0C4F762"/>
    <w:lvl w:ilvl="0" w:tplc="0C090003">
      <w:start w:val="1"/>
      <w:numFmt w:val="bullet"/>
      <w:lvlText w:val="o"/>
      <w:lvlJc w:val="left"/>
      <w:pPr>
        <w:ind w:left="1571" w:hanging="360"/>
      </w:pPr>
      <w:rPr>
        <w:rFonts w:ascii="Courier New" w:hAnsi="Courier New" w:cs="Courier New"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55A441DE"/>
    <w:multiLevelType w:val="hybridMultilevel"/>
    <w:tmpl w:val="2F7E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157D91"/>
    <w:multiLevelType w:val="hybridMultilevel"/>
    <w:tmpl w:val="AF86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920E44"/>
    <w:multiLevelType w:val="hybridMultilevel"/>
    <w:tmpl w:val="02D057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10A075D"/>
    <w:multiLevelType w:val="hybridMultilevel"/>
    <w:tmpl w:val="5186F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C16AAB"/>
    <w:multiLevelType w:val="hybridMultilevel"/>
    <w:tmpl w:val="FC561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BD272E"/>
    <w:multiLevelType w:val="hybridMultilevel"/>
    <w:tmpl w:val="7D6E5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785147"/>
    <w:multiLevelType w:val="hybridMultilevel"/>
    <w:tmpl w:val="AADA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E851B6"/>
    <w:multiLevelType w:val="hybridMultilevel"/>
    <w:tmpl w:val="0D5CCA5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8" w15:restartNumberingAfterBreak="0">
    <w:nsid w:val="72B00BF1"/>
    <w:multiLevelType w:val="hybridMultilevel"/>
    <w:tmpl w:val="93BC061A"/>
    <w:lvl w:ilvl="0" w:tplc="0C090001">
      <w:start w:val="1"/>
      <w:numFmt w:val="bullet"/>
      <w:lvlText w:val=""/>
      <w:lvlJc w:val="left"/>
      <w:pPr>
        <w:ind w:left="1571" w:hanging="360"/>
      </w:pPr>
      <w:rPr>
        <w:rFonts w:ascii="Symbol" w:hAnsi="Symbo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0">
    <w:nsid w:val="798523B2"/>
    <w:multiLevelType w:val="hybridMultilevel"/>
    <w:tmpl w:val="A502B742"/>
    <w:lvl w:ilvl="0" w:tplc="47644D94">
      <w:numFmt w:val="bullet"/>
      <w:lvlText w:val="•"/>
      <w:lvlJc w:val="left"/>
      <w:pPr>
        <w:ind w:left="1080" w:hanging="72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442BE9"/>
    <w:multiLevelType w:val="hybridMultilevel"/>
    <w:tmpl w:val="6E9E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124242"/>
    <w:multiLevelType w:val="hybridMultilevel"/>
    <w:tmpl w:val="6450E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9"/>
  </w:num>
  <w:num w:numId="4">
    <w:abstractNumId w:val="9"/>
  </w:num>
  <w:num w:numId="5">
    <w:abstractNumId w:val="30"/>
  </w:num>
  <w:num w:numId="6">
    <w:abstractNumId w:val="5"/>
  </w:num>
  <w:num w:numId="7">
    <w:abstractNumId w:val="2"/>
  </w:num>
  <w:num w:numId="8">
    <w:abstractNumId w:val="13"/>
  </w:num>
  <w:num w:numId="9">
    <w:abstractNumId w:val="10"/>
  </w:num>
  <w:num w:numId="10">
    <w:abstractNumId w:val="17"/>
  </w:num>
  <w:num w:numId="11">
    <w:abstractNumId w:val="8"/>
  </w:num>
  <w:num w:numId="12">
    <w:abstractNumId w:val="0"/>
  </w:num>
  <w:num w:numId="13">
    <w:abstractNumId w:val="20"/>
  </w:num>
  <w:num w:numId="14">
    <w:abstractNumId w:val="21"/>
  </w:num>
  <w:num w:numId="15">
    <w:abstractNumId w:val="11"/>
  </w:num>
  <w:num w:numId="16">
    <w:abstractNumId w:val="1"/>
  </w:num>
  <w:num w:numId="17">
    <w:abstractNumId w:val="26"/>
  </w:num>
  <w:num w:numId="18">
    <w:abstractNumId w:val="25"/>
  </w:num>
  <w:num w:numId="19">
    <w:abstractNumId w:val="28"/>
  </w:num>
  <w:num w:numId="20">
    <w:abstractNumId w:val="19"/>
  </w:num>
  <w:num w:numId="21">
    <w:abstractNumId w:val="31"/>
  </w:num>
  <w:num w:numId="22">
    <w:abstractNumId w:val="2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6"/>
  </w:num>
  <w:num w:numId="26">
    <w:abstractNumId w:val="15"/>
  </w:num>
  <w:num w:numId="27">
    <w:abstractNumId w:val="23"/>
  </w:num>
  <w:num w:numId="28">
    <w:abstractNumId w:val="3"/>
  </w:num>
  <w:num w:numId="29">
    <w:abstractNumId w:val="18"/>
  </w:num>
  <w:num w:numId="30">
    <w:abstractNumId w:val="4"/>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89"/>
    <w:rsid w:val="00004FE3"/>
    <w:rsid w:val="00005969"/>
    <w:rsid w:val="000128DB"/>
    <w:rsid w:val="000131E2"/>
    <w:rsid w:val="0001741C"/>
    <w:rsid w:val="0002624D"/>
    <w:rsid w:val="000318C8"/>
    <w:rsid w:val="000365B5"/>
    <w:rsid w:val="00037544"/>
    <w:rsid w:val="000418AF"/>
    <w:rsid w:val="0004329D"/>
    <w:rsid w:val="000464A4"/>
    <w:rsid w:val="00066EDD"/>
    <w:rsid w:val="00074464"/>
    <w:rsid w:val="0008189B"/>
    <w:rsid w:val="000828D2"/>
    <w:rsid w:val="00084C18"/>
    <w:rsid w:val="00090A53"/>
    <w:rsid w:val="00093317"/>
    <w:rsid w:val="000A0AE8"/>
    <w:rsid w:val="000A1308"/>
    <w:rsid w:val="000A2398"/>
    <w:rsid w:val="000A6791"/>
    <w:rsid w:val="000B160F"/>
    <w:rsid w:val="000B3A90"/>
    <w:rsid w:val="000B5EEC"/>
    <w:rsid w:val="000D6650"/>
    <w:rsid w:val="000E2172"/>
    <w:rsid w:val="000E33D6"/>
    <w:rsid w:val="000E3B66"/>
    <w:rsid w:val="000E5801"/>
    <w:rsid w:val="000E7F9B"/>
    <w:rsid w:val="000F0C36"/>
    <w:rsid w:val="000F316C"/>
    <w:rsid w:val="000F335B"/>
    <w:rsid w:val="000F4460"/>
    <w:rsid w:val="000F458B"/>
    <w:rsid w:val="000F4FB0"/>
    <w:rsid w:val="000F57A6"/>
    <w:rsid w:val="0011197C"/>
    <w:rsid w:val="001159A6"/>
    <w:rsid w:val="001162EB"/>
    <w:rsid w:val="001168F7"/>
    <w:rsid w:val="001251C5"/>
    <w:rsid w:val="0012686F"/>
    <w:rsid w:val="00133928"/>
    <w:rsid w:val="00136A8D"/>
    <w:rsid w:val="001445FB"/>
    <w:rsid w:val="001453CE"/>
    <w:rsid w:val="00146CA6"/>
    <w:rsid w:val="00150FD2"/>
    <w:rsid w:val="00154407"/>
    <w:rsid w:val="00156EA1"/>
    <w:rsid w:val="00157D6B"/>
    <w:rsid w:val="001617AD"/>
    <w:rsid w:val="00165072"/>
    <w:rsid w:val="00183C17"/>
    <w:rsid w:val="00186C8F"/>
    <w:rsid w:val="00187DB3"/>
    <w:rsid w:val="001913C2"/>
    <w:rsid w:val="00196E1B"/>
    <w:rsid w:val="001A4B73"/>
    <w:rsid w:val="001A738C"/>
    <w:rsid w:val="001B17D1"/>
    <w:rsid w:val="001B36A5"/>
    <w:rsid w:val="001B48CB"/>
    <w:rsid w:val="001C5563"/>
    <w:rsid w:val="001D0ABD"/>
    <w:rsid w:val="001D1292"/>
    <w:rsid w:val="001D14CD"/>
    <w:rsid w:val="001E362C"/>
    <w:rsid w:val="001F0558"/>
    <w:rsid w:val="001F24D6"/>
    <w:rsid w:val="002105D4"/>
    <w:rsid w:val="002169A9"/>
    <w:rsid w:val="00231083"/>
    <w:rsid w:val="0023174A"/>
    <w:rsid w:val="00232BA3"/>
    <w:rsid w:val="00233019"/>
    <w:rsid w:val="00256E8C"/>
    <w:rsid w:val="00263478"/>
    <w:rsid w:val="00263D22"/>
    <w:rsid w:val="00265406"/>
    <w:rsid w:val="00270277"/>
    <w:rsid w:val="00277513"/>
    <w:rsid w:val="00283E34"/>
    <w:rsid w:val="00290610"/>
    <w:rsid w:val="002915A3"/>
    <w:rsid w:val="00293BC5"/>
    <w:rsid w:val="00296544"/>
    <w:rsid w:val="0029774B"/>
    <w:rsid w:val="002A0E91"/>
    <w:rsid w:val="002A567A"/>
    <w:rsid w:val="002B3DBF"/>
    <w:rsid w:val="002C3AC9"/>
    <w:rsid w:val="002C44CB"/>
    <w:rsid w:val="002C4546"/>
    <w:rsid w:val="002C46D0"/>
    <w:rsid w:val="002C4873"/>
    <w:rsid w:val="002C49C3"/>
    <w:rsid w:val="002C4A41"/>
    <w:rsid w:val="002D4575"/>
    <w:rsid w:val="002E1B52"/>
    <w:rsid w:val="002E2476"/>
    <w:rsid w:val="002E287A"/>
    <w:rsid w:val="002F0DC8"/>
    <w:rsid w:val="002F179C"/>
    <w:rsid w:val="002F507D"/>
    <w:rsid w:val="002F5F66"/>
    <w:rsid w:val="00301DF8"/>
    <w:rsid w:val="003120F4"/>
    <w:rsid w:val="00315601"/>
    <w:rsid w:val="0032049D"/>
    <w:rsid w:val="00321B30"/>
    <w:rsid w:val="00322D7B"/>
    <w:rsid w:val="00325109"/>
    <w:rsid w:val="0032715C"/>
    <w:rsid w:val="00333F8F"/>
    <w:rsid w:val="0033791E"/>
    <w:rsid w:val="00337D83"/>
    <w:rsid w:val="00341DE6"/>
    <w:rsid w:val="00342B82"/>
    <w:rsid w:val="003636B3"/>
    <w:rsid w:val="0036511A"/>
    <w:rsid w:val="00367819"/>
    <w:rsid w:val="00367D9A"/>
    <w:rsid w:val="00370BEF"/>
    <w:rsid w:val="003736A6"/>
    <w:rsid w:val="00374AC1"/>
    <w:rsid w:val="00381DA1"/>
    <w:rsid w:val="00383B1A"/>
    <w:rsid w:val="003840AB"/>
    <w:rsid w:val="00390F6C"/>
    <w:rsid w:val="0039223E"/>
    <w:rsid w:val="003B4010"/>
    <w:rsid w:val="003C078E"/>
    <w:rsid w:val="003C10AD"/>
    <w:rsid w:val="003C5EB5"/>
    <w:rsid w:val="003C6537"/>
    <w:rsid w:val="003D0217"/>
    <w:rsid w:val="003D0977"/>
    <w:rsid w:val="003D2B46"/>
    <w:rsid w:val="003D3475"/>
    <w:rsid w:val="003D35A5"/>
    <w:rsid w:val="003E3EB4"/>
    <w:rsid w:val="003E6949"/>
    <w:rsid w:val="003F1451"/>
    <w:rsid w:val="003F20A2"/>
    <w:rsid w:val="003F4DDD"/>
    <w:rsid w:val="003F74DF"/>
    <w:rsid w:val="003F78C4"/>
    <w:rsid w:val="003F7D97"/>
    <w:rsid w:val="004018FC"/>
    <w:rsid w:val="004032CC"/>
    <w:rsid w:val="00406D8B"/>
    <w:rsid w:val="00410BA0"/>
    <w:rsid w:val="0041189C"/>
    <w:rsid w:val="004336CE"/>
    <w:rsid w:val="004342D5"/>
    <w:rsid w:val="00434A69"/>
    <w:rsid w:val="0043614D"/>
    <w:rsid w:val="0044284C"/>
    <w:rsid w:val="004429DE"/>
    <w:rsid w:val="0044391A"/>
    <w:rsid w:val="00453D83"/>
    <w:rsid w:val="00454196"/>
    <w:rsid w:val="00457F48"/>
    <w:rsid w:val="004675BD"/>
    <w:rsid w:val="00474F8E"/>
    <w:rsid w:val="004754F9"/>
    <w:rsid w:val="004867D2"/>
    <w:rsid w:val="004936FC"/>
    <w:rsid w:val="0049569F"/>
    <w:rsid w:val="004957A3"/>
    <w:rsid w:val="00495950"/>
    <w:rsid w:val="00496492"/>
    <w:rsid w:val="00496B6C"/>
    <w:rsid w:val="004A75C4"/>
    <w:rsid w:val="004A75D2"/>
    <w:rsid w:val="004B28B8"/>
    <w:rsid w:val="004B3D3A"/>
    <w:rsid w:val="004B6C67"/>
    <w:rsid w:val="004B712A"/>
    <w:rsid w:val="004C0432"/>
    <w:rsid w:val="004C1085"/>
    <w:rsid w:val="004C289C"/>
    <w:rsid w:val="004C2A0A"/>
    <w:rsid w:val="004C30D9"/>
    <w:rsid w:val="004D022D"/>
    <w:rsid w:val="004D4847"/>
    <w:rsid w:val="004D4BCB"/>
    <w:rsid w:val="004E167B"/>
    <w:rsid w:val="004E5F84"/>
    <w:rsid w:val="004E6647"/>
    <w:rsid w:val="004F3CE5"/>
    <w:rsid w:val="004F4451"/>
    <w:rsid w:val="004F55E1"/>
    <w:rsid w:val="004F6337"/>
    <w:rsid w:val="0051424A"/>
    <w:rsid w:val="005207CA"/>
    <w:rsid w:val="00520E66"/>
    <w:rsid w:val="00520F99"/>
    <w:rsid w:val="00523AFF"/>
    <w:rsid w:val="00524001"/>
    <w:rsid w:val="005246BC"/>
    <w:rsid w:val="0052636F"/>
    <w:rsid w:val="005277E2"/>
    <w:rsid w:val="00534224"/>
    <w:rsid w:val="00541C80"/>
    <w:rsid w:val="00551758"/>
    <w:rsid w:val="00553C9A"/>
    <w:rsid w:val="00553CE1"/>
    <w:rsid w:val="00555E87"/>
    <w:rsid w:val="00556058"/>
    <w:rsid w:val="00571E9E"/>
    <w:rsid w:val="005726D0"/>
    <w:rsid w:val="005769C9"/>
    <w:rsid w:val="00583C1B"/>
    <w:rsid w:val="00583D4E"/>
    <w:rsid w:val="00585D44"/>
    <w:rsid w:val="00586598"/>
    <w:rsid w:val="00586F12"/>
    <w:rsid w:val="00587621"/>
    <w:rsid w:val="00594893"/>
    <w:rsid w:val="005A17A0"/>
    <w:rsid w:val="005A193A"/>
    <w:rsid w:val="005A4A7C"/>
    <w:rsid w:val="005A6F55"/>
    <w:rsid w:val="005A7688"/>
    <w:rsid w:val="005C18F3"/>
    <w:rsid w:val="005C5961"/>
    <w:rsid w:val="005C6047"/>
    <w:rsid w:val="005C644C"/>
    <w:rsid w:val="005D78C7"/>
    <w:rsid w:val="005E02FB"/>
    <w:rsid w:val="005E1BFF"/>
    <w:rsid w:val="005F7ED3"/>
    <w:rsid w:val="00603F2A"/>
    <w:rsid w:val="00612115"/>
    <w:rsid w:val="00613178"/>
    <w:rsid w:val="00613257"/>
    <w:rsid w:val="00613509"/>
    <w:rsid w:val="006306E3"/>
    <w:rsid w:val="00637C36"/>
    <w:rsid w:val="00643C8B"/>
    <w:rsid w:val="006530DF"/>
    <w:rsid w:val="00654ED9"/>
    <w:rsid w:val="006568D6"/>
    <w:rsid w:val="00656C58"/>
    <w:rsid w:val="00661B31"/>
    <w:rsid w:val="00662A6C"/>
    <w:rsid w:val="0067174B"/>
    <w:rsid w:val="00676E42"/>
    <w:rsid w:val="006775D9"/>
    <w:rsid w:val="00680E6B"/>
    <w:rsid w:val="00681B46"/>
    <w:rsid w:val="0068384D"/>
    <w:rsid w:val="006968DC"/>
    <w:rsid w:val="006A2595"/>
    <w:rsid w:val="006A2F1D"/>
    <w:rsid w:val="006A62AD"/>
    <w:rsid w:val="006A739F"/>
    <w:rsid w:val="006B0B21"/>
    <w:rsid w:val="006B1E13"/>
    <w:rsid w:val="006B2BC5"/>
    <w:rsid w:val="006B52C2"/>
    <w:rsid w:val="006C1E68"/>
    <w:rsid w:val="006C5A86"/>
    <w:rsid w:val="006D13F6"/>
    <w:rsid w:val="006D3E7E"/>
    <w:rsid w:val="006D448A"/>
    <w:rsid w:val="006D46A6"/>
    <w:rsid w:val="006E2B62"/>
    <w:rsid w:val="006E4EAC"/>
    <w:rsid w:val="006E60FE"/>
    <w:rsid w:val="006E7989"/>
    <w:rsid w:val="006F0EF7"/>
    <w:rsid w:val="006F124A"/>
    <w:rsid w:val="006F524B"/>
    <w:rsid w:val="00712E77"/>
    <w:rsid w:val="00714FEA"/>
    <w:rsid w:val="0071620E"/>
    <w:rsid w:val="0072008E"/>
    <w:rsid w:val="00722A99"/>
    <w:rsid w:val="0072461A"/>
    <w:rsid w:val="0072481F"/>
    <w:rsid w:val="00732865"/>
    <w:rsid w:val="00745168"/>
    <w:rsid w:val="00746716"/>
    <w:rsid w:val="00753B8A"/>
    <w:rsid w:val="007543F1"/>
    <w:rsid w:val="007605CA"/>
    <w:rsid w:val="007624F4"/>
    <w:rsid w:val="00764248"/>
    <w:rsid w:val="00776DA9"/>
    <w:rsid w:val="00781573"/>
    <w:rsid w:val="00781905"/>
    <w:rsid w:val="00793716"/>
    <w:rsid w:val="007A5F8E"/>
    <w:rsid w:val="007B02F1"/>
    <w:rsid w:val="007C0427"/>
    <w:rsid w:val="007C7A40"/>
    <w:rsid w:val="007D08DA"/>
    <w:rsid w:val="007D1D07"/>
    <w:rsid w:val="007D69E8"/>
    <w:rsid w:val="007D6B8C"/>
    <w:rsid w:val="007E1E85"/>
    <w:rsid w:val="007F0CA4"/>
    <w:rsid w:val="007F0FBD"/>
    <w:rsid w:val="007F49F4"/>
    <w:rsid w:val="007F4A12"/>
    <w:rsid w:val="007F7622"/>
    <w:rsid w:val="007F7C08"/>
    <w:rsid w:val="00804D79"/>
    <w:rsid w:val="008058DD"/>
    <w:rsid w:val="00807FD9"/>
    <w:rsid w:val="00810753"/>
    <w:rsid w:val="008170C4"/>
    <w:rsid w:val="00822757"/>
    <w:rsid w:val="00822C95"/>
    <w:rsid w:val="0083367A"/>
    <w:rsid w:val="00833A46"/>
    <w:rsid w:val="008467F1"/>
    <w:rsid w:val="008514CF"/>
    <w:rsid w:val="00857486"/>
    <w:rsid w:val="0086390F"/>
    <w:rsid w:val="00863B55"/>
    <w:rsid w:val="00863CA3"/>
    <w:rsid w:val="00864E0E"/>
    <w:rsid w:val="008714EE"/>
    <w:rsid w:val="00880474"/>
    <w:rsid w:val="008A63BE"/>
    <w:rsid w:val="008B2C77"/>
    <w:rsid w:val="008B5351"/>
    <w:rsid w:val="008B629B"/>
    <w:rsid w:val="008B688D"/>
    <w:rsid w:val="008C142C"/>
    <w:rsid w:val="008C1704"/>
    <w:rsid w:val="008C33D4"/>
    <w:rsid w:val="008C3B23"/>
    <w:rsid w:val="008C527F"/>
    <w:rsid w:val="008C536B"/>
    <w:rsid w:val="008C6D9C"/>
    <w:rsid w:val="008C7696"/>
    <w:rsid w:val="008E42C0"/>
    <w:rsid w:val="008E6D8D"/>
    <w:rsid w:val="008F0001"/>
    <w:rsid w:val="008F0B3A"/>
    <w:rsid w:val="008F154C"/>
    <w:rsid w:val="008F712C"/>
    <w:rsid w:val="00901631"/>
    <w:rsid w:val="00903A93"/>
    <w:rsid w:val="00904F4D"/>
    <w:rsid w:val="00907756"/>
    <w:rsid w:val="00920C28"/>
    <w:rsid w:val="00922403"/>
    <w:rsid w:val="00930172"/>
    <w:rsid w:val="00931261"/>
    <w:rsid w:val="00931CD4"/>
    <w:rsid w:val="009336F8"/>
    <w:rsid w:val="00933D5F"/>
    <w:rsid w:val="0093659A"/>
    <w:rsid w:val="00936A32"/>
    <w:rsid w:val="009505E2"/>
    <w:rsid w:val="00954FE5"/>
    <w:rsid w:val="00957CC8"/>
    <w:rsid w:val="0096184D"/>
    <w:rsid w:val="00962BF6"/>
    <w:rsid w:val="00963A1A"/>
    <w:rsid w:val="0097423F"/>
    <w:rsid w:val="00974CD9"/>
    <w:rsid w:val="009756D4"/>
    <w:rsid w:val="00977849"/>
    <w:rsid w:val="00980048"/>
    <w:rsid w:val="00981220"/>
    <w:rsid w:val="0098236F"/>
    <w:rsid w:val="009879CE"/>
    <w:rsid w:val="00990CF7"/>
    <w:rsid w:val="00992590"/>
    <w:rsid w:val="009975C7"/>
    <w:rsid w:val="009A039B"/>
    <w:rsid w:val="009A0B65"/>
    <w:rsid w:val="009A2744"/>
    <w:rsid w:val="009A6978"/>
    <w:rsid w:val="009B7C8A"/>
    <w:rsid w:val="009C1554"/>
    <w:rsid w:val="009C3431"/>
    <w:rsid w:val="009C34F3"/>
    <w:rsid w:val="009D00B6"/>
    <w:rsid w:val="009D20F8"/>
    <w:rsid w:val="009D4194"/>
    <w:rsid w:val="009D4D91"/>
    <w:rsid w:val="009E2026"/>
    <w:rsid w:val="009E68B0"/>
    <w:rsid w:val="009E7D51"/>
    <w:rsid w:val="00A01139"/>
    <w:rsid w:val="00A02F28"/>
    <w:rsid w:val="00A055BA"/>
    <w:rsid w:val="00A12552"/>
    <w:rsid w:val="00A14BFA"/>
    <w:rsid w:val="00A226AF"/>
    <w:rsid w:val="00A26469"/>
    <w:rsid w:val="00A32C5C"/>
    <w:rsid w:val="00A3722E"/>
    <w:rsid w:val="00A378E2"/>
    <w:rsid w:val="00A437FA"/>
    <w:rsid w:val="00A44665"/>
    <w:rsid w:val="00A57BC0"/>
    <w:rsid w:val="00A60DC9"/>
    <w:rsid w:val="00A651D5"/>
    <w:rsid w:val="00A70595"/>
    <w:rsid w:val="00A76564"/>
    <w:rsid w:val="00A776D9"/>
    <w:rsid w:val="00A81578"/>
    <w:rsid w:val="00A84BB8"/>
    <w:rsid w:val="00A93BD6"/>
    <w:rsid w:val="00A96F0E"/>
    <w:rsid w:val="00AA004D"/>
    <w:rsid w:val="00AA0B87"/>
    <w:rsid w:val="00AA317D"/>
    <w:rsid w:val="00AC1379"/>
    <w:rsid w:val="00AC2CF7"/>
    <w:rsid w:val="00AC2EFE"/>
    <w:rsid w:val="00AC79BF"/>
    <w:rsid w:val="00AD19C0"/>
    <w:rsid w:val="00AD1C7F"/>
    <w:rsid w:val="00AD54CD"/>
    <w:rsid w:val="00AD5D4B"/>
    <w:rsid w:val="00AE17E9"/>
    <w:rsid w:val="00AE184A"/>
    <w:rsid w:val="00AE46D7"/>
    <w:rsid w:val="00AF10BE"/>
    <w:rsid w:val="00AF2915"/>
    <w:rsid w:val="00AF46E5"/>
    <w:rsid w:val="00AF75AC"/>
    <w:rsid w:val="00B0108B"/>
    <w:rsid w:val="00B11382"/>
    <w:rsid w:val="00B1255B"/>
    <w:rsid w:val="00B13235"/>
    <w:rsid w:val="00B13C81"/>
    <w:rsid w:val="00B45B4D"/>
    <w:rsid w:val="00B60DC8"/>
    <w:rsid w:val="00B646CF"/>
    <w:rsid w:val="00B6498E"/>
    <w:rsid w:val="00B72FB3"/>
    <w:rsid w:val="00B77612"/>
    <w:rsid w:val="00B902CB"/>
    <w:rsid w:val="00B91DFE"/>
    <w:rsid w:val="00B95097"/>
    <w:rsid w:val="00B95F41"/>
    <w:rsid w:val="00BA439E"/>
    <w:rsid w:val="00BA763F"/>
    <w:rsid w:val="00BB5A47"/>
    <w:rsid w:val="00BC3EEF"/>
    <w:rsid w:val="00BD3707"/>
    <w:rsid w:val="00BD513C"/>
    <w:rsid w:val="00BE341E"/>
    <w:rsid w:val="00BE7A92"/>
    <w:rsid w:val="00BF365A"/>
    <w:rsid w:val="00BF5754"/>
    <w:rsid w:val="00C01677"/>
    <w:rsid w:val="00C05A87"/>
    <w:rsid w:val="00C05E8B"/>
    <w:rsid w:val="00C064F4"/>
    <w:rsid w:val="00C11837"/>
    <w:rsid w:val="00C14152"/>
    <w:rsid w:val="00C207DE"/>
    <w:rsid w:val="00C22537"/>
    <w:rsid w:val="00C22A6E"/>
    <w:rsid w:val="00C25A10"/>
    <w:rsid w:val="00C27261"/>
    <w:rsid w:val="00C31BCD"/>
    <w:rsid w:val="00C334D8"/>
    <w:rsid w:val="00C457C5"/>
    <w:rsid w:val="00C478B4"/>
    <w:rsid w:val="00C627B6"/>
    <w:rsid w:val="00C63C23"/>
    <w:rsid w:val="00C6498C"/>
    <w:rsid w:val="00C64DAB"/>
    <w:rsid w:val="00C64F76"/>
    <w:rsid w:val="00C6508F"/>
    <w:rsid w:val="00C734BF"/>
    <w:rsid w:val="00C76A77"/>
    <w:rsid w:val="00C76BC3"/>
    <w:rsid w:val="00C8156E"/>
    <w:rsid w:val="00C81D5A"/>
    <w:rsid w:val="00C866CB"/>
    <w:rsid w:val="00C96E72"/>
    <w:rsid w:val="00CA5651"/>
    <w:rsid w:val="00CA6828"/>
    <w:rsid w:val="00CB088B"/>
    <w:rsid w:val="00CB274D"/>
    <w:rsid w:val="00CB3702"/>
    <w:rsid w:val="00CB40F2"/>
    <w:rsid w:val="00CB5D74"/>
    <w:rsid w:val="00CD2640"/>
    <w:rsid w:val="00CD36A7"/>
    <w:rsid w:val="00CD6785"/>
    <w:rsid w:val="00CD684A"/>
    <w:rsid w:val="00CD69C4"/>
    <w:rsid w:val="00CD7406"/>
    <w:rsid w:val="00CD7485"/>
    <w:rsid w:val="00CE2566"/>
    <w:rsid w:val="00CE2692"/>
    <w:rsid w:val="00CE3D01"/>
    <w:rsid w:val="00CE45D1"/>
    <w:rsid w:val="00CE5D03"/>
    <w:rsid w:val="00CF33DD"/>
    <w:rsid w:val="00D009F1"/>
    <w:rsid w:val="00D02046"/>
    <w:rsid w:val="00D066F1"/>
    <w:rsid w:val="00D103D7"/>
    <w:rsid w:val="00D113DE"/>
    <w:rsid w:val="00D11859"/>
    <w:rsid w:val="00D13712"/>
    <w:rsid w:val="00D23431"/>
    <w:rsid w:val="00D24994"/>
    <w:rsid w:val="00D275EB"/>
    <w:rsid w:val="00D3039E"/>
    <w:rsid w:val="00D35F81"/>
    <w:rsid w:val="00D36A8C"/>
    <w:rsid w:val="00D41EC9"/>
    <w:rsid w:val="00D4280F"/>
    <w:rsid w:val="00D42D85"/>
    <w:rsid w:val="00D44D35"/>
    <w:rsid w:val="00D526FF"/>
    <w:rsid w:val="00D529C9"/>
    <w:rsid w:val="00D53812"/>
    <w:rsid w:val="00D54C51"/>
    <w:rsid w:val="00D65EE3"/>
    <w:rsid w:val="00D66942"/>
    <w:rsid w:val="00D675BD"/>
    <w:rsid w:val="00D67C33"/>
    <w:rsid w:val="00D80D9A"/>
    <w:rsid w:val="00D81C33"/>
    <w:rsid w:val="00D8290F"/>
    <w:rsid w:val="00D87D56"/>
    <w:rsid w:val="00D920F1"/>
    <w:rsid w:val="00D948FB"/>
    <w:rsid w:val="00D95DEB"/>
    <w:rsid w:val="00D9740A"/>
    <w:rsid w:val="00DA18A6"/>
    <w:rsid w:val="00DA25E5"/>
    <w:rsid w:val="00DA2C44"/>
    <w:rsid w:val="00DA6836"/>
    <w:rsid w:val="00DB6CDD"/>
    <w:rsid w:val="00DC05CC"/>
    <w:rsid w:val="00DC1A3E"/>
    <w:rsid w:val="00DC6D43"/>
    <w:rsid w:val="00DD11C8"/>
    <w:rsid w:val="00DD139E"/>
    <w:rsid w:val="00DD4E03"/>
    <w:rsid w:val="00DD5971"/>
    <w:rsid w:val="00DD5A00"/>
    <w:rsid w:val="00DD6E26"/>
    <w:rsid w:val="00DE2564"/>
    <w:rsid w:val="00DE620B"/>
    <w:rsid w:val="00DF008F"/>
    <w:rsid w:val="00DF0885"/>
    <w:rsid w:val="00DF75D8"/>
    <w:rsid w:val="00DF7E65"/>
    <w:rsid w:val="00E01D20"/>
    <w:rsid w:val="00E04B13"/>
    <w:rsid w:val="00E132E0"/>
    <w:rsid w:val="00E21925"/>
    <w:rsid w:val="00E2434F"/>
    <w:rsid w:val="00E26B64"/>
    <w:rsid w:val="00E31243"/>
    <w:rsid w:val="00E331BB"/>
    <w:rsid w:val="00E3751C"/>
    <w:rsid w:val="00E42F2C"/>
    <w:rsid w:val="00E448CA"/>
    <w:rsid w:val="00E47EF8"/>
    <w:rsid w:val="00E50A0E"/>
    <w:rsid w:val="00E533C4"/>
    <w:rsid w:val="00E543FF"/>
    <w:rsid w:val="00E612EF"/>
    <w:rsid w:val="00E62D75"/>
    <w:rsid w:val="00E64AB4"/>
    <w:rsid w:val="00E65ADA"/>
    <w:rsid w:val="00E7078C"/>
    <w:rsid w:val="00E7085F"/>
    <w:rsid w:val="00E72C4A"/>
    <w:rsid w:val="00E743D4"/>
    <w:rsid w:val="00E77BDD"/>
    <w:rsid w:val="00E84C08"/>
    <w:rsid w:val="00EA45F0"/>
    <w:rsid w:val="00EA4A4C"/>
    <w:rsid w:val="00EA6E9F"/>
    <w:rsid w:val="00EB0E87"/>
    <w:rsid w:val="00EB2438"/>
    <w:rsid w:val="00EB5A76"/>
    <w:rsid w:val="00EC085A"/>
    <w:rsid w:val="00EC4A70"/>
    <w:rsid w:val="00EC6185"/>
    <w:rsid w:val="00EC66F1"/>
    <w:rsid w:val="00EC6E02"/>
    <w:rsid w:val="00ED0A36"/>
    <w:rsid w:val="00ED7C9E"/>
    <w:rsid w:val="00EE081E"/>
    <w:rsid w:val="00EE1080"/>
    <w:rsid w:val="00EE2055"/>
    <w:rsid w:val="00EE2E69"/>
    <w:rsid w:val="00EF0882"/>
    <w:rsid w:val="00EF131B"/>
    <w:rsid w:val="00EF1D22"/>
    <w:rsid w:val="00EF3B5F"/>
    <w:rsid w:val="00F0224E"/>
    <w:rsid w:val="00F0747C"/>
    <w:rsid w:val="00F134A9"/>
    <w:rsid w:val="00F13E4B"/>
    <w:rsid w:val="00F1427D"/>
    <w:rsid w:val="00F17AD2"/>
    <w:rsid w:val="00F27A76"/>
    <w:rsid w:val="00F315B1"/>
    <w:rsid w:val="00F33ED1"/>
    <w:rsid w:val="00F34B51"/>
    <w:rsid w:val="00F510E7"/>
    <w:rsid w:val="00F51810"/>
    <w:rsid w:val="00F5332A"/>
    <w:rsid w:val="00F53410"/>
    <w:rsid w:val="00F53E03"/>
    <w:rsid w:val="00F5472E"/>
    <w:rsid w:val="00F61F53"/>
    <w:rsid w:val="00F65E3B"/>
    <w:rsid w:val="00F677A3"/>
    <w:rsid w:val="00F73F07"/>
    <w:rsid w:val="00F83D99"/>
    <w:rsid w:val="00F86BDA"/>
    <w:rsid w:val="00F87816"/>
    <w:rsid w:val="00F91B7D"/>
    <w:rsid w:val="00F93B16"/>
    <w:rsid w:val="00F93B5F"/>
    <w:rsid w:val="00FA399A"/>
    <w:rsid w:val="00FB3F1A"/>
    <w:rsid w:val="00FB7075"/>
    <w:rsid w:val="00FC2AAA"/>
    <w:rsid w:val="00FC2F97"/>
    <w:rsid w:val="00FD7296"/>
    <w:rsid w:val="00FD77E2"/>
    <w:rsid w:val="00FE087A"/>
    <w:rsid w:val="00FF1FBF"/>
    <w:rsid w:val="00FF42E1"/>
    <w:rsid w:val="00FF4C06"/>
    <w:rsid w:val="00FF7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A3033"/>
  <w15:chartTrackingRefBased/>
  <w15:docId w15:val="{E8B82496-C171-4973-85B9-1499C5E7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F87816"/>
    <w:pPr>
      <w:spacing w:after="240"/>
    </w:pPr>
    <w:rPr>
      <w:rFonts w:ascii="Gill Sans MT" w:hAnsi="Gill Sans MT"/>
      <w:lang w:val="en-GB"/>
    </w:rPr>
  </w:style>
  <w:style w:type="paragraph" w:styleId="Heading1">
    <w:name w:val="heading 1"/>
    <w:basedOn w:val="Normal"/>
    <w:next w:val="Normal"/>
    <w:link w:val="Heading1Char"/>
    <w:uiPriority w:val="9"/>
    <w:qFormat/>
    <w:rsid w:val="00F87816"/>
    <w:pPr>
      <w:keepNext/>
      <w:keepLines/>
      <w:spacing w:after="120"/>
      <w:ind w:right="424"/>
      <w:jc w:val="both"/>
      <w:outlineLvl w:val="0"/>
    </w:pPr>
    <w:rPr>
      <w:rFonts w:eastAsiaTheme="majorEastAsia" w:cstheme="majorBidi"/>
      <w:color w:val="009999"/>
      <w:sz w:val="36"/>
      <w:szCs w:val="32"/>
    </w:rPr>
  </w:style>
  <w:style w:type="paragraph" w:styleId="Heading2">
    <w:name w:val="heading 2"/>
    <w:basedOn w:val="Normal"/>
    <w:next w:val="Normal"/>
    <w:link w:val="Heading2Char"/>
    <w:uiPriority w:val="9"/>
    <w:unhideWhenUsed/>
    <w:qFormat/>
    <w:rsid w:val="0023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89"/>
  </w:style>
  <w:style w:type="paragraph" w:styleId="Footer">
    <w:name w:val="footer"/>
    <w:basedOn w:val="Normal"/>
    <w:link w:val="FooterChar"/>
    <w:uiPriority w:val="99"/>
    <w:unhideWhenUsed/>
    <w:rsid w:val="006E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89"/>
  </w:style>
  <w:style w:type="character" w:styleId="Hyperlink">
    <w:name w:val="Hyperlink"/>
    <w:basedOn w:val="DefaultParagraphFont"/>
    <w:uiPriority w:val="99"/>
    <w:unhideWhenUsed/>
    <w:rsid w:val="006E7989"/>
    <w:rPr>
      <w:color w:val="0563C1" w:themeColor="hyperlink"/>
      <w:u w:val="single"/>
    </w:rPr>
  </w:style>
  <w:style w:type="table" w:styleId="MediumGrid2-Accent1">
    <w:name w:val="Medium Grid 2 Accent 1"/>
    <w:basedOn w:val="TableNormal"/>
    <w:uiPriority w:val="68"/>
    <w:rsid w:val="006E7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7816"/>
    <w:rPr>
      <w:rFonts w:ascii="Gill Sans MT" w:eastAsiaTheme="majorEastAsia" w:hAnsi="Gill Sans MT" w:cstheme="majorBidi"/>
      <w:color w:val="009999"/>
      <w:sz w:val="36"/>
      <w:szCs w:val="32"/>
    </w:rPr>
  </w:style>
  <w:style w:type="table" w:styleId="ListTable1Light">
    <w:name w:val="List Table 1 Light"/>
    <w:basedOn w:val="TableNormal"/>
    <w:uiPriority w:val="46"/>
    <w:rsid w:val="00C76B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32BA3"/>
    <w:pPr>
      <w:ind w:left="720"/>
      <w:contextualSpacing/>
    </w:pPr>
  </w:style>
  <w:style w:type="character" w:customStyle="1" w:styleId="Heading2Char">
    <w:name w:val="Heading 2 Char"/>
    <w:basedOn w:val="DefaultParagraphFont"/>
    <w:link w:val="Heading2"/>
    <w:uiPriority w:val="9"/>
    <w:rsid w:val="00232BA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4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EA"/>
    <w:rPr>
      <w:rFonts w:ascii="Segoe UI" w:hAnsi="Segoe UI" w:cs="Segoe UI"/>
      <w:sz w:val="18"/>
      <w:szCs w:val="18"/>
    </w:rPr>
  </w:style>
  <w:style w:type="paragraph" w:styleId="PlainText">
    <w:name w:val="Plain Text"/>
    <w:basedOn w:val="Normal"/>
    <w:link w:val="PlainTextChar"/>
    <w:uiPriority w:val="99"/>
    <w:semiHidden/>
    <w:unhideWhenUsed/>
    <w:rsid w:val="004957A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957A3"/>
    <w:rPr>
      <w:rFonts w:ascii="Calibri" w:hAnsi="Calibri" w:cs="Consolas"/>
      <w:szCs w:val="21"/>
    </w:rPr>
  </w:style>
  <w:style w:type="character" w:styleId="CommentReference">
    <w:name w:val="annotation reference"/>
    <w:basedOn w:val="DefaultParagraphFont"/>
    <w:uiPriority w:val="99"/>
    <w:semiHidden/>
    <w:unhideWhenUsed/>
    <w:rsid w:val="003D2B46"/>
    <w:rPr>
      <w:sz w:val="16"/>
      <w:szCs w:val="16"/>
    </w:rPr>
  </w:style>
  <w:style w:type="paragraph" w:styleId="CommentText">
    <w:name w:val="annotation text"/>
    <w:basedOn w:val="Normal"/>
    <w:link w:val="CommentTextChar"/>
    <w:uiPriority w:val="99"/>
    <w:semiHidden/>
    <w:unhideWhenUsed/>
    <w:rsid w:val="003D2B46"/>
    <w:pPr>
      <w:spacing w:line="240" w:lineRule="auto"/>
    </w:pPr>
    <w:rPr>
      <w:sz w:val="20"/>
      <w:szCs w:val="20"/>
    </w:rPr>
  </w:style>
  <w:style w:type="character" w:customStyle="1" w:styleId="CommentTextChar">
    <w:name w:val="Comment Text Char"/>
    <w:basedOn w:val="DefaultParagraphFont"/>
    <w:link w:val="CommentText"/>
    <w:uiPriority w:val="99"/>
    <w:semiHidden/>
    <w:rsid w:val="003D2B4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3D2B46"/>
    <w:rPr>
      <w:b/>
      <w:bCs/>
    </w:rPr>
  </w:style>
  <w:style w:type="character" w:customStyle="1" w:styleId="CommentSubjectChar">
    <w:name w:val="Comment Subject Char"/>
    <w:basedOn w:val="CommentTextChar"/>
    <w:link w:val="CommentSubject"/>
    <w:uiPriority w:val="99"/>
    <w:semiHidden/>
    <w:rsid w:val="003D2B46"/>
    <w:rPr>
      <w:rFonts w:ascii="Gill Sans MT" w:hAnsi="Gill Sans MT"/>
      <w:b/>
      <w:bCs/>
      <w:sz w:val="20"/>
      <w:szCs w:val="20"/>
    </w:rPr>
  </w:style>
  <w:style w:type="paragraph" w:customStyle="1" w:styleId="Default">
    <w:name w:val="Default"/>
    <w:rsid w:val="00931261"/>
    <w:pPr>
      <w:autoSpaceDE w:val="0"/>
      <w:autoSpaceDN w:val="0"/>
      <w:adjustRightInd w:val="0"/>
      <w:spacing w:after="0" w:line="240" w:lineRule="auto"/>
    </w:pPr>
    <w:rPr>
      <w:rFonts w:ascii="Gill Sans MT" w:hAnsi="Gill Sans MT" w:cs="Gill Sans MT"/>
      <w:color w:val="000000"/>
      <w:sz w:val="24"/>
      <w:szCs w:val="24"/>
    </w:rPr>
  </w:style>
  <w:style w:type="paragraph" w:styleId="Revision">
    <w:name w:val="Revision"/>
    <w:hidden/>
    <w:uiPriority w:val="99"/>
    <w:semiHidden/>
    <w:rsid w:val="00D95DEB"/>
    <w:pPr>
      <w:spacing w:after="0" w:line="240" w:lineRule="auto"/>
    </w:pPr>
    <w:rPr>
      <w:rFonts w:ascii="Gill Sans MT" w:hAnsi="Gill Sans MT"/>
    </w:rPr>
  </w:style>
  <w:style w:type="paragraph" w:customStyle="1" w:styleId="DIERBodyText">
    <w:name w:val="DIERBodyText"/>
    <w:basedOn w:val="Normal"/>
    <w:rsid w:val="002F179C"/>
    <w:pPr>
      <w:spacing w:after="300" w:line="240" w:lineRule="auto"/>
      <w:jc w:val="both"/>
    </w:pPr>
    <w:rPr>
      <w:rFonts w:ascii="Arial" w:hAnsi="Arial" w:cs="Arial"/>
    </w:rPr>
  </w:style>
  <w:style w:type="paragraph" w:customStyle="1" w:styleId="DIERAddressBlock">
    <w:name w:val="DIERAddressBlock"/>
    <w:basedOn w:val="Normal"/>
    <w:rsid w:val="002F179C"/>
    <w:pPr>
      <w:spacing w:after="0" w:line="240" w:lineRule="auto"/>
      <w:jc w:val="both"/>
    </w:pPr>
    <w:rPr>
      <w:rFonts w:ascii="Arial" w:hAnsi="Arial" w:cs="Arial"/>
    </w:rPr>
  </w:style>
  <w:style w:type="character" w:styleId="FollowedHyperlink">
    <w:name w:val="FollowedHyperlink"/>
    <w:basedOn w:val="DefaultParagraphFont"/>
    <w:uiPriority w:val="99"/>
    <w:semiHidden/>
    <w:unhideWhenUsed/>
    <w:rsid w:val="00EC66F1"/>
    <w:rPr>
      <w:color w:val="954F72" w:themeColor="followedHyperlink"/>
      <w:u w:val="single"/>
    </w:rPr>
  </w:style>
  <w:style w:type="paragraph" w:styleId="Title">
    <w:name w:val="Title"/>
    <w:basedOn w:val="Normal"/>
    <w:next w:val="Normal"/>
    <w:link w:val="TitleChar"/>
    <w:uiPriority w:val="10"/>
    <w:qFormat/>
    <w:rsid w:val="00F878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816"/>
    <w:rPr>
      <w:rFonts w:asciiTheme="majorHAnsi" w:eastAsiaTheme="majorEastAsia" w:hAnsiTheme="majorHAnsi" w:cstheme="majorBidi"/>
      <w:spacing w:val="-10"/>
      <w:kern w:val="28"/>
      <w:sz w:val="56"/>
      <w:szCs w:val="56"/>
      <w:lang w:val="en-GB"/>
    </w:rPr>
  </w:style>
  <w:style w:type="paragraph" w:styleId="NormalWeb">
    <w:name w:val="Normal (Web)"/>
    <w:basedOn w:val="Normal"/>
    <w:uiPriority w:val="99"/>
    <w:semiHidden/>
    <w:unhideWhenUsed/>
    <w:rsid w:val="00C25A10"/>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6066">
      <w:bodyDiv w:val="1"/>
      <w:marLeft w:val="0"/>
      <w:marRight w:val="0"/>
      <w:marTop w:val="0"/>
      <w:marBottom w:val="0"/>
      <w:divBdr>
        <w:top w:val="none" w:sz="0" w:space="0" w:color="auto"/>
        <w:left w:val="none" w:sz="0" w:space="0" w:color="auto"/>
        <w:bottom w:val="none" w:sz="0" w:space="0" w:color="auto"/>
        <w:right w:val="none" w:sz="0" w:space="0" w:color="auto"/>
      </w:divBdr>
    </w:div>
    <w:div w:id="90784594">
      <w:bodyDiv w:val="1"/>
      <w:marLeft w:val="0"/>
      <w:marRight w:val="0"/>
      <w:marTop w:val="0"/>
      <w:marBottom w:val="0"/>
      <w:divBdr>
        <w:top w:val="none" w:sz="0" w:space="0" w:color="auto"/>
        <w:left w:val="none" w:sz="0" w:space="0" w:color="auto"/>
        <w:bottom w:val="none" w:sz="0" w:space="0" w:color="auto"/>
        <w:right w:val="none" w:sz="0" w:space="0" w:color="auto"/>
      </w:divBdr>
    </w:div>
    <w:div w:id="131094135">
      <w:bodyDiv w:val="1"/>
      <w:marLeft w:val="0"/>
      <w:marRight w:val="0"/>
      <w:marTop w:val="0"/>
      <w:marBottom w:val="0"/>
      <w:divBdr>
        <w:top w:val="none" w:sz="0" w:space="0" w:color="auto"/>
        <w:left w:val="none" w:sz="0" w:space="0" w:color="auto"/>
        <w:bottom w:val="none" w:sz="0" w:space="0" w:color="auto"/>
        <w:right w:val="none" w:sz="0" w:space="0" w:color="auto"/>
      </w:divBdr>
    </w:div>
    <w:div w:id="325481563">
      <w:bodyDiv w:val="1"/>
      <w:marLeft w:val="0"/>
      <w:marRight w:val="0"/>
      <w:marTop w:val="0"/>
      <w:marBottom w:val="0"/>
      <w:divBdr>
        <w:top w:val="none" w:sz="0" w:space="0" w:color="auto"/>
        <w:left w:val="none" w:sz="0" w:space="0" w:color="auto"/>
        <w:bottom w:val="none" w:sz="0" w:space="0" w:color="auto"/>
        <w:right w:val="none" w:sz="0" w:space="0" w:color="auto"/>
      </w:divBdr>
    </w:div>
    <w:div w:id="435179021">
      <w:bodyDiv w:val="1"/>
      <w:marLeft w:val="0"/>
      <w:marRight w:val="0"/>
      <w:marTop w:val="0"/>
      <w:marBottom w:val="0"/>
      <w:divBdr>
        <w:top w:val="none" w:sz="0" w:space="0" w:color="auto"/>
        <w:left w:val="none" w:sz="0" w:space="0" w:color="auto"/>
        <w:bottom w:val="none" w:sz="0" w:space="0" w:color="auto"/>
        <w:right w:val="none" w:sz="0" w:space="0" w:color="auto"/>
      </w:divBdr>
    </w:div>
    <w:div w:id="600072753">
      <w:bodyDiv w:val="1"/>
      <w:marLeft w:val="0"/>
      <w:marRight w:val="0"/>
      <w:marTop w:val="0"/>
      <w:marBottom w:val="0"/>
      <w:divBdr>
        <w:top w:val="none" w:sz="0" w:space="0" w:color="auto"/>
        <w:left w:val="none" w:sz="0" w:space="0" w:color="auto"/>
        <w:bottom w:val="none" w:sz="0" w:space="0" w:color="auto"/>
        <w:right w:val="none" w:sz="0" w:space="0" w:color="auto"/>
      </w:divBdr>
    </w:div>
    <w:div w:id="917594792">
      <w:bodyDiv w:val="1"/>
      <w:marLeft w:val="0"/>
      <w:marRight w:val="0"/>
      <w:marTop w:val="0"/>
      <w:marBottom w:val="0"/>
      <w:divBdr>
        <w:top w:val="none" w:sz="0" w:space="0" w:color="auto"/>
        <w:left w:val="none" w:sz="0" w:space="0" w:color="auto"/>
        <w:bottom w:val="none" w:sz="0" w:space="0" w:color="auto"/>
        <w:right w:val="none" w:sz="0" w:space="0" w:color="auto"/>
      </w:divBdr>
    </w:div>
    <w:div w:id="1040860946">
      <w:bodyDiv w:val="1"/>
      <w:marLeft w:val="0"/>
      <w:marRight w:val="0"/>
      <w:marTop w:val="0"/>
      <w:marBottom w:val="0"/>
      <w:divBdr>
        <w:top w:val="none" w:sz="0" w:space="0" w:color="auto"/>
        <w:left w:val="none" w:sz="0" w:space="0" w:color="auto"/>
        <w:bottom w:val="none" w:sz="0" w:space="0" w:color="auto"/>
        <w:right w:val="none" w:sz="0" w:space="0" w:color="auto"/>
      </w:divBdr>
    </w:div>
    <w:div w:id="1071777210">
      <w:bodyDiv w:val="1"/>
      <w:marLeft w:val="0"/>
      <w:marRight w:val="0"/>
      <w:marTop w:val="0"/>
      <w:marBottom w:val="0"/>
      <w:divBdr>
        <w:top w:val="none" w:sz="0" w:space="0" w:color="auto"/>
        <w:left w:val="none" w:sz="0" w:space="0" w:color="auto"/>
        <w:bottom w:val="none" w:sz="0" w:space="0" w:color="auto"/>
        <w:right w:val="none" w:sz="0" w:space="0" w:color="auto"/>
      </w:divBdr>
    </w:div>
    <w:div w:id="1125539206">
      <w:bodyDiv w:val="1"/>
      <w:marLeft w:val="0"/>
      <w:marRight w:val="0"/>
      <w:marTop w:val="0"/>
      <w:marBottom w:val="0"/>
      <w:divBdr>
        <w:top w:val="none" w:sz="0" w:space="0" w:color="auto"/>
        <w:left w:val="none" w:sz="0" w:space="0" w:color="auto"/>
        <w:bottom w:val="none" w:sz="0" w:space="0" w:color="auto"/>
        <w:right w:val="none" w:sz="0" w:space="0" w:color="auto"/>
      </w:divBdr>
    </w:div>
    <w:div w:id="1130975392">
      <w:bodyDiv w:val="1"/>
      <w:marLeft w:val="0"/>
      <w:marRight w:val="0"/>
      <w:marTop w:val="0"/>
      <w:marBottom w:val="0"/>
      <w:divBdr>
        <w:top w:val="none" w:sz="0" w:space="0" w:color="auto"/>
        <w:left w:val="none" w:sz="0" w:space="0" w:color="auto"/>
        <w:bottom w:val="none" w:sz="0" w:space="0" w:color="auto"/>
        <w:right w:val="none" w:sz="0" w:space="0" w:color="auto"/>
      </w:divBdr>
    </w:div>
    <w:div w:id="1746030013">
      <w:bodyDiv w:val="1"/>
      <w:marLeft w:val="0"/>
      <w:marRight w:val="0"/>
      <w:marTop w:val="0"/>
      <w:marBottom w:val="0"/>
      <w:divBdr>
        <w:top w:val="none" w:sz="0" w:space="0" w:color="auto"/>
        <w:left w:val="none" w:sz="0" w:space="0" w:color="auto"/>
        <w:bottom w:val="none" w:sz="0" w:space="0" w:color="auto"/>
        <w:right w:val="none" w:sz="0" w:space="0" w:color="auto"/>
      </w:divBdr>
    </w:div>
    <w:div w:id="1831169584">
      <w:bodyDiv w:val="1"/>
      <w:marLeft w:val="0"/>
      <w:marRight w:val="0"/>
      <w:marTop w:val="0"/>
      <w:marBottom w:val="0"/>
      <w:divBdr>
        <w:top w:val="none" w:sz="0" w:space="0" w:color="auto"/>
        <w:left w:val="none" w:sz="0" w:space="0" w:color="auto"/>
        <w:bottom w:val="none" w:sz="0" w:space="0" w:color="auto"/>
        <w:right w:val="none" w:sz="0" w:space="0" w:color="auto"/>
      </w:divBdr>
    </w:div>
    <w:div w:id="1934244388">
      <w:bodyDiv w:val="1"/>
      <w:marLeft w:val="0"/>
      <w:marRight w:val="0"/>
      <w:marTop w:val="0"/>
      <w:marBottom w:val="0"/>
      <w:divBdr>
        <w:top w:val="none" w:sz="0" w:space="0" w:color="auto"/>
        <w:left w:val="none" w:sz="0" w:space="0" w:color="auto"/>
        <w:bottom w:val="none" w:sz="0" w:space="0" w:color="auto"/>
        <w:right w:val="none" w:sz="0" w:space="0" w:color="auto"/>
      </w:divBdr>
    </w:div>
    <w:div w:id="2062556091">
      <w:bodyDiv w:val="1"/>
      <w:marLeft w:val="0"/>
      <w:marRight w:val="0"/>
      <w:marTop w:val="0"/>
      <w:marBottom w:val="0"/>
      <w:divBdr>
        <w:top w:val="none" w:sz="0" w:space="0" w:color="auto"/>
        <w:left w:val="none" w:sz="0" w:space="0" w:color="auto"/>
        <w:bottom w:val="none" w:sz="0" w:space="0" w:color="auto"/>
        <w:right w:val="none" w:sz="0" w:space="0" w:color="auto"/>
      </w:divBdr>
    </w:div>
    <w:div w:id="21094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tscontracts@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scontracts@stategrowth.ta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whitty\AppData\Local\Microsoft\Windows\Temporary%20Internet%20Files\Content.Outlook\30TPJ01A\www.transport.tas.gov.au\passenger\operato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tinfo.transport.tas.gov.au/ancillary_check.aspx" TargetMode="External"/><Relationship Id="rId4" Type="http://schemas.openxmlformats.org/officeDocument/2006/relationships/settings" Target="settings.xml"/><Relationship Id="rId9" Type="http://schemas.openxmlformats.org/officeDocument/2006/relationships/hyperlink" Target="file:///C:\Users\a-whitty\AppData\Local\Microsoft\Windows\Temporary%20Internet%20Files\Content.Outlook\30TPJ01A\www.transport.tas.gov.au\busreview\new_contract_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B656-828B-49AD-B037-F35E1CAC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Lukasek, Ann</dc:creator>
  <cp:keywords/>
  <dc:description/>
  <cp:lastModifiedBy>Whitty, Anna</cp:lastModifiedBy>
  <cp:revision>2</cp:revision>
  <cp:lastPrinted>2019-01-31T23:37:00Z</cp:lastPrinted>
  <dcterms:created xsi:type="dcterms:W3CDTF">2019-09-01T22:36:00Z</dcterms:created>
  <dcterms:modified xsi:type="dcterms:W3CDTF">2019-09-01T22:36:00Z</dcterms:modified>
</cp:coreProperties>
</file>