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FBB85" w14:textId="77777777" w:rsidR="00A64ECD" w:rsidRDefault="00EB4E27" w:rsidP="00954531">
      <w:pPr>
        <w:rPr>
          <w:rFonts w:ascii="Gill Sans MT" w:eastAsia="Times New Roman" w:hAnsi="Gill Sans MT" w:cs="Arial"/>
          <w:noProof/>
          <w:color w:val="000000"/>
          <w:lang w:eastAsia="en-AU"/>
        </w:rPr>
      </w:pPr>
      <w:bookmarkStart w:id="0" w:name="_GoBack"/>
      <w:bookmarkEnd w:id="0"/>
      <w:r w:rsidRPr="0070709F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BAC6DB9" wp14:editId="067A98B2">
            <wp:simplePos x="0" y="0"/>
            <wp:positionH relativeFrom="margin">
              <wp:posOffset>-448310</wp:posOffset>
            </wp:positionH>
            <wp:positionV relativeFrom="paragraph">
              <wp:posOffset>-999807</wp:posOffset>
            </wp:positionV>
            <wp:extent cx="7539990" cy="106558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5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99CEF" w14:textId="77777777" w:rsidR="00EB4E27" w:rsidRDefault="00EB4E27" w:rsidP="00954531"/>
    <w:p w14:paraId="37163878" w14:textId="77777777" w:rsidR="00EB4E27" w:rsidRDefault="00EB4E27" w:rsidP="00954531"/>
    <w:p w14:paraId="6A811D8C" w14:textId="77777777" w:rsidR="00EB4E27" w:rsidRDefault="00EB4E27" w:rsidP="00954531"/>
    <w:p w14:paraId="76576869" w14:textId="77777777" w:rsidR="00EB4E27" w:rsidRDefault="00EB4E27" w:rsidP="00954531"/>
    <w:p w14:paraId="124D7B35" w14:textId="77777777" w:rsidR="00EB4E27" w:rsidRDefault="00EB4E27" w:rsidP="00954531"/>
    <w:p w14:paraId="417C6BDB" w14:textId="77777777" w:rsidR="00EB4E27" w:rsidRDefault="00EB4E27" w:rsidP="00954531"/>
    <w:p w14:paraId="5D4294F6" w14:textId="77777777" w:rsidR="00EB4E27" w:rsidRDefault="00EB4E27" w:rsidP="00954531"/>
    <w:p w14:paraId="5E598A7D" w14:textId="77777777" w:rsidR="00954531" w:rsidRPr="0070709F" w:rsidRDefault="00954531" w:rsidP="00954531">
      <w:r w:rsidRPr="0070709F">
        <w:t xml:space="preserve">Welcome to the </w:t>
      </w:r>
      <w:r w:rsidR="00930686">
        <w:t>January 2019</w:t>
      </w:r>
      <w:r w:rsidR="002C08F6" w:rsidRPr="0070709F">
        <w:t xml:space="preserve"> </w:t>
      </w:r>
      <w:r w:rsidRPr="0070709F">
        <w:t>edition of the Taxi Newsletter.</w:t>
      </w:r>
      <w:r w:rsidR="00A64ECD" w:rsidRPr="0070709F">
        <w:t xml:space="preserve"> </w:t>
      </w:r>
    </w:p>
    <w:p w14:paraId="2C22D78B" w14:textId="77777777" w:rsidR="0089161B" w:rsidRPr="006F2134" w:rsidRDefault="00567BD5" w:rsidP="00D533ED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Release of unsold o</w:t>
      </w:r>
      <w:r w:rsidR="00930686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wner-operator taxi licences</w:t>
      </w:r>
      <w:r w:rsidR="000D36F2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(OOTL)</w:t>
      </w: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from 2018 tender</w:t>
      </w:r>
    </w:p>
    <w:p w14:paraId="3FACF500" w14:textId="42ECADEF" w:rsidR="00B1685E" w:rsidRDefault="00926D14" w:rsidP="00583157">
      <w:r>
        <w:t xml:space="preserve">On 22 </w:t>
      </w:r>
      <w:r w:rsidR="00930686">
        <w:t xml:space="preserve">January 2019, </w:t>
      </w:r>
      <w:r w:rsidR="001E576F">
        <w:t xml:space="preserve">the Commissioner for Transport approved </w:t>
      </w:r>
      <w:r w:rsidR="00A26027">
        <w:t xml:space="preserve">making </w:t>
      </w:r>
      <w:r w:rsidR="001E576F">
        <w:t xml:space="preserve">all unsold </w:t>
      </w:r>
      <w:r w:rsidR="000D36F2">
        <w:t>OOTLs</w:t>
      </w:r>
      <w:r w:rsidR="001E576F">
        <w:t xml:space="preserve"> left over from the 2018 tender </w:t>
      </w:r>
      <w:r w:rsidR="00A26027">
        <w:t xml:space="preserve">available </w:t>
      </w:r>
      <w:r w:rsidR="001E576F">
        <w:t>for sale</w:t>
      </w:r>
      <w:r w:rsidR="00B1685E">
        <w:t>.  OOTL licences are available in the following taxi areas</w:t>
      </w:r>
      <w:r w:rsidR="001E576F">
        <w:t xml:space="preserve"> at the </w:t>
      </w:r>
      <w:r w:rsidR="00B1685E">
        <w:t>following</w:t>
      </w:r>
      <w:r w:rsidR="001E576F">
        <w:t xml:space="preserve"> </w:t>
      </w:r>
      <w:r w:rsidR="00B1685E">
        <w:t xml:space="preserve">non-negotiable </w:t>
      </w:r>
      <w:r w:rsidR="001E576F">
        <w:t>price</w:t>
      </w:r>
      <w:r w:rsidR="00B1685E">
        <w:t>s</w:t>
      </w:r>
      <w:r w:rsidR="001E576F">
        <w:t xml:space="preserve">.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459"/>
        <w:gridCol w:w="3077"/>
        <w:gridCol w:w="1271"/>
      </w:tblGrid>
      <w:tr w:rsidR="00926D14" w:rsidRPr="006F4495" w14:paraId="6EBA1783" w14:textId="77777777" w:rsidTr="00926D14">
        <w:tc>
          <w:tcPr>
            <w:tcW w:w="3256" w:type="dxa"/>
          </w:tcPr>
          <w:p w14:paraId="693FD73E" w14:textId="77777777" w:rsidR="00926D14" w:rsidRPr="00926D14" w:rsidRDefault="00926D14" w:rsidP="00583157">
            <w:pPr>
              <w:rPr>
                <w:rFonts w:ascii="Gill Sans MT" w:hAnsi="Gill Sans MT"/>
                <w:b/>
              </w:rPr>
            </w:pPr>
            <w:r w:rsidRPr="00926D14">
              <w:rPr>
                <w:rFonts w:ascii="Gill Sans MT" w:hAnsi="Gill Sans MT"/>
                <w:b/>
              </w:rPr>
              <w:t>Taxi area</w:t>
            </w:r>
          </w:p>
        </w:tc>
        <w:tc>
          <w:tcPr>
            <w:tcW w:w="1275" w:type="dxa"/>
          </w:tcPr>
          <w:p w14:paraId="513141FC" w14:textId="77777777" w:rsidR="00926D14" w:rsidRPr="00926D14" w:rsidRDefault="00926D14" w:rsidP="00583157">
            <w:pPr>
              <w:rPr>
                <w:rFonts w:ascii="Gill Sans MT" w:hAnsi="Gill Sans MT"/>
                <w:b/>
              </w:rPr>
            </w:pPr>
            <w:r w:rsidRPr="00926D14">
              <w:rPr>
                <w:rFonts w:ascii="Gill Sans MT" w:hAnsi="Gill Sans MT"/>
                <w:b/>
              </w:rPr>
              <w:t>Price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32083460" w14:textId="77777777" w:rsidR="00926D14" w:rsidRPr="00926D14" w:rsidRDefault="00926D14" w:rsidP="00583157">
            <w:pPr>
              <w:rPr>
                <w:rFonts w:ascii="Gill Sans MT" w:hAnsi="Gill Sans MT"/>
                <w:b/>
              </w:rPr>
            </w:pPr>
          </w:p>
        </w:tc>
        <w:tc>
          <w:tcPr>
            <w:tcW w:w="3077" w:type="dxa"/>
          </w:tcPr>
          <w:p w14:paraId="69BD3FEE" w14:textId="30150908" w:rsidR="00926D14" w:rsidRPr="00926D14" w:rsidRDefault="00926D14" w:rsidP="00583157">
            <w:pPr>
              <w:rPr>
                <w:rFonts w:ascii="Gill Sans MT" w:hAnsi="Gill Sans MT"/>
                <w:b/>
              </w:rPr>
            </w:pPr>
            <w:r w:rsidRPr="00926D14">
              <w:rPr>
                <w:rFonts w:ascii="Gill Sans MT" w:hAnsi="Gill Sans MT"/>
                <w:b/>
              </w:rPr>
              <w:t>Taxi area</w:t>
            </w:r>
          </w:p>
        </w:tc>
        <w:tc>
          <w:tcPr>
            <w:tcW w:w="1271" w:type="dxa"/>
          </w:tcPr>
          <w:p w14:paraId="1C4A7012" w14:textId="77777777" w:rsidR="00926D14" w:rsidRPr="00926D14" w:rsidRDefault="00926D14" w:rsidP="00583157">
            <w:pPr>
              <w:rPr>
                <w:rFonts w:ascii="Gill Sans MT" w:hAnsi="Gill Sans MT"/>
                <w:b/>
              </w:rPr>
            </w:pPr>
            <w:r w:rsidRPr="00926D14">
              <w:rPr>
                <w:rFonts w:ascii="Gill Sans MT" w:hAnsi="Gill Sans MT"/>
                <w:b/>
              </w:rPr>
              <w:t>Price</w:t>
            </w:r>
          </w:p>
        </w:tc>
      </w:tr>
      <w:tr w:rsidR="00926D14" w:rsidRPr="006F4495" w14:paraId="1F618B49" w14:textId="77777777" w:rsidTr="00926D14">
        <w:tc>
          <w:tcPr>
            <w:tcW w:w="3256" w:type="dxa"/>
          </w:tcPr>
          <w:p w14:paraId="7424E68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Launceston</w:t>
            </w:r>
          </w:p>
        </w:tc>
        <w:tc>
          <w:tcPr>
            <w:tcW w:w="1275" w:type="dxa"/>
          </w:tcPr>
          <w:p w14:paraId="46AD0FFA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$35 000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1F6599B3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784ACD8C" w14:textId="7FCE10C0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Glamorgan/Spring Bay North</w:t>
            </w:r>
          </w:p>
        </w:tc>
        <w:tc>
          <w:tcPr>
            <w:tcW w:w="1271" w:type="dxa"/>
          </w:tcPr>
          <w:p w14:paraId="68BC6AFE" w14:textId="77777777" w:rsidR="00926D14" w:rsidRPr="006F4495" w:rsidRDefault="00926D14" w:rsidP="00D52A3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$3 750</w:t>
            </w:r>
          </w:p>
        </w:tc>
      </w:tr>
      <w:tr w:rsidR="00926D14" w:rsidRPr="006F4495" w14:paraId="631B7AD2" w14:textId="77777777" w:rsidTr="00926D14">
        <w:tc>
          <w:tcPr>
            <w:tcW w:w="3256" w:type="dxa"/>
          </w:tcPr>
          <w:p w14:paraId="7C293067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Burnie</w:t>
            </w:r>
          </w:p>
        </w:tc>
        <w:tc>
          <w:tcPr>
            <w:tcW w:w="1275" w:type="dxa"/>
          </w:tcPr>
          <w:p w14:paraId="5332EB2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$23 000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2B1BFBDB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63745497" w14:textId="17C63CED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Kentish</w:t>
            </w:r>
          </w:p>
        </w:tc>
        <w:tc>
          <w:tcPr>
            <w:tcW w:w="1271" w:type="dxa"/>
          </w:tcPr>
          <w:p w14:paraId="00DE16C0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$3 750</w:t>
            </w:r>
          </w:p>
        </w:tc>
      </w:tr>
      <w:tr w:rsidR="00926D14" w:rsidRPr="006F4495" w14:paraId="188C683C" w14:textId="77777777" w:rsidTr="00926D14">
        <w:tc>
          <w:tcPr>
            <w:tcW w:w="3256" w:type="dxa"/>
          </w:tcPr>
          <w:p w14:paraId="3043B78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Ulverstone</w:t>
            </w:r>
          </w:p>
        </w:tc>
        <w:tc>
          <w:tcPr>
            <w:tcW w:w="1275" w:type="dxa"/>
          </w:tcPr>
          <w:p w14:paraId="30E4E1A1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$17 250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08CF478F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57B0B5AE" w14:textId="6B99DD64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Penguin</w:t>
            </w:r>
          </w:p>
        </w:tc>
        <w:tc>
          <w:tcPr>
            <w:tcW w:w="1271" w:type="dxa"/>
          </w:tcPr>
          <w:p w14:paraId="3136A60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$3 750</w:t>
            </w:r>
          </w:p>
        </w:tc>
      </w:tr>
      <w:tr w:rsidR="00926D14" w:rsidRPr="006F4495" w14:paraId="3EA946FD" w14:textId="77777777" w:rsidTr="00926D14">
        <w:tc>
          <w:tcPr>
            <w:tcW w:w="3256" w:type="dxa"/>
          </w:tcPr>
          <w:p w14:paraId="5D878BC7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George Town</w:t>
            </w:r>
          </w:p>
        </w:tc>
        <w:tc>
          <w:tcPr>
            <w:tcW w:w="1275" w:type="dxa"/>
          </w:tcPr>
          <w:p w14:paraId="340A442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$17 250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70D27771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08E59DD5" w14:textId="12F8E0BD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Tasman</w:t>
            </w:r>
          </w:p>
        </w:tc>
        <w:tc>
          <w:tcPr>
            <w:tcW w:w="1271" w:type="dxa"/>
          </w:tcPr>
          <w:p w14:paraId="6BE4AC0C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$3750</w:t>
            </w:r>
          </w:p>
        </w:tc>
      </w:tr>
      <w:tr w:rsidR="00926D14" w:rsidRPr="006F4495" w14:paraId="0CABC7C0" w14:textId="77777777" w:rsidTr="00926D14">
        <w:tc>
          <w:tcPr>
            <w:tcW w:w="3256" w:type="dxa"/>
          </w:tcPr>
          <w:p w14:paraId="7F1530D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Perth</w:t>
            </w:r>
          </w:p>
        </w:tc>
        <w:tc>
          <w:tcPr>
            <w:tcW w:w="1275" w:type="dxa"/>
          </w:tcPr>
          <w:p w14:paraId="6AFFE5F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$12 500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2515222D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76266615" w14:textId="553D2083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Dorset</w:t>
            </w:r>
          </w:p>
        </w:tc>
        <w:tc>
          <w:tcPr>
            <w:tcW w:w="1271" w:type="dxa"/>
          </w:tcPr>
          <w:p w14:paraId="3A2731BC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$2 250</w:t>
            </w:r>
          </w:p>
        </w:tc>
      </w:tr>
      <w:tr w:rsidR="00926D14" w:rsidRPr="006F4495" w14:paraId="2F8E66A1" w14:textId="77777777" w:rsidTr="00926D14">
        <w:tc>
          <w:tcPr>
            <w:tcW w:w="3256" w:type="dxa"/>
          </w:tcPr>
          <w:p w14:paraId="351ACB0C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West Tamar</w:t>
            </w:r>
          </w:p>
        </w:tc>
        <w:tc>
          <w:tcPr>
            <w:tcW w:w="1275" w:type="dxa"/>
          </w:tcPr>
          <w:p w14:paraId="5FEC4AF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$12 500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6A7A8666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07051478" w14:textId="36CCD0FF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Glamorgan/Spring Bay South</w:t>
            </w:r>
          </w:p>
        </w:tc>
        <w:tc>
          <w:tcPr>
            <w:tcW w:w="1271" w:type="dxa"/>
          </w:tcPr>
          <w:p w14:paraId="68EEE32F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$1 875</w:t>
            </w:r>
          </w:p>
        </w:tc>
      </w:tr>
      <w:tr w:rsidR="00926D14" w:rsidRPr="006F4495" w14:paraId="43D24442" w14:textId="77777777" w:rsidTr="00926D14">
        <w:tc>
          <w:tcPr>
            <w:tcW w:w="3256" w:type="dxa"/>
          </w:tcPr>
          <w:p w14:paraId="0503FF31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Meander Valley</w:t>
            </w:r>
          </w:p>
        </w:tc>
        <w:tc>
          <w:tcPr>
            <w:tcW w:w="1275" w:type="dxa"/>
          </w:tcPr>
          <w:p w14:paraId="05619FF8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$12 500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2DE4ACB7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0D42A42B" w14:textId="7982E6FF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Bruny Island</w:t>
            </w:r>
          </w:p>
        </w:tc>
        <w:tc>
          <w:tcPr>
            <w:tcW w:w="1271" w:type="dxa"/>
          </w:tcPr>
          <w:p w14:paraId="50A0CC81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$1 000</w:t>
            </w:r>
          </w:p>
        </w:tc>
      </w:tr>
      <w:tr w:rsidR="00926D14" w:rsidRPr="006F4495" w14:paraId="2C2B3D95" w14:textId="77777777" w:rsidTr="00926D14">
        <w:tc>
          <w:tcPr>
            <w:tcW w:w="3256" w:type="dxa"/>
          </w:tcPr>
          <w:p w14:paraId="7491782E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Circular Head</w:t>
            </w:r>
          </w:p>
        </w:tc>
        <w:tc>
          <w:tcPr>
            <w:tcW w:w="1275" w:type="dxa"/>
          </w:tcPr>
          <w:p w14:paraId="0BBC859C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$11 250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1EA083C3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5A5E5FC0" w14:textId="38C2A77F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Central Highlands</w:t>
            </w:r>
          </w:p>
        </w:tc>
        <w:tc>
          <w:tcPr>
            <w:tcW w:w="1271" w:type="dxa"/>
          </w:tcPr>
          <w:p w14:paraId="718C3DC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$1 000</w:t>
            </w:r>
          </w:p>
        </w:tc>
      </w:tr>
      <w:tr w:rsidR="00926D14" w:rsidRPr="006F4495" w14:paraId="781D686D" w14:textId="77777777" w:rsidTr="00926D14">
        <w:tc>
          <w:tcPr>
            <w:tcW w:w="3256" w:type="dxa"/>
          </w:tcPr>
          <w:p w14:paraId="11E656D2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Break O’Day</w:t>
            </w:r>
          </w:p>
        </w:tc>
        <w:tc>
          <w:tcPr>
            <w:tcW w:w="1275" w:type="dxa"/>
          </w:tcPr>
          <w:p w14:paraId="4C9D7A06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 w:rsidRPr="006F4495">
              <w:rPr>
                <w:rFonts w:ascii="Gill Sans MT" w:hAnsi="Gill Sans MT"/>
              </w:rPr>
              <w:t>$10 800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7EA8EE9C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505F19D0" w14:textId="0EEB946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Flinders Island</w:t>
            </w:r>
          </w:p>
        </w:tc>
        <w:tc>
          <w:tcPr>
            <w:tcW w:w="1271" w:type="dxa"/>
          </w:tcPr>
          <w:p w14:paraId="6B6E0E0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$1 000</w:t>
            </w:r>
          </w:p>
        </w:tc>
      </w:tr>
      <w:tr w:rsidR="00926D14" w:rsidRPr="006F4495" w14:paraId="20179A78" w14:textId="77777777" w:rsidTr="00926D14">
        <w:tc>
          <w:tcPr>
            <w:tcW w:w="3256" w:type="dxa"/>
          </w:tcPr>
          <w:p w14:paraId="1B3C12DD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New Norfolk</w:t>
            </w:r>
          </w:p>
        </w:tc>
        <w:tc>
          <w:tcPr>
            <w:tcW w:w="1275" w:type="dxa"/>
          </w:tcPr>
          <w:p w14:paraId="6AAC6619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$10 800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1718827E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72D5C7A9" w14:textId="31D6C38B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King Island</w:t>
            </w:r>
          </w:p>
        </w:tc>
        <w:tc>
          <w:tcPr>
            <w:tcW w:w="1271" w:type="dxa"/>
          </w:tcPr>
          <w:p w14:paraId="0E59A4E5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$1 000</w:t>
            </w:r>
          </w:p>
        </w:tc>
      </w:tr>
      <w:tr w:rsidR="00926D14" w:rsidRPr="006F4495" w14:paraId="60222511" w14:textId="77777777" w:rsidTr="00926D14">
        <w:tc>
          <w:tcPr>
            <w:tcW w:w="3256" w:type="dxa"/>
          </w:tcPr>
          <w:p w14:paraId="448DA6B0" w14:textId="77777777" w:rsidR="00926D14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Huon Valley</w:t>
            </w:r>
          </w:p>
        </w:tc>
        <w:tc>
          <w:tcPr>
            <w:tcW w:w="1275" w:type="dxa"/>
          </w:tcPr>
          <w:p w14:paraId="09409784" w14:textId="77777777" w:rsidR="00926D14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$7 500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14:paraId="5D3C038D" w14:textId="77777777" w:rsidR="00926D14" w:rsidRDefault="00926D14" w:rsidP="00583157">
            <w:pPr>
              <w:rPr>
                <w:rFonts w:ascii="Gill Sans MT" w:hAnsi="Gill Sans MT"/>
              </w:rPr>
            </w:pPr>
          </w:p>
        </w:tc>
        <w:tc>
          <w:tcPr>
            <w:tcW w:w="3077" w:type="dxa"/>
          </w:tcPr>
          <w:p w14:paraId="0E0153CF" w14:textId="2252CAD5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West Coast</w:t>
            </w:r>
          </w:p>
        </w:tc>
        <w:tc>
          <w:tcPr>
            <w:tcW w:w="1271" w:type="dxa"/>
          </w:tcPr>
          <w:p w14:paraId="63F8F028" w14:textId="77777777" w:rsidR="00926D14" w:rsidRPr="006F4495" w:rsidRDefault="00926D14" w:rsidP="0058315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$1 000</w:t>
            </w:r>
          </w:p>
        </w:tc>
      </w:tr>
    </w:tbl>
    <w:p w14:paraId="416ED158" w14:textId="77777777" w:rsidR="00926D14" w:rsidRDefault="00926D14" w:rsidP="00B1685E"/>
    <w:p w14:paraId="271B7789" w14:textId="48D8D0AA" w:rsidR="00A26027" w:rsidRDefault="00567BD5" w:rsidP="00B1685E">
      <w:r>
        <w:t xml:space="preserve">To obtain an information pack and application </w:t>
      </w:r>
      <w:r w:rsidR="00B1685E">
        <w:t xml:space="preserve">form </w:t>
      </w:r>
      <w:r w:rsidR="00926D14">
        <w:t xml:space="preserve">to purchase an OOTL for a specific </w:t>
      </w:r>
      <w:r w:rsidR="00A26027">
        <w:t xml:space="preserve">taxi </w:t>
      </w:r>
      <w:r w:rsidR="00926D14">
        <w:t xml:space="preserve">area </w:t>
      </w:r>
      <w:r w:rsidR="00A26027">
        <w:t xml:space="preserve">please send an </w:t>
      </w:r>
      <w:r w:rsidR="00B1685E">
        <w:t xml:space="preserve">email </w:t>
      </w:r>
      <w:r w:rsidR="00A26027">
        <w:t xml:space="preserve">to </w:t>
      </w:r>
      <w:hyperlink r:id="rId9" w:history="1">
        <w:r w:rsidR="00A26027" w:rsidRPr="00925FF2">
          <w:rPr>
            <w:rStyle w:val="Hyperlink"/>
          </w:rPr>
          <w:t>operator.accreditation@stategrowth.tas.gov.au</w:t>
        </w:r>
      </w:hyperlink>
      <w:r w:rsidR="00A26027">
        <w:t xml:space="preserve"> </w:t>
      </w:r>
    </w:p>
    <w:p w14:paraId="5B7D9395" w14:textId="77777777" w:rsidR="00D925EF" w:rsidRDefault="000D36F2" w:rsidP="00D533ED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Annual administration fee for taxi and luxury hire car (LHC) licences</w:t>
      </w:r>
    </w:p>
    <w:p w14:paraId="7B93921E" w14:textId="03123C8C" w:rsidR="00362B97" w:rsidRDefault="00B1685E" w:rsidP="00D533ED">
      <w:pPr>
        <w:spacing w:before="200" w:after="120"/>
      </w:pPr>
      <w:r>
        <w:t xml:space="preserve">The </w:t>
      </w:r>
      <w:r w:rsidR="000D36F2">
        <w:t xml:space="preserve">annual administration fee is due to be paid by Friday 29 March 2019.  If </w:t>
      </w:r>
      <w:r w:rsidR="00E4303E">
        <w:t>un</w:t>
      </w:r>
      <w:r w:rsidR="000D36F2">
        <w:t xml:space="preserve">paid </w:t>
      </w:r>
      <w:r>
        <w:t>by close of business on that day</w:t>
      </w:r>
      <w:r w:rsidR="00E4303E">
        <w:t>,</w:t>
      </w:r>
      <w:r>
        <w:t xml:space="preserve"> </w:t>
      </w:r>
      <w:r w:rsidR="000D36F2">
        <w:t>then the</w:t>
      </w:r>
      <w:r>
        <w:t xml:space="preserve"> relevant</w:t>
      </w:r>
      <w:r w:rsidR="000D36F2">
        <w:t xml:space="preserve"> licence will lapse.  You are not allowed to operate a taxi or LHC service</w:t>
      </w:r>
      <w:r w:rsidR="00E4303E">
        <w:t xml:space="preserve"> using</w:t>
      </w:r>
      <w:r w:rsidR="000D36F2">
        <w:t xml:space="preserve"> </w:t>
      </w:r>
      <w:r w:rsidR="00E4303E">
        <w:t>a</w:t>
      </w:r>
      <w:r w:rsidR="000D36F2">
        <w:t xml:space="preserve"> licence </w:t>
      </w:r>
      <w:r w:rsidR="00E4303E">
        <w:t>that has</w:t>
      </w:r>
      <w:r w:rsidR="000D36F2">
        <w:t xml:space="preserve"> lapsed.</w:t>
      </w:r>
    </w:p>
    <w:p w14:paraId="675984AE" w14:textId="23452804" w:rsidR="00C5300A" w:rsidRDefault="00B1685E" w:rsidP="00926D14">
      <w:pPr>
        <w:spacing w:before="200" w:after="120"/>
        <w:ind w:right="-567"/>
        <w:rPr>
          <w:rStyle w:val="Hyperlink"/>
        </w:rPr>
      </w:pPr>
      <w:r>
        <w:t>A notice will be sent to holders of taxi and LHC licences about the fee</w:t>
      </w:r>
      <w:r w:rsidR="00926D14">
        <w:t>.</w:t>
      </w:r>
      <w:r>
        <w:t xml:space="preserve">  </w:t>
      </w:r>
      <w:r w:rsidR="000D36F2">
        <w:t xml:space="preserve">If you don’t receive a notice by the end of February, you should </w:t>
      </w:r>
      <w:r w:rsidR="00926D14">
        <w:t xml:space="preserve">email  </w:t>
      </w:r>
      <w:hyperlink r:id="rId10" w:history="1">
        <w:r w:rsidR="00E4303E" w:rsidRPr="00925FF2">
          <w:rPr>
            <w:rStyle w:val="Hyperlink"/>
          </w:rPr>
          <w:t>operator.accreditation@stategrowth.tas.gov.au</w:t>
        </w:r>
      </w:hyperlink>
    </w:p>
    <w:p w14:paraId="15296102" w14:textId="77777777" w:rsidR="00926D14" w:rsidRDefault="00926D14" w:rsidP="00926D14">
      <w:pPr>
        <w:spacing w:before="200" w:after="120"/>
        <w:ind w:right="-567"/>
        <w:rPr>
          <w:rStyle w:val="Hyperlink"/>
        </w:rPr>
      </w:pPr>
    </w:p>
    <w:p w14:paraId="7043E3BF" w14:textId="77777777" w:rsidR="00D52A37" w:rsidRDefault="00D52A37" w:rsidP="00E47546">
      <w:pPr>
        <w:spacing w:before="200" w:after="120"/>
        <w:ind w:right="-284"/>
        <w:rPr>
          <w:rStyle w:val="Hyperlink"/>
        </w:rPr>
      </w:pPr>
    </w:p>
    <w:p w14:paraId="7784FCBC" w14:textId="77777777" w:rsidR="00D52A37" w:rsidRDefault="00D52A37" w:rsidP="00E47546">
      <w:pPr>
        <w:spacing w:before="200" w:after="120"/>
        <w:ind w:right="-284"/>
      </w:pPr>
    </w:p>
    <w:p w14:paraId="43E0BD4B" w14:textId="77777777" w:rsidR="00362B97" w:rsidRPr="00362B97" w:rsidRDefault="00362B97" w:rsidP="00362B97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 w:rsidRPr="00362B97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lastRenderedPageBreak/>
        <w:t>Taxi and Hire Vehicle Industries Regulatory Review</w:t>
      </w:r>
    </w:p>
    <w:p w14:paraId="1FCACFF9" w14:textId="0BC32BD3" w:rsidR="00B1685E" w:rsidRDefault="00362B97" w:rsidP="00362B97">
      <w:r>
        <w:t xml:space="preserve">Consultation on the proposed framework was undertaken </w:t>
      </w:r>
      <w:r w:rsidR="00E4303E">
        <w:t>from</w:t>
      </w:r>
      <w:r>
        <w:t xml:space="preserve"> Sunday 30 September to Saturday 24 November 2018 with 74 written submissions received and forums held in Hobart, Launceston and Ulverstone.  </w:t>
      </w:r>
    </w:p>
    <w:p w14:paraId="4299423F" w14:textId="77777777" w:rsidR="00362B97" w:rsidRDefault="00362B97" w:rsidP="00362B97">
      <w:r>
        <w:t>The Department of State Growth (State Growth) would like to thank all stakeholders who attended a forum and/or made a written submission.  Feedback received from the consultation process will be invaluable in completing the reforms of the on-demand passenger transport industry.</w:t>
      </w:r>
    </w:p>
    <w:p w14:paraId="0C8F4CF9" w14:textId="77777777" w:rsidR="00362B97" w:rsidRDefault="00362B97" w:rsidP="00362B97">
      <w:r>
        <w:t xml:space="preserve">All submissions have been published on State Growth’s website at: </w:t>
      </w:r>
      <w:hyperlink r:id="rId11" w:history="1">
        <w:r w:rsidRPr="00362B97">
          <w:rPr>
            <w:rStyle w:val="Hyperlink"/>
            <w:rFonts w:eastAsia="Times New Roman" w:cs="Arial"/>
            <w:u w:val="none"/>
          </w:rPr>
          <w:t>www.stategrowth.tas.gov.au/taxireview</w:t>
        </w:r>
      </w:hyperlink>
      <w:r>
        <w:t xml:space="preserve"> except those where the author requested that their submission be treated as confidential and not be published.  A consultation summary paper has been prepared and is also available on the website.  The paper outlines the key themes raised through consultation.</w:t>
      </w:r>
    </w:p>
    <w:p w14:paraId="70889703" w14:textId="77777777" w:rsidR="00362B97" w:rsidRPr="00362B97" w:rsidRDefault="00362B97" w:rsidP="00B1685E">
      <w:pPr>
        <w:ind w:right="-425"/>
        <w:rPr>
          <w:rStyle w:val="Hyperlink"/>
          <w:rFonts w:eastAsia="Times New Roman" w:cs="Arial"/>
          <w:u w:val="none"/>
        </w:rPr>
      </w:pPr>
      <w:r>
        <w:t xml:space="preserve">If you have any questions about the consultation or the Review, please contact: </w:t>
      </w:r>
      <w:hyperlink r:id="rId12" w:history="1">
        <w:r w:rsidR="00B1685E" w:rsidRPr="00440A9A">
          <w:rPr>
            <w:rStyle w:val="Hyperlink"/>
            <w:rFonts w:eastAsia="Times New Roman" w:cs="Arial"/>
          </w:rPr>
          <w:t>taxireview@stategrowth.tas.gov.au.</w:t>
        </w:r>
      </w:hyperlink>
    </w:p>
    <w:p w14:paraId="431654E3" w14:textId="240734E5" w:rsidR="00984D44" w:rsidRDefault="002C7E70" w:rsidP="00D533ED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New auditors approved by the Transport Commission</w:t>
      </w:r>
      <w:r w:rsidR="00926D14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 (Commission)</w:t>
      </w:r>
    </w:p>
    <w:p w14:paraId="4157DD4E" w14:textId="617C24A3" w:rsidR="00926D14" w:rsidRDefault="00926D14" w:rsidP="00D533ED">
      <w:pPr>
        <w:spacing w:before="200" w:after="120"/>
      </w:pPr>
      <w:r>
        <w:t>A condition</w:t>
      </w:r>
      <w:r w:rsidR="002C7E70">
        <w:t xml:space="preserve"> of accreditation requires</w:t>
      </w:r>
      <w:r w:rsidR="00B1685E">
        <w:t xml:space="preserve"> passenger transport service</w:t>
      </w:r>
      <w:r w:rsidR="002C7E70">
        <w:t xml:space="preserve"> operators to supply an audit report from an auditor approved to the Commission by a specified date at regular, scheduled intervals.   </w:t>
      </w:r>
    </w:p>
    <w:p w14:paraId="4AC3599D" w14:textId="6DC05CCB" w:rsidR="00B1685E" w:rsidRDefault="002C7E70" w:rsidP="00D533ED">
      <w:pPr>
        <w:spacing w:before="200" w:after="120"/>
      </w:pPr>
      <w:r>
        <w:t xml:space="preserve">Audit reports provide the Commission with information about the </w:t>
      </w:r>
      <w:r w:rsidR="00B1685E">
        <w:t xml:space="preserve">safety, security and related </w:t>
      </w:r>
      <w:r>
        <w:t xml:space="preserve">systems </w:t>
      </w:r>
      <w:r w:rsidR="00B1685E">
        <w:t xml:space="preserve">that </w:t>
      </w:r>
      <w:r>
        <w:t xml:space="preserve">an operator has in place to </w:t>
      </w:r>
      <w:r w:rsidR="00B1685E">
        <w:t>determine the level of conformance to the Accreditation Standards for their</w:t>
      </w:r>
      <w:r>
        <w:t xml:space="preserve"> service</w:t>
      </w:r>
      <w:r w:rsidR="00B1685E">
        <w:t>.  The Accreditation Standards set the minimum sta</w:t>
      </w:r>
      <w:r w:rsidR="00926D14">
        <w:t>ndards to ensure a safe service.</w:t>
      </w:r>
    </w:p>
    <w:p w14:paraId="4351AB02" w14:textId="4B3E9492" w:rsidR="00362B97" w:rsidRDefault="00362B97" w:rsidP="00D533ED">
      <w:pPr>
        <w:spacing w:before="200" w:after="120"/>
      </w:pPr>
      <w:r>
        <w:t xml:space="preserve">Operators should make an appointment for an audit with enough time to ensure the audit report will be supplied to the Commission before the due date.  </w:t>
      </w:r>
      <w:r w:rsidR="00926D14">
        <w:t xml:space="preserve">Failure to </w:t>
      </w:r>
      <w:r>
        <w:t xml:space="preserve">supply an audit report </w:t>
      </w:r>
      <w:r w:rsidR="00926D14">
        <w:t>leads to contravention of</w:t>
      </w:r>
      <w:r>
        <w:t xml:space="preserve"> a condition of accreditation </w:t>
      </w:r>
      <w:r w:rsidR="00926D14">
        <w:t xml:space="preserve">which is an offence under the </w:t>
      </w:r>
      <w:r w:rsidR="00926D14" w:rsidRPr="00926D14">
        <w:rPr>
          <w:i/>
        </w:rPr>
        <w:t>Passenger Transport Services Act 2011</w:t>
      </w:r>
      <w:r>
        <w:t>.</w:t>
      </w:r>
    </w:p>
    <w:p w14:paraId="2F1A56CD" w14:textId="16F5A20C" w:rsidR="00AD795C" w:rsidRDefault="00926D14" w:rsidP="00B1685E">
      <w:pPr>
        <w:spacing w:before="200" w:after="120"/>
        <w:ind w:right="-567"/>
      </w:pPr>
      <w:r>
        <w:t xml:space="preserve">Recently, the Commission has approved some </w:t>
      </w:r>
      <w:r w:rsidR="00E4303E">
        <w:t>additional</w:t>
      </w:r>
      <w:r>
        <w:t xml:space="preserve"> auditors.</w:t>
      </w:r>
      <w:r w:rsidR="00362B97">
        <w:t xml:space="preserve">  </w:t>
      </w:r>
      <w:r w:rsidR="002C7E70">
        <w:t xml:space="preserve">The updated list of approved auditors is available </w:t>
      </w:r>
      <w:r>
        <w:t xml:space="preserve">at: </w:t>
      </w:r>
      <w:hyperlink r:id="rId13" w:history="1">
        <w:r w:rsidR="00B1685E" w:rsidRPr="00440A9A">
          <w:rPr>
            <w:rStyle w:val="Hyperlink"/>
          </w:rPr>
          <w:t>https://www.transport.tas.gov.au/passenger/operator_and_passenger_information/operators</w:t>
        </w:r>
      </w:hyperlink>
    </w:p>
    <w:p w14:paraId="2080BF9B" w14:textId="77777777" w:rsidR="00387C51" w:rsidRDefault="00387C51" w:rsidP="00084ED9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>Taxis and the community</w:t>
      </w:r>
    </w:p>
    <w:p w14:paraId="06435B94" w14:textId="504AB381" w:rsidR="007D1967" w:rsidRDefault="007D1967" w:rsidP="00084ED9">
      <w:pPr>
        <w:spacing w:before="200" w:after="120"/>
      </w:pPr>
      <w:r>
        <w:t>Taxis are an important part of Tasmania’s passenger transport system by</w:t>
      </w:r>
      <w:r w:rsidR="00B82B45">
        <w:t xml:space="preserve"> supporting improved accessibility</w:t>
      </w:r>
      <w:r>
        <w:t xml:space="preserve">, especially for the aged and persons living with a disability.   </w:t>
      </w:r>
      <w:r w:rsidR="00480B80">
        <w:t xml:space="preserve">General information about taxis is available at: </w:t>
      </w:r>
      <w:hyperlink r:id="rId14" w:history="1">
        <w:r w:rsidR="00480B80" w:rsidRPr="00C61EF9">
          <w:rPr>
            <w:rStyle w:val="Hyperlink"/>
          </w:rPr>
          <w:t>https://www.transport.tas.gov.au/passenger/taxis_and_hire_vehicles/taxi</w:t>
        </w:r>
      </w:hyperlink>
      <w:r w:rsidR="00480B80">
        <w:t xml:space="preserve">  </w:t>
      </w:r>
    </w:p>
    <w:p w14:paraId="1CFEA917" w14:textId="7F8DB4F6" w:rsidR="00926D14" w:rsidRDefault="00480B80" w:rsidP="00084ED9">
      <w:pPr>
        <w:spacing w:before="200" w:after="120"/>
      </w:pPr>
      <w:r>
        <w:t>One way to build a good reputation as an industry is to ensure that drivers are knowledgeable about the rules such as, a passenger does not have to take the first cab from a rank an</w:t>
      </w:r>
      <w:r w:rsidR="00E4303E">
        <w:t xml:space="preserve">d a driver can’t refuse a fare </w:t>
      </w:r>
      <w:r>
        <w:t>unless the person might be a threat to their safety or</w:t>
      </w:r>
      <w:r w:rsidR="00E4303E">
        <w:t xml:space="preserve"> the safe operation of the taxi</w:t>
      </w:r>
      <w:r>
        <w:t>.</w:t>
      </w:r>
      <w:r w:rsidR="00D52A37">
        <w:t xml:space="preserve">  </w:t>
      </w:r>
    </w:p>
    <w:p w14:paraId="6932F4B9" w14:textId="53620737" w:rsidR="00480B80" w:rsidRPr="00B82B45" w:rsidRDefault="00480B80" w:rsidP="00084ED9">
      <w:pPr>
        <w:spacing w:before="200" w:after="120"/>
      </w:pPr>
      <w:r>
        <w:t xml:space="preserve">The law also says that a taxi cannot stand or park on a public street unless it is in a taxi zone, picking up or dropping off passengers or is prominently displaying a ‘not for hire’ sign.  </w:t>
      </w:r>
      <w:r w:rsidR="00835986">
        <w:t xml:space="preserve">Parking on the street near busy places such as shopping centres when not for hire takes up valuable parking spaces which may be needed by people who have a disability or other needs.  </w:t>
      </w:r>
    </w:p>
    <w:p w14:paraId="3D4F33BC" w14:textId="77777777" w:rsidR="00926D14" w:rsidRDefault="00160AB6" w:rsidP="00926D14">
      <w:pPr>
        <w:spacing w:before="200" w:after="120"/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</w:pPr>
      <w:r w:rsidRPr="00FF0AA5">
        <w:rPr>
          <w:rFonts w:ascii="Gill Sans MT" w:eastAsiaTheme="majorEastAsia" w:hAnsi="Gill Sans MT" w:cstheme="majorBidi"/>
          <w:color w:val="2E74B5" w:themeColor="accent1" w:themeShade="BF"/>
          <w:sz w:val="32"/>
          <w:szCs w:val="32"/>
        </w:rPr>
        <w:t xml:space="preserve">Regulations and Concessions Unit </w:t>
      </w:r>
    </w:p>
    <w:p w14:paraId="71B519D1" w14:textId="22808DD0" w:rsidR="00A00FEF" w:rsidRPr="00D533ED" w:rsidRDefault="00926D14" w:rsidP="00926D14">
      <w:pPr>
        <w:spacing w:before="200" w:after="120"/>
        <w:rPr>
          <w:rFonts w:cs="Arial"/>
        </w:rPr>
      </w:pPr>
      <w:r>
        <w:rPr>
          <w:rFonts w:eastAsia="Times New Roman" w:cs="Arial"/>
          <w:color w:val="000000"/>
        </w:rPr>
        <w:t>To contact Regulations and Concessions email</w:t>
      </w:r>
      <w:r w:rsidR="00160AB6" w:rsidRPr="00D65413">
        <w:rPr>
          <w:rFonts w:eastAsia="Times New Roman" w:cs="Arial"/>
          <w:color w:val="000000"/>
        </w:rPr>
        <w:t xml:space="preserve">: </w:t>
      </w:r>
      <w:r w:rsidR="00160AB6" w:rsidRPr="00D65413">
        <w:rPr>
          <w:rFonts w:eastAsia="Times New Roman" w:cs="Arial"/>
          <w:color w:val="000000"/>
        </w:rPr>
        <w:tab/>
      </w:r>
      <w:hyperlink r:id="rId15" w:history="1">
        <w:r w:rsidR="00160AB6" w:rsidRPr="00D65413">
          <w:rPr>
            <w:rStyle w:val="Hyperlink"/>
            <w:rFonts w:eastAsia="Times New Roman" w:cs="Arial"/>
          </w:rPr>
          <w:t>operator.accreditation@stategrowth.tas.gov.au</w:t>
        </w:r>
      </w:hyperlink>
    </w:p>
    <w:sectPr w:rsidR="00A00FEF" w:rsidRPr="00D533ED" w:rsidSect="00595EC5">
      <w:headerReference w:type="first" r:id="rId16"/>
      <w:pgSz w:w="11906" w:h="16838"/>
      <w:pgMar w:top="1418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A4E83" w14:textId="77777777" w:rsidR="005B108A" w:rsidRDefault="005B108A" w:rsidP="00884DC0">
      <w:pPr>
        <w:spacing w:after="0" w:line="240" w:lineRule="auto"/>
      </w:pPr>
      <w:r>
        <w:separator/>
      </w:r>
    </w:p>
  </w:endnote>
  <w:endnote w:type="continuationSeparator" w:id="0">
    <w:p w14:paraId="6136A36D" w14:textId="77777777" w:rsidR="005B108A" w:rsidRDefault="005B108A" w:rsidP="0088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 Std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llSansMTStd-Light">
    <w:altName w:val="Gill Sans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17B19" w14:textId="77777777" w:rsidR="005B108A" w:rsidRDefault="005B108A" w:rsidP="00884DC0">
      <w:pPr>
        <w:spacing w:after="0" w:line="240" w:lineRule="auto"/>
      </w:pPr>
      <w:r>
        <w:separator/>
      </w:r>
    </w:p>
  </w:footnote>
  <w:footnote w:type="continuationSeparator" w:id="0">
    <w:p w14:paraId="60B7B1D0" w14:textId="77777777" w:rsidR="005B108A" w:rsidRDefault="005B108A" w:rsidP="0088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41DC" w14:textId="77777777" w:rsidR="00B51604" w:rsidRDefault="00B51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F3"/>
    <w:multiLevelType w:val="hybridMultilevel"/>
    <w:tmpl w:val="6A28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824"/>
    <w:multiLevelType w:val="hybridMultilevel"/>
    <w:tmpl w:val="140C991A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F7B17"/>
    <w:multiLevelType w:val="hybridMultilevel"/>
    <w:tmpl w:val="DA22F3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3684D"/>
    <w:multiLevelType w:val="hybridMultilevel"/>
    <w:tmpl w:val="36387EBE"/>
    <w:lvl w:ilvl="0" w:tplc="CADCD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0FE"/>
    <w:multiLevelType w:val="hybridMultilevel"/>
    <w:tmpl w:val="2C229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7DF6"/>
    <w:multiLevelType w:val="hybridMultilevel"/>
    <w:tmpl w:val="59B87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155"/>
    <w:multiLevelType w:val="hybridMultilevel"/>
    <w:tmpl w:val="9CFAC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7FF5"/>
    <w:multiLevelType w:val="hybridMultilevel"/>
    <w:tmpl w:val="3018687E"/>
    <w:lvl w:ilvl="0" w:tplc="77D6C37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0C25"/>
    <w:multiLevelType w:val="hybridMultilevel"/>
    <w:tmpl w:val="52621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68A6"/>
    <w:multiLevelType w:val="hybridMultilevel"/>
    <w:tmpl w:val="F0E2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6522"/>
    <w:multiLevelType w:val="hybridMultilevel"/>
    <w:tmpl w:val="8FF08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BBA"/>
    <w:multiLevelType w:val="hybridMultilevel"/>
    <w:tmpl w:val="4E7C7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1655"/>
    <w:multiLevelType w:val="hybridMultilevel"/>
    <w:tmpl w:val="6264F7F0"/>
    <w:lvl w:ilvl="0" w:tplc="01EE508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E0636"/>
    <w:multiLevelType w:val="hybridMultilevel"/>
    <w:tmpl w:val="016C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9193F"/>
    <w:multiLevelType w:val="hybridMultilevel"/>
    <w:tmpl w:val="7B9EF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42479"/>
    <w:multiLevelType w:val="hybridMultilevel"/>
    <w:tmpl w:val="F31A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A3BE1"/>
    <w:multiLevelType w:val="hybridMultilevel"/>
    <w:tmpl w:val="AE686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C2717"/>
    <w:multiLevelType w:val="hybridMultilevel"/>
    <w:tmpl w:val="5C72FED8"/>
    <w:lvl w:ilvl="0" w:tplc="09321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2075"/>
    <w:multiLevelType w:val="hybridMultilevel"/>
    <w:tmpl w:val="A3CC7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140F"/>
    <w:multiLevelType w:val="hybridMultilevel"/>
    <w:tmpl w:val="5C14C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6D8B"/>
    <w:multiLevelType w:val="hybridMultilevel"/>
    <w:tmpl w:val="7D3256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9525D"/>
    <w:multiLevelType w:val="hybridMultilevel"/>
    <w:tmpl w:val="D10684D4"/>
    <w:lvl w:ilvl="0" w:tplc="40FC5672"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C011B"/>
    <w:multiLevelType w:val="hybridMultilevel"/>
    <w:tmpl w:val="3866F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CE7"/>
    <w:multiLevelType w:val="hybridMultilevel"/>
    <w:tmpl w:val="914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A7DD1"/>
    <w:multiLevelType w:val="hybridMultilevel"/>
    <w:tmpl w:val="1518A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32504"/>
    <w:multiLevelType w:val="hybridMultilevel"/>
    <w:tmpl w:val="6B46C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854E4"/>
    <w:multiLevelType w:val="hybridMultilevel"/>
    <w:tmpl w:val="0E2A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D021B"/>
    <w:multiLevelType w:val="hybridMultilevel"/>
    <w:tmpl w:val="DE341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25408"/>
    <w:multiLevelType w:val="hybridMultilevel"/>
    <w:tmpl w:val="08B8F68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C822650"/>
    <w:multiLevelType w:val="hybridMultilevel"/>
    <w:tmpl w:val="3A8EC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A2672"/>
    <w:multiLevelType w:val="hybridMultilevel"/>
    <w:tmpl w:val="1D06E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1380D"/>
    <w:multiLevelType w:val="hybridMultilevel"/>
    <w:tmpl w:val="2CAC2A30"/>
    <w:lvl w:ilvl="0" w:tplc="8A2E7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F059A"/>
    <w:multiLevelType w:val="hybridMultilevel"/>
    <w:tmpl w:val="0644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207D"/>
    <w:multiLevelType w:val="hybridMultilevel"/>
    <w:tmpl w:val="0FFA4C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65508"/>
    <w:multiLevelType w:val="hybridMultilevel"/>
    <w:tmpl w:val="AB74286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AD61E2"/>
    <w:multiLevelType w:val="hybridMultilevel"/>
    <w:tmpl w:val="45067090"/>
    <w:lvl w:ilvl="0" w:tplc="10D2C7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851B6"/>
    <w:multiLevelType w:val="hybridMultilevel"/>
    <w:tmpl w:val="0D5CCA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6322FC5"/>
    <w:multiLevelType w:val="hybridMultilevel"/>
    <w:tmpl w:val="B3EA9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A5110"/>
    <w:multiLevelType w:val="hybridMultilevel"/>
    <w:tmpl w:val="22EC3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53EBE"/>
    <w:multiLevelType w:val="hybridMultilevel"/>
    <w:tmpl w:val="8BDAD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F5CB1"/>
    <w:multiLevelType w:val="hybridMultilevel"/>
    <w:tmpl w:val="52B67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D267A"/>
    <w:multiLevelType w:val="hybridMultilevel"/>
    <w:tmpl w:val="85242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26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31"/>
  </w:num>
  <w:num w:numId="12">
    <w:abstractNumId w:val="35"/>
  </w:num>
  <w:num w:numId="13">
    <w:abstractNumId w:val="40"/>
  </w:num>
  <w:num w:numId="14">
    <w:abstractNumId w:val="34"/>
  </w:num>
  <w:num w:numId="15">
    <w:abstractNumId w:val="27"/>
  </w:num>
  <w:num w:numId="16">
    <w:abstractNumId w:val="10"/>
  </w:num>
  <w:num w:numId="17">
    <w:abstractNumId w:val="30"/>
  </w:num>
  <w:num w:numId="18">
    <w:abstractNumId w:val="8"/>
  </w:num>
  <w:num w:numId="19">
    <w:abstractNumId w:val="20"/>
  </w:num>
  <w:num w:numId="20">
    <w:abstractNumId w:val="22"/>
  </w:num>
  <w:num w:numId="21">
    <w:abstractNumId w:val="14"/>
  </w:num>
  <w:num w:numId="22">
    <w:abstractNumId w:val="37"/>
  </w:num>
  <w:num w:numId="23">
    <w:abstractNumId w:val="33"/>
  </w:num>
  <w:num w:numId="24">
    <w:abstractNumId w:val="0"/>
  </w:num>
  <w:num w:numId="25">
    <w:abstractNumId w:val="15"/>
  </w:num>
  <w:num w:numId="26">
    <w:abstractNumId w:val="24"/>
  </w:num>
  <w:num w:numId="27">
    <w:abstractNumId w:val="25"/>
  </w:num>
  <w:num w:numId="28">
    <w:abstractNumId w:val="28"/>
  </w:num>
  <w:num w:numId="29">
    <w:abstractNumId w:val="39"/>
  </w:num>
  <w:num w:numId="30">
    <w:abstractNumId w:val="16"/>
  </w:num>
  <w:num w:numId="31">
    <w:abstractNumId w:val="4"/>
  </w:num>
  <w:num w:numId="32">
    <w:abstractNumId w:val="38"/>
  </w:num>
  <w:num w:numId="33">
    <w:abstractNumId w:val="9"/>
  </w:num>
  <w:num w:numId="34">
    <w:abstractNumId w:val="18"/>
  </w:num>
  <w:num w:numId="35">
    <w:abstractNumId w:val="23"/>
  </w:num>
  <w:num w:numId="36">
    <w:abstractNumId w:val="1"/>
  </w:num>
  <w:num w:numId="37">
    <w:abstractNumId w:val="11"/>
  </w:num>
  <w:num w:numId="38">
    <w:abstractNumId w:val="17"/>
  </w:num>
  <w:num w:numId="39">
    <w:abstractNumId w:val="36"/>
  </w:num>
  <w:num w:numId="40">
    <w:abstractNumId w:val="41"/>
  </w:num>
  <w:num w:numId="41">
    <w:abstractNumId w:val="3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7B"/>
    <w:rsid w:val="00001528"/>
    <w:rsid w:val="00002EB4"/>
    <w:rsid w:val="000034D4"/>
    <w:rsid w:val="00007328"/>
    <w:rsid w:val="00007C31"/>
    <w:rsid w:val="00012C0A"/>
    <w:rsid w:val="0002260C"/>
    <w:rsid w:val="000257A5"/>
    <w:rsid w:val="0003591A"/>
    <w:rsid w:val="00037DC4"/>
    <w:rsid w:val="000405FE"/>
    <w:rsid w:val="000416E8"/>
    <w:rsid w:val="00042178"/>
    <w:rsid w:val="000466FF"/>
    <w:rsid w:val="00050A69"/>
    <w:rsid w:val="00051B19"/>
    <w:rsid w:val="0005328B"/>
    <w:rsid w:val="00056798"/>
    <w:rsid w:val="00063880"/>
    <w:rsid w:val="00064F10"/>
    <w:rsid w:val="00067A29"/>
    <w:rsid w:val="00070267"/>
    <w:rsid w:val="0007082E"/>
    <w:rsid w:val="00073904"/>
    <w:rsid w:val="00084ED9"/>
    <w:rsid w:val="000A3A4C"/>
    <w:rsid w:val="000B3B7F"/>
    <w:rsid w:val="000D1AAD"/>
    <w:rsid w:val="000D3133"/>
    <w:rsid w:val="000D354B"/>
    <w:rsid w:val="000D36F2"/>
    <w:rsid w:val="000E4FDD"/>
    <w:rsid w:val="000E6570"/>
    <w:rsid w:val="000F62BF"/>
    <w:rsid w:val="00100F25"/>
    <w:rsid w:val="001019ED"/>
    <w:rsid w:val="00104664"/>
    <w:rsid w:val="00107647"/>
    <w:rsid w:val="001111E8"/>
    <w:rsid w:val="00113AEE"/>
    <w:rsid w:val="00114C56"/>
    <w:rsid w:val="001238A1"/>
    <w:rsid w:val="00125ADD"/>
    <w:rsid w:val="00126A9B"/>
    <w:rsid w:val="00130998"/>
    <w:rsid w:val="001315C6"/>
    <w:rsid w:val="001443B6"/>
    <w:rsid w:val="0015216A"/>
    <w:rsid w:val="00157D2E"/>
    <w:rsid w:val="00160AB6"/>
    <w:rsid w:val="00161FB9"/>
    <w:rsid w:val="001714B9"/>
    <w:rsid w:val="00185A80"/>
    <w:rsid w:val="00186CDC"/>
    <w:rsid w:val="0019020A"/>
    <w:rsid w:val="00193A5C"/>
    <w:rsid w:val="00197EE7"/>
    <w:rsid w:val="001A1BAC"/>
    <w:rsid w:val="001A2734"/>
    <w:rsid w:val="001A50E1"/>
    <w:rsid w:val="001A6A8B"/>
    <w:rsid w:val="001B2CC6"/>
    <w:rsid w:val="001C3333"/>
    <w:rsid w:val="001D207B"/>
    <w:rsid w:val="001E0474"/>
    <w:rsid w:val="001E083C"/>
    <w:rsid w:val="001E31AE"/>
    <w:rsid w:val="001E576F"/>
    <w:rsid w:val="001F3D31"/>
    <w:rsid w:val="00200110"/>
    <w:rsid w:val="00211421"/>
    <w:rsid w:val="002132C3"/>
    <w:rsid w:val="00216A6F"/>
    <w:rsid w:val="002277A0"/>
    <w:rsid w:val="002278DD"/>
    <w:rsid w:val="002338C6"/>
    <w:rsid w:val="00241F47"/>
    <w:rsid w:val="00242997"/>
    <w:rsid w:val="002503DB"/>
    <w:rsid w:val="00253A62"/>
    <w:rsid w:val="00260A39"/>
    <w:rsid w:val="00261894"/>
    <w:rsid w:val="002619A1"/>
    <w:rsid w:val="00267DD3"/>
    <w:rsid w:val="0027437B"/>
    <w:rsid w:val="002769B2"/>
    <w:rsid w:val="00297FAE"/>
    <w:rsid w:val="002A60AC"/>
    <w:rsid w:val="002B071F"/>
    <w:rsid w:val="002C08F6"/>
    <w:rsid w:val="002C2021"/>
    <w:rsid w:val="002C2D32"/>
    <w:rsid w:val="002C54CF"/>
    <w:rsid w:val="002C5C39"/>
    <w:rsid w:val="002C7E70"/>
    <w:rsid w:val="002D26E0"/>
    <w:rsid w:val="002D494C"/>
    <w:rsid w:val="002D69C9"/>
    <w:rsid w:val="002D6E69"/>
    <w:rsid w:val="002E1C22"/>
    <w:rsid w:val="002E3BA1"/>
    <w:rsid w:val="002F074A"/>
    <w:rsid w:val="002F381F"/>
    <w:rsid w:val="002F5DD5"/>
    <w:rsid w:val="002F7FEF"/>
    <w:rsid w:val="00311714"/>
    <w:rsid w:val="003142A9"/>
    <w:rsid w:val="003332F2"/>
    <w:rsid w:val="003356DD"/>
    <w:rsid w:val="00350E5B"/>
    <w:rsid w:val="00353A16"/>
    <w:rsid w:val="003612F4"/>
    <w:rsid w:val="00362B97"/>
    <w:rsid w:val="0036418C"/>
    <w:rsid w:val="0036557D"/>
    <w:rsid w:val="00370DBE"/>
    <w:rsid w:val="00370EE3"/>
    <w:rsid w:val="00382E1A"/>
    <w:rsid w:val="003830B2"/>
    <w:rsid w:val="00383C30"/>
    <w:rsid w:val="00383CD8"/>
    <w:rsid w:val="00387C51"/>
    <w:rsid w:val="003945D7"/>
    <w:rsid w:val="00394D53"/>
    <w:rsid w:val="00397566"/>
    <w:rsid w:val="003A16DF"/>
    <w:rsid w:val="003A2D6E"/>
    <w:rsid w:val="003A3689"/>
    <w:rsid w:val="003A5356"/>
    <w:rsid w:val="003A5ACC"/>
    <w:rsid w:val="003B2DE8"/>
    <w:rsid w:val="003B4A83"/>
    <w:rsid w:val="003B546D"/>
    <w:rsid w:val="003C1B09"/>
    <w:rsid w:val="003C2D64"/>
    <w:rsid w:val="003D62EA"/>
    <w:rsid w:val="003E0838"/>
    <w:rsid w:val="003E50CF"/>
    <w:rsid w:val="003F13F8"/>
    <w:rsid w:val="003F541F"/>
    <w:rsid w:val="00404A05"/>
    <w:rsid w:val="004125E8"/>
    <w:rsid w:val="00412BEC"/>
    <w:rsid w:val="00420F90"/>
    <w:rsid w:val="00432D8E"/>
    <w:rsid w:val="004337A5"/>
    <w:rsid w:val="004403F3"/>
    <w:rsid w:val="00442E84"/>
    <w:rsid w:val="00460435"/>
    <w:rsid w:val="0047507C"/>
    <w:rsid w:val="00480B80"/>
    <w:rsid w:val="00494844"/>
    <w:rsid w:val="004A5B44"/>
    <w:rsid w:val="004B4E46"/>
    <w:rsid w:val="004B62AF"/>
    <w:rsid w:val="004C1ED3"/>
    <w:rsid w:val="004D32B0"/>
    <w:rsid w:val="004D794E"/>
    <w:rsid w:val="004E0FCC"/>
    <w:rsid w:val="004E49C8"/>
    <w:rsid w:val="004E669E"/>
    <w:rsid w:val="004E6F7C"/>
    <w:rsid w:val="004F0AE7"/>
    <w:rsid w:val="004F15BD"/>
    <w:rsid w:val="004F6DC0"/>
    <w:rsid w:val="00501E2C"/>
    <w:rsid w:val="00504966"/>
    <w:rsid w:val="00505765"/>
    <w:rsid w:val="00506F66"/>
    <w:rsid w:val="00516CE9"/>
    <w:rsid w:val="00531475"/>
    <w:rsid w:val="00532C71"/>
    <w:rsid w:val="005347FB"/>
    <w:rsid w:val="0053589C"/>
    <w:rsid w:val="00537A10"/>
    <w:rsid w:val="00544441"/>
    <w:rsid w:val="00556AFD"/>
    <w:rsid w:val="00557B12"/>
    <w:rsid w:val="00567BD5"/>
    <w:rsid w:val="00573E2E"/>
    <w:rsid w:val="00577A67"/>
    <w:rsid w:val="00583157"/>
    <w:rsid w:val="005865F5"/>
    <w:rsid w:val="00590A61"/>
    <w:rsid w:val="00590CCD"/>
    <w:rsid w:val="0059106A"/>
    <w:rsid w:val="005920AB"/>
    <w:rsid w:val="00592AE0"/>
    <w:rsid w:val="00594F01"/>
    <w:rsid w:val="00595EC5"/>
    <w:rsid w:val="005A4604"/>
    <w:rsid w:val="005A7D4C"/>
    <w:rsid w:val="005B108A"/>
    <w:rsid w:val="005B2506"/>
    <w:rsid w:val="005B48D7"/>
    <w:rsid w:val="005B53DD"/>
    <w:rsid w:val="005B5619"/>
    <w:rsid w:val="005B62EC"/>
    <w:rsid w:val="005C07AE"/>
    <w:rsid w:val="005C7AD5"/>
    <w:rsid w:val="005D00DF"/>
    <w:rsid w:val="005D1DF7"/>
    <w:rsid w:val="005D5E87"/>
    <w:rsid w:val="005D7312"/>
    <w:rsid w:val="005E5066"/>
    <w:rsid w:val="005E718B"/>
    <w:rsid w:val="005F5156"/>
    <w:rsid w:val="005F6926"/>
    <w:rsid w:val="005F79BB"/>
    <w:rsid w:val="005F7AC3"/>
    <w:rsid w:val="00603208"/>
    <w:rsid w:val="006035AE"/>
    <w:rsid w:val="00614489"/>
    <w:rsid w:val="00615B49"/>
    <w:rsid w:val="00622AB2"/>
    <w:rsid w:val="00633325"/>
    <w:rsid w:val="006502AE"/>
    <w:rsid w:val="006515B1"/>
    <w:rsid w:val="00654B6B"/>
    <w:rsid w:val="0065644A"/>
    <w:rsid w:val="00671582"/>
    <w:rsid w:val="00680ADA"/>
    <w:rsid w:val="00691ED0"/>
    <w:rsid w:val="00697B90"/>
    <w:rsid w:val="006A4F88"/>
    <w:rsid w:val="006B23F6"/>
    <w:rsid w:val="006C2558"/>
    <w:rsid w:val="006C41E1"/>
    <w:rsid w:val="006D55DD"/>
    <w:rsid w:val="006E252F"/>
    <w:rsid w:val="006E7B26"/>
    <w:rsid w:val="006F2134"/>
    <w:rsid w:val="006F2AB4"/>
    <w:rsid w:val="006F4495"/>
    <w:rsid w:val="006F642E"/>
    <w:rsid w:val="0070709F"/>
    <w:rsid w:val="00707412"/>
    <w:rsid w:val="007332EF"/>
    <w:rsid w:val="00741D70"/>
    <w:rsid w:val="00743391"/>
    <w:rsid w:val="007513B6"/>
    <w:rsid w:val="00751639"/>
    <w:rsid w:val="00752557"/>
    <w:rsid w:val="00756486"/>
    <w:rsid w:val="00762A36"/>
    <w:rsid w:val="0079156A"/>
    <w:rsid w:val="00795A40"/>
    <w:rsid w:val="007A1A25"/>
    <w:rsid w:val="007A4372"/>
    <w:rsid w:val="007A60D1"/>
    <w:rsid w:val="007B05EA"/>
    <w:rsid w:val="007C5384"/>
    <w:rsid w:val="007C6312"/>
    <w:rsid w:val="007C7A53"/>
    <w:rsid w:val="007D127C"/>
    <w:rsid w:val="007D1967"/>
    <w:rsid w:val="007E1FD3"/>
    <w:rsid w:val="007E2F9F"/>
    <w:rsid w:val="007E4AB8"/>
    <w:rsid w:val="007E6792"/>
    <w:rsid w:val="007E6F14"/>
    <w:rsid w:val="007E6F23"/>
    <w:rsid w:val="007E7FF9"/>
    <w:rsid w:val="007F126E"/>
    <w:rsid w:val="007F2A35"/>
    <w:rsid w:val="007F2E35"/>
    <w:rsid w:val="007F71AA"/>
    <w:rsid w:val="00804733"/>
    <w:rsid w:val="00804C35"/>
    <w:rsid w:val="00806B4B"/>
    <w:rsid w:val="00811F70"/>
    <w:rsid w:val="008258B7"/>
    <w:rsid w:val="00827045"/>
    <w:rsid w:val="00835986"/>
    <w:rsid w:val="00836F34"/>
    <w:rsid w:val="0084542F"/>
    <w:rsid w:val="00855FCF"/>
    <w:rsid w:val="00860029"/>
    <w:rsid w:val="008648B6"/>
    <w:rsid w:val="00877D92"/>
    <w:rsid w:val="00884DC0"/>
    <w:rsid w:val="0089161B"/>
    <w:rsid w:val="0089234A"/>
    <w:rsid w:val="0089386B"/>
    <w:rsid w:val="008A28B5"/>
    <w:rsid w:val="008C1EFF"/>
    <w:rsid w:val="008E03EB"/>
    <w:rsid w:val="008E0767"/>
    <w:rsid w:val="008E4EFA"/>
    <w:rsid w:val="008F046B"/>
    <w:rsid w:val="008F0E33"/>
    <w:rsid w:val="008F1D0D"/>
    <w:rsid w:val="008F25CB"/>
    <w:rsid w:val="008F4A58"/>
    <w:rsid w:val="009000FB"/>
    <w:rsid w:val="00902948"/>
    <w:rsid w:val="00905C4F"/>
    <w:rsid w:val="0092272F"/>
    <w:rsid w:val="00926D14"/>
    <w:rsid w:val="00927A35"/>
    <w:rsid w:val="00930686"/>
    <w:rsid w:val="009323E9"/>
    <w:rsid w:val="0094074B"/>
    <w:rsid w:val="00951651"/>
    <w:rsid w:val="00952493"/>
    <w:rsid w:val="00954531"/>
    <w:rsid w:val="00954810"/>
    <w:rsid w:val="0095560D"/>
    <w:rsid w:val="00955D82"/>
    <w:rsid w:val="00956FCD"/>
    <w:rsid w:val="009635DE"/>
    <w:rsid w:val="00965A43"/>
    <w:rsid w:val="0096664F"/>
    <w:rsid w:val="00966E02"/>
    <w:rsid w:val="00967969"/>
    <w:rsid w:val="0097469F"/>
    <w:rsid w:val="0097525A"/>
    <w:rsid w:val="00983746"/>
    <w:rsid w:val="00984D44"/>
    <w:rsid w:val="00986EC7"/>
    <w:rsid w:val="00990EE0"/>
    <w:rsid w:val="0099330D"/>
    <w:rsid w:val="0099379D"/>
    <w:rsid w:val="00993A1C"/>
    <w:rsid w:val="0099630E"/>
    <w:rsid w:val="009974E0"/>
    <w:rsid w:val="00997E04"/>
    <w:rsid w:val="009A5C8A"/>
    <w:rsid w:val="009B0465"/>
    <w:rsid w:val="009B1EC1"/>
    <w:rsid w:val="009B6216"/>
    <w:rsid w:val="009B7D17"/>
    <w:rsid w:val="009C2526"/>
    <w:rsid w:val="009C4F0A"/>
    <w:rsid w:val="009C6195"/>
    <w:rsid w:val="009C74D5"/>
    <w:rsid w:val="009C7B67"/>
    <w:rsid w:val="009D6CE0"/>
    <w:rsid w:val="009E2099"/>
    <w:rsid w:val="00A00FEF"/>
    <w:rsid w:val="00A0129C"/>
    <w:rsid w:val="00A03FE8"/>
    <w:rsid w:val="00A04737"/>
    <w:rsid w:val="00A054F5"/>
    <w:rsid w:val="00A119FE"/>
    <w:rsid w:val="00A121B7"/>
    <w:rsid w:val="00A13ADB"/>
    <w:rsid w:val="00A26027"/>
    <w:rsid w:val="00A5790F"/>
    <w:rsid w:val="00A60C57"/>
    <w:rsid w:val="00A64982"/>
    <w:rsid w:val="00A64ECD"/>
    <w:rsid w:val="00A73C2A"/>
    <w:rsid w:val="00A73FAA"/>
    <w:rsid w:val="00A756B5"/>
    <w:rsid w:val="00A805F6"/>
    <w:rsid w:val="00A815A7"/>
    <w:rsid w:val="00A82734"/>
    <w:rsid w:val="00A850E3"/>
    <w:rsid w:val="00A87589"/>
    <w:rsid w:val="00A94C19"/>
    <w:rsid w:val="00A95CAF"/>
    <w:rsid w:val="00AB088E"/>
    <w:rsid w:val="00AB2435"/>
    <w:rsid w:val="00AB3192"/>
    <w:rsid w:val="00AB3EED"/>
    <w:rsid w:val="00AD0B72"/>
    <w:rsid w:val="00AD346E"/>
    <w:rsid w:val="00AD3FCE"/>
    <w:rsid w:val="00AD795C"/>
    <w:rsid w:val="00AE5659"/>
    <w:rsid w:val="00AF57A1"/>
    <w:rsid w:val="00B04C6A"/>
    <w:rsid w:val="00B1469E"/>
    <w:rsid w:val="00B15B65"/>
    <w:rsid w:val="00B1685E"/>
    <w:rsid w:val="00B3056E"/>
    <w:rsid w:val="00B3270B"/>
    <w:rsid w:val="00B4584B"/>
    <w:rsid w:val="00B51604"/>
    <w:rsid w:val="00B54877"/>
    <w:rsid w:val="00B549DE"/>
    <w:rsid w:val="00B6079F"/>
    <w:rsid w:val="00B61B65"/>
    <w:rsid w:val="00B659DC"/>
    <w:rsid w:val="00B7688C"/>
    <w:rsid w:val="00B806C6"/>
    <w:rsid w:val="00B81135"/>
    <w:rsid w:val="00B82B45"/>
    <w:rsid w:val="00B84C54"/>
    <w:rsid w:val="00B919A8"/>
    <w:rsid w:val="00BA2F10"/>
    <w:rsid w:val="00BA5DFD"/>
    <w:rsid w:val="00BB10A2"/>
    <w:rsid w:val="00BC008A"/>
    <w:rsid w:val="00BC5105"/>
    <w:rsid w:val="00BC7103"/>
    <w:rsid w:val="00BD05BE"/>
    <w:rsid w:val="00BE05D7"/>
    <w:rsid w:val="00BE1B9D"/>
    <w:rsid w:val="00BE2420"/>
    <w:rsid w:val="00BE34F6"/>
    <w:rsid w:val="00BE7830"/>
    <w:rsid w:val="00BE7B52"/>
    <w:rsid w:val="00C05CED"/>
    <w:rsid w:val="00C06B5B"/>
    <w:rsid w:val="00C12747"/>
    <w:rsid w:val="00C13523"/>
    <w:rsid w:val="00C1352B"/>
    <w:rsid w:val="00C136AF"/>
    <w:rsid w:val="00C15859"/>
    <w:rsid w:val="00C15D3A"/>
    <w:rsid w:val="00C20E61"/>
    <w:rsid w:val="00C2139E"/>
    <w:rsid w:val="00C315FF"/>
    <w:rsid w:val="00C32EA8"/>
    <w:rsid w:val="00C33CB8"/>
    <w:rsid w:val="00C35F11"/>
    <w:rsid w:val="00C43C56"/>
    <w:rsid w:val="00C51D70"/>
    <w:rsid w:val="00C525A5"/>
    <w:rsid w:val="00C5300A"/>
    <w:rsid w:val="00C57E1D"/>
    <w:rsid w:val="00C57EFE"/>
    <w:rsid w:val="00C60973"/>
    <w:rsid w:val="00C71506"/>
    <w:rsid w:val="00C71515"/>
    <w:rsid w:val="00C72032"/>
    <w:rsid w:val="00C77AF4"/>
    <w:rsid w:val="00C94F95"/>
    <w:rsid w:val="00CD0994"/>
    <w:rsid w:val="00CD5C76"/>
    <w:rsid w:val="00CE0708"/>
    <w:rsid w:val="00CE1274"/>
    <w:rsid w:val="00CE1EE9"/>
    <w:rsid w:val="00CE21A1"/>
    <w:rsid w:val="00CE3D9C"/>
    <w:rsid w:val="00CE79B1"/>
    <w:rsid w:val="00CF10C3"/>
    <w:rsid w:val="00CF26E8"/>
    <w:rsid w:val="00CF5AB0"/>
    <w:rsid w:val="00D007E8"/>
    <w:rsid w:val="00D00E8F"/>
    <w:rsid w:val="00D01AD5"/>
    <w:rsid w:val="00D02F5A"/>
    <w:rsid w:val="00D038E0"/>
    <w:rsid w:val="00D11E0A"/>
    <w:rsid w:val="00D13D36"/>
    <w:rsid w:val="00D41CCA"/>
    <w:rsid w:val="00D44495"/>
    <w:rsid w:val="00D52A37"/>
    <w:rsid w:val="00D533ED"/>
    <w:rsid w:val="00D55BB8"/>
    <w:rsid w:val="00D56B05"/>
    <w:rsid w:val="00D617A9"/>
    <w:rsid w:val="00D61CE6"/>
    <w:rsid w:val="00D65413"/>
    <w:rsid w:val="00D77F94"/>
    <w:rsid w:val="00D802FF"/>
    <w:rsid w:val="00D8109D"/>
    <w:rsid w:val="00D8659B"/>
    <w:rsid w:val="00D9174F"/>
    <w:rsid w:val="00D925EF"/>
    <w:rsid w:val="00D96169"/>
    <w:rsid w:val="00DA2B7A"/>
    <w:rsid w:val="00DA6B97"/>
    <w:rsid w:val="00DB09E6"/>
    <w:rsid w:val="00DB6764"/>
    <w:rsid w:val="00DB70DF"/>
    <w:rsid w:val="00DC679B"/>
    <w:rsid w:val="00DD2112"/>
    <w:rsid w:val="00DD25E7"/>
    <w:rsid w:val="00E065A8"/>
    <w:rsid w:val="00E078F7"/>
    <w:rsid w:val="00E10892"/>
    <w:rsid w:val="00E11CBC"/>
    <w:rsid w:val="00E26140"/>
    <w:rsid w:val="00E2660C"/>
    <w:rsid w:val="00E273F4"/>
    <w:rsid w:val="00E3433F"/>
    <w:rsid w:val="00E35E89"/>
    <w:rsid w:val="00E4179F"/>
    <w:rsid w:val="00E41B73"/>
    <w:rsid w:val="00E4303E"/>
    <w:rsid w:val="00E4496F"/>
    <w:rsid w:val="00E47546"/>
    <w:rsid w:val="00E50E87"/>
    <w:rsid w:val="00E515D9"/>
    <w:rsid w:val="00E52764"/>
    <w:rsid w:val="00E71D44"/>
    <w:rsid w:val="00E81E3F"/>
    <w:rsid w:val="00E822E8"/>
    <w:rsid w:val="00E8339F"/>
    <w:rsid w:val="00E87735"/>
    <w:rsid w:val="00EA4EBA"/>
    <w:rsid w:val="00EB0ABF"/>
    <w:rsid w:val="00EB42B7"/>
    <w:rsid w:val="00EB49ED"/>
    <w:rsid w:val="00EB4E27"/>
    <w:rsid w:val="00EC0467"/>
    <w:rsid w:val="00EC2430"/>
    <w:rsid w:val="00EC28FD"/>
    <w:rsid w:val="00ED64DB"/>
    <w:rsid w:val="00ED7E0A"/>
    <w:rsid w:val="00EE2285"/>
    <w:rsid w:val="00EE4472"/>
    <w:rsid w:val="00EE5BF9"/>
    <w:rsid w:val="00EE5E41"/>
    <w:rsid w:val="00EF0346"/>
    <w:rsid w:val="00EF2959"/>
    <w:rsid w:val="00EF3092"/>
    <w:rsid w:val="00F01BA9"/>
    <w:rsid w:val="00F12B23"/>
    <w:rsid w:val="00F16A1F"/>
    <w:rsid w:val="00F2208D"/>
    <w:rsid w:val="00F307B1"/>
    <w:rsid w:val="00F36F10"/>
    <w:rsid w:val="00F44930"/>
    <w:rsid w:val="00F526C0"/>
    <w:rsid w:val="00F5498A"/>
    <w:rsid w:val="00F63BC9"/>
    <w:rsid w:val="00F663B4"/>
    <w:rsid w:val="00F67C13"/>
    <w:rsid w:val="00F75986"/>
    <w:rsid w:val="00F83864"/>
    <w:rsid w:val="00F943C0"/>
    <w:rsid w:val="00F97788"/>
    <w:rsid w:val="00FB36F0"/>
    <w:rsid w:val="00FB72DE"/>
    <w:rsid w:val="00FB7A73"/>
    <w:rsid w:val="00FD1762"/>
    <w:rsid w:val="00FD21DE"/>
    <w:rsid w:val="00FD580E"/>
    <w:rsid w:val="00FD5A3A"/>
    <w:rsid w:val="00FD6725"/>
    <w:rsid w:val="00FE2A1A"/>
    <w:rsid w:val="00FE3F82"/>
    <w:rsid w:val="00FE49BC"/>
    <w:rsid w:val="00FE4D86"/>
    <w:rsid w:val="00FE6E87"/>
    <w:rsid w:val="00FF0AA5"/>
    <w:rsid w:val="00FF128E"/>
    <w:rsid w:val="00FF290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2ED3E"/>
  <w15:chartTrackingRefBased/>
  <w15:docId w15:val="{241E8EDD-6D15-4B51-A2D1-38239E4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37B"/>
    <w:rPr>
      <w:color w:val="0077CC"/>
      <w:u w:val="single"/>
    </w:rPr>
  </w:style>
  <w:style w:type="paragraph" w:styleId="ListParagraph">
    <w:name w:val="List Paragraph"/>
    <w:basedOn w:val="Normal"/>
    <w:uiPriority w:val="34"/>
    <w:qFormat/>
    <w:rsid w:val="001111E8"/>
    <w:pPr>
      <w:ind w:left="720"/>
      <w:contextualSpacing/>
    </w:pPr>
  </w:style>
  <w:style w:type="table" w:styleId="TableGrid">
    <w:name w:val="Table Grid"/>
    <w:basedOn w:val="TableNormal"/>
    <w:uiPriority w:val="59"/>
    <w:rsid w:val="00F7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3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A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6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0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74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473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0473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C0"/>
  </w:style>
  <w:style w:type="paragraph" w:styleId="Footer">
    <w:name w:val="footer"/>
    <w:basedOn w:val="Normal"/>
    <w:link w:val="FooterChar"/>
    <w:uiPriority w:val="99"/>
    <w:unhideWhenUsed/>
    <w:rsid w:val="0088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C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1ED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0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F5AB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7B6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B67"/>
    <w:rPr>
      <w:rFonts w:ascii="Calibri" w:hAnsi="Calibri" w:cs="Times New Roman"/>
    </w:rPr>
  </w:style>
  <w:style w:type="paragraph" w:customStyle="1" w:styleId="DSGBodytext">
    <w:name w:val="DSG Body text"/>
    <w:qFormat/>
    <w:rsid w:val="00583157"/>
    <w:pPr>
      <w:suppressAutoHyphens/>
      <w:spacing w:before="240" w:after="200" w:line="280" w:lineRule="exact"/>
    </w:pPr>
    <w:rPr>
      <w:rFonts w:ascii="Gill Sans MT Std Light" w:eastAsiaTheme="minorEastAsia" w:hAnsi="Gill Sans MT Std Light" w:cs="GillSansMTStd-Light"/>
      <w:color w:val="000000"/>
      <w:lang w:val="en-GB"/>
    </w:rPr>
  </w:style>
  <w:style w:type="table" w:styleId="PlainTable1">
    <w:name w:val="Plain Table 1"/>
    <w:basedOn w:val="TableNormal"/>
    <w:uiPriority w:val="41"/>
    <w:rsid w:val="00926D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26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ansport.tas.gov.au/passenger/operator_and_passenger_information/operato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xireview@stategrowth.tas.gov.au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growth.tas.gov.au/taxire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erator.accreditation@stategrowth.tas.gov.au" TargetMode="External"/><Relationship Id="rId10" Type="http://schemas.openxmlformats.org/officeDocument/2006/relationships/hyperlink" Target="mailto:operator.accreditation@stategrowth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or.accreditation@stategrowth.tas.gov.au" TargetMode="External"/><Relationship Id="rId14" Type="http://schemas.openxmlformats.org/officeDocument/2006/relationships/hyperlink" Target="https://www.transport.tas.gov.au/passenger/taxis_and_hire_vehicles/ta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BFBE-B245-4AA1-BE3B-54410543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Anne-Maree</dc:creator>
  <cp:keywords/>
  <dc:description/>
  <cp:lastModifiedBy>Whitty, Anna</cp:lastModifiedBy>
  <cp:revision>2</cp:revision>
  <cp:lastPrinted>2017-09-25T01:43:00Z</cp:lastPrinted>
  <dcterms:created xsi:type="dcterms:W3CDTF">2019-02-11T22:12:00Z</dcterms:created>
  <dcterms:modified xsi:type="dcterms:W3CDTF">2019-02-11T22:12:00Z</dcterms:modified>
</cp:coreProperties>
</file>