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2CA27" w14:textId="30A347D4" w:rsidR="00F7246C" w:rsidRDefault="00F7246C" w:rsidP="00154710">
      <w:pPr>
        <w:pStyle w:val="Heading2SS"/>
      </w:pPr>
      <w:r w:rsidRPr="00A3040E">
        <w:t>SECTION 180</w:t>
      </w:r>
      <w:r w:rsidRPr="00A3040E">
        <w:tab/>
        <w:t>-</w:t>
      </w:r>
      <w:r w:rsidRPr="00A3040E">
        <w:tab/>
        <w:t>RIDE QUALITY FOR PAVEMENTS</w:t>
      </w:r>
    </w:p>
    <w:p w14:paraId="1B01FD28" w14:textId="77777777" w:rsidR="00F7246C" w:rsidRDefault="00F7246C" w:rsidP="003735DD">
      <w:pPr>
        <w:spacing w:line="160" w:lineRule="exact"/>
        <w:rPr>
          <w:lang w:val="en-AU"/>
        </w:rPr>
      </w:pPr>
    </w:p>
    <w:p w14:paraId="3659A9D8" w14:textId="77777777" w:rsidR="008C5D9E" w:rsidRDefault="008C5D9E" w:rsidP="008C5D9E">
      <w:r w:rsidRPr="00DB5220">
        <w:t>##This section cross-references Section</w:t>
      </w:r>
      <w:r>
        <w:t xml:space="preserve"> 175</w:t>
      </w:r>
      <w:r w:rsidR="00C2108E">
        <w:t>, which</w:t>
      </w:r>
      <w:r>
        <w:t xml:space="preserve"> should be included in the specification.  If Section 175 is not included in the specification, all references to it should be struck out, ensuring that the remaining text is still coherent:</w:t>
      </w:r>
    </w:p>
    <w:p w14:paraId="2493A1CC" w14:textId="77777777" w:rsidR="001A6CF1" w:rsidRDefault="001A6CF1" w:rsidP="003735DD">
      <w:pPr>
        <w:spacing w:line="160" w:lineRule="exact"/>
        <w:rPr>
          <w:lang w:val="en-AU"/>
        </w:rPr>
      </w:pPr>
    </w:p>
    <w:p w14:paraId="4EB2DAC9" w14:textId="77777777" w:rsidR="00F7246C" w:rsidRDefault="00F7246C" w:rsidP="00B96D06">
      <w:pPr>
        <w:pStyle w:val="Heading3SS"/>
      </w:pPr>
      <w:r>
        <w:t>18</w:t>
      </w:r>
      <w:bookmarkStart w:id="0" w:name="np180"/>
      <w:bookmarkEnd w:id="0"/>
      <w:r>
        <w:t>0.01</w:t>
      </w:r>
      <w:r>
        <w:tab/>
        <w:t>GENERAL</w:t>
      </w:r>
    </w:p>
    <w:p w14:paraId="3E803C64" w14:textId="77777777" w:rsidR="006D595C" w:rsidRDefault="006D595C" w:rsidP="00A3040E">
      <w:pPr>
        <w:spacing w:line="180" w:lineRule="exact"/>
        <w:rPr>
          <w:lang w:val="en-AU"/>
        </w:rPr>
      </w:pPr>
    </w:p>
    <w:p w14:paraId="5899AD55" w14:textId="77777777" w:rsidR="00F7246C" w:rsidRDefault="00F7246C" w:rsidP="00A3040E">
      <w:pPr>
        <w:rPr>
          <w:lang w:val="en-AU"/>
        </w:rPr>
      </w:pPr>
      <w:r>
        <w:t>This</w:t>
      </w:r>
      <w:r>
        <w:rPr>
          <w:lang w:val="en-AU"/>
        </w:rPr>
        <w:t xml:space="preserve"> section relates to ride quality performance for pavement construction.</w:t>
      </w:r>
    </w:p>
    <w:p w14:paraId="1A9B6A07" w14:textId="77777777" w:rsidR="00F7246C" w:rsidRDefault="00F7246C" w:rsidP="00A3040E">
      <w:pPr>
        <w:spacing w:line="180" w:lineRule="exact"/>
        <w:rPr>
          <w:lang w:val="en-AU"/>
        </w:rPr>
      </w:pPr>
    </w:p>
    <w:p w14:paraId="573F4158" w14:textId="6DC3580F" w:rsidR="00F7246C" w:rsidRDefault="00F7246C" w:rsidP="00A3040E">
      <w:pPr>
        <w:rPr>
          <w:lang w:val="en-AU"/>
        </w:rPr>
      </w:pPr>
      <w:r>
        <w:rPr>
          <w:lang w:val="en-AU"/>
        </w:rPr>
        <w:t>The locations specified in Table 180.</w:t>
      </w:r>
      <w:r w:rsidR="009873CC">
        <w:rPr>
          <w:lang w:val="en-AU"/>
        </w:rPr>
        <w:t>1</w:t>
      </w:r>
      <w:r>
        <w:rPr>
          <w:lang w:val="en-AU"/>
        </w:rPr>
        <w:t xml:space="preserve">01 are exempt from </w:t>
      </w:r>
      <w:r w:rsidR="009873CC">
        <w:rPr>
          <w:lang w:val="en-AU"/>
        </w:rPr>
        <w:t xml:space="preserve">the assessment of the </w:t>
      </w:r>
      <w:r>
        <w:rPr>
          <w:lang w:val="en-AU"/>
        </w:rPr>
        <w:t>lot testing under</w:t>
      </w:r>
      <w:r w:rsidR="009873CC">
        <w:rPr>
          <w:lang w:val="en-AU"/>
        </w:rPr>
        <w:t>taken in</w:t>
      </w:r>
      <w:r>
        <w:rPr>
          <w:lang w:val="en-AU"/>
        </w:rPr>
        <w:t xml:space="preserve"> this Contract.</w:t>
      </w:r>
    </w:p>
    <w:p w14:paraId="30BAACA7" w14:textId="77777777" w:rsidR="00F7246C" w:rsidRDefault="00F7246C" w:rsidP="00A3040E">
      <w:pPr>
        <w:rPr>
          <w:lang w:val="en-AU"/>
        </w:rPr>
      </w:pPr>
    </w:p>
    <w:p w14:paraId="0601941E" w14:textId="77777777" w:rsidR="002138EC" w:rsidRDefault="002138EC" w:rsidP="002138EC">
      <w:pPr>
        <w:rPr>
          <w:lang w:val="en-AU"/>
        </w:rPr>
      </w:pPr>
    </w:p>
    <w:p w14:paraId="059BE6CB" w14:textId="77777777" w:rsidR="002138EC" w:rsidRPr="00F90B91" w:rsidRDefault="002138EC" w:rsidP="002138EC">
      <w:pPr>
        <w:pStyle w:val="Heading3SS"/>
      </w:pPr>
      <w:bookmarkStart w:id="1" w:name="_Hlk70509201"/>
      <w:r>
        <w:t>180</w:t>
      </w:r>
      <w:r w:rsidRPr="00F90B91">
        <w:t>.02</w:t>
      </w:r>
      <w:r w:rsidRPr="00F90B91">
        <w:tab/>
        <w:t>STANDARDS</w:t>
      </w:r>
    </w:p>
    <w:bookmarkEnd w:id="1"/>
    <w:p w14:paraId="48F1AD72" w14:textId="77777777" w:rsidR="002138EC" w:rsidRPr="00577397" w:rsidRDefault="002138EC" w:rsidP="002138EC">
      <w:pPr>
        <w:spacing w:before="200"/>
        <w:rPr>
          <w:lang w:val="en-AU"/>
        </w:rPr>
      </w:pPr>
      <w:r w:rsidRPr="00577397">
        <w:rPr>
          <w:lang w:val="en-AU"/>
        </w:rPr>
        <w:t xml:space="preserve">Documents referred to in this section are listed in Table </w:t>
      </w:r>
      <w:r>
        <w:rPr>
          <w:lang w:val="en-AU"/>
        </w:rPr>
        <w:t>180</w:t>
      </w:r>
      <w:r w:rsidRPr="00577397">
        <w:rPr>
          <w:lang w:val="en-AU"/>
        </w:rPr>
        <w:t>.021.</w:t>
      </w:r>
    </w:p>
    <w:p w14:paraId="2DD2E14D" w14:textId="4DCDAD6B" w:rsidR="002138EC" w:rsidRPr="00774B50" w:rsidRDefault="002138EC" w:rsidP="003446E8">
      <w:pPr>
        <w:spacing w:before="160" w:after="60"/>
        <w:rPr>
          <w:b/>
        </w:rPr>
      </w:pPr>
      <w:r w:rsidRPr="00774B50">
        <w:rPr>
          <w:b/>
        </w:rPr>
        <w:t xml:space="preserve">Table </w:t>
      </w:r>
      <w:r>
        <w:rPr>
          <w:b/>
        </w:rPr>
        <w:t>180</w:t>
      </w:r>
      <w:r w:rsidRPr="00774B50">
        <w:rPr>
          <w:b/>
        </w:rPr>
        <w:t>.021</w:t>
      </w:r>
      <w:r>
        <w:rPr>
          <w:b/>
        </w:rPr>
        <w:t xml:space="preserve">  </w:t>
      </w:r>
      <w:r w:rsidRPr="00774B50">
        <w:rPr>
          <w:b/>
        </w:rPr>
        <w:t>Referenced Documents</w:t>
      </w:r>
    </w:p>
    <w:tbl>
      <w:tblPr>
        <w:tblW w:w="0" w:type="auto"/>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67"/>
        <w:gridCol w:w="7530"/>
      </w:tblGrid>
      <w:tr w:rsidR="002138EC" w:rsidRPr="00774B50" w14:paraId="6F3FF77E" w14:textId="77777777" w:rsidTr="002138EC">
        <w:tc>
          <w:tcPr>
            <w:tcW w:w="9497" w:type="dxa"/>
            <w:gridSpan w:val="2"/>
            <w:tcBorders>
              <w:top w:val="single" w:sz="12" w:space="0" w:color="auto"/>
              <w:left w:val="single" w:sz="12" w:space="0" w:color="auto"/>
              <w:bottom w:val="single" w:sz="12" w:space="0" w:color="auto"/>
              <w:right w:val="single" w:sz="12" w:space="0" w:color="auto"/>
            </w:tcBorders>
            <w:shd w:val="clear" w:color="auto" w:fill="D9D9D9"/>
          </w:tcPr>
          <w:p w14:paraId="19D72F58" w14:textId="77777777" w:rsidR="002138EC" w:rsidRPr="00774B50" w:rsidRDefault="002138EC" w:rsidP="00B7582F">
            <w:pPr>
              <w:pStyle w:val="TableHeadingLeft"/>
            </w:pPr>
            <w:bookmarkStart w:id="2" w:name="_Hlk57131731"/>
            <w:r>
              <w:t>Austroads</w:t>
            </w:r>
          </w:p>
        </w:tc>
      </w:tr>
      <w:bookmarkEnd w:id="2"/>
      <w:tr w:rsidR="002138EC" w:rsidRPr="00774B50" w14:paraId="21187EAB" w14:textId="77777777" w:rsidTr="002138EC">
        <w:tc>
          <w:tcPr>
            <w:tcW w:w="1967" w:type="dxa"/>
            <w:tcBorders>
              <w:top w:val="single" w:sz="12" w:space="0" w:color="auto"/>
              <w:left w:val="single" w:sz="12" w:space="0" w:color="auto"/>
              <w:bottom w:val="single" w:sz="12" w:space="0" w:color="auto"/>
            </w:tcBorders>
            <w:shd w:val="clear" w:color="auto" w:fill="auto"/>
          </w:tcPr>
          <w:p w14:paraId="04068348" w14:textId="77777777" w:rsidR="002138EC" w:rsidRPr="00774B50" w:rsidRDefault="002138EC" w:rsidP="00B7582F">
            <w:pPr>
              <w:pStyle w:val="TableFigureLeft"/>
            </w:pPr>
            <w:r w:rsidRPr="001F1528">
              <w:t>AG:AM/T001</w:t>
            </w:r>
          </w:p>
        </w:tc>
        <w:tc>
          <w:tcPr>
            <w:tcW w:w="7530" w:type="dxa"/>
            <w:tcBorders>
              <w:top w:val="single" w:sz="12" w:space="0" w:color="auto"/>
              <w:bottom w:val="single" w:sz="12" w:space="0" w:color="auto"/>
              <w:right w:val="single" w:sz="12" w:space="0" w:color="auto"/>
            </w:tcBorders>
            <w:shd w:val="clear" w:color="auto" w:fill="auto"/>
            <w:vAlign w:val="center"/>
          </w:tcPr>
          <w:p w14:paraId="08E700DB" w14:textId="77777777" w:rsidR="002138EC" w:rsidRPr="00774B50" w:rsidRDefault="002138EC" w:rsidP="00B7582F">
            <w:pPr>
              <w:pStyle w:val="TableFigureLeft"/>
            </w:pPr>
            <w:r w:rsidRPr="001F1528">
              <w:t>Pavement Roughness Measurement with an Inertial Profilometer</w:t>
            </w:r>
          </w:p>
        </w:tc>
      </w:tr>
    </w:tbl>
    <w:p w14:paraId="43C026EF" w14:textId="7420AF13" w:rsidR="002138EC" w:rsidRPr="004730E4" w:rsidRDefault="003735DD" w:rsidP="003735DD">
      <w:pPr>
        <w:spacing w:before="160"/>
      </w:pPr>
      <w:r>
        <w:t>Section 175 details the revision dates of the relevant references in this section.</w:t>
      </w:r>
    </w:p>
    <w:p w14:paraId="0FFFE24B" w14:textId="2192FAA1" w:rsidR="00F7246C" w:rsidRDefault="00F7246C" w:rsidP="00A3040E">
      <w:pPr>
        <w:rPr>
          <w:lang w:val="en-AU"/>
        </w:rPr>
      </w:pPr>
    </w:p>
    <w:p w14:paraId="1EA5BFBE" w14:textId="77777777" w:rsidR="003735DD" w:rsidRDefault="003735DD" w:rsidP="00A3040E">
      <w:pPr>
        <w:rPr>
          <w:lang w:val="en-AU"/>
        </w:rPr>
      </w:pPr>
    </w:p>
    <w:p w14:paraId="66990DCB" w14:textId="77777777" w:rsidR="00F7246C" w:rsidRDefault="00F7246C" w:rsidP="00B96D06">
      <w:pPr>
        <w:pStyle w:val="Heading3SS"/>
      </w:pPr>
      <w:r>
        <w:t>180.03</w:t>
      </w:r>
      <w:r>
        <w:tab/>
        <w:t>DEFINITIONS</w:t>
      </w:r>
    </w:p>
    <w:p w14:paraId="273682A6" w14:textId="63806913" w:rsidR="00F7246C" w:rsidRDefault="00F7246C" w:rsidP="003446E8">
      <w:pPr>
        <w:spacing w:before="160"/>
        <w:rPr>
          <w:lang w:val="en-AU"/>
        </w:rPr>
      </w:pPr>
      <w:r>
        <w:rPr>
          <w:b/>
          <w:lang w:val="en-AU"/>
        </w:rPr>
        <w:t xml:space="preserve">Continuous Traffic Lane  -  </w:t>
      </w:r>
      <w:r>
        <w:rPr>
          <w:lang w:val="en-AU"/>
        </w:rPr>
        <w:t>A length of traffic lane which can be tested in a single test run.</w:t>
      </w:r>
    </w:p>
    <w:p w14:paraId="3DEB2AA5" w14:textId="3543CC0D" w:rsidR="00F7246C" w:rsidRDefault="00F7246C" w:rsidP="003446E8">
      <w:pPr>
        <w:spacing w:before="160"/>
        <w:rPr>
          <w:lang w:val="en-AU"/>
        </w:rPr>
      </w:pPr>
      <w:r>
        <w:rPr>
          <w:b/>
          <w:lang w:val="en-AU"/>
        </w:rPr>
        <w:t xml:space="preserve">Individual Lane Roughness </w:t>
      </w:r>
      <w:r w:rsidRPr="00E6131C">
        <w:rPr>
          <w:b/>
          <w:lang w:val="en-AU"/>
        </w:rPr>
        <w:t>Value  -</w:t>
      </w:r>
      <w:r>
        <w:rPr>
          <w:lang w:val="en-AU"/>
        </w:rPr>
        <w:t xml:space="preserve">  </w:t>
      </w:r>
      <w:r w:rsidR="00E6131C">
        <w:rPr>
          <w:lang w:val="en-AU"/>
        </w:rPr>
        <w:t>The Lane IRI values measured on a 100 m sub</w:t>
      </w:r>
      <w:r w:rsidR="00E6131C">
        <w:rPr>
          <w:lang w:val="en-AU"/>
        </w:rPr>
        <w:noBreakHyphen/>
        <w:t>section of a traffic lane.</w:t>
      </w:r>
    </w:p>
    <w:p w14:paraId="3ABCB906" w14:textId="453EC7D9" w:rsidR="00E6131C" w:rsidRDefault="00E6131C" w:rsidP="003446E8">
      <w:pPr>
        <w:spacing w:before="160"/>
      </w:pPr>
      <w:r w:rsidRPr="00F70F83">
        <w:rPr>
          <w:b/>
        </w:rPr>
        <w:t>International Roughness Index (IRI)</w:t>
      </w:r>
      <w:r>
        <w:rPr>
          <w:b/>
        </w:rPr>
        <w:t xml:space="preserve">  -  </w:t>
      </w:r>
      <w:r w:rsidRPr="0074639C">
        <w:t>The IRI is a mathematical model of the dynamic response of a real motor vehicle travelling along a</w:t>
      </w:r>
      <w:r>
        <w:t xml:space="preserve"> </w:t>
      </w:r>
      <w:r w:rsidRPr="0074639C">
        <w:t>single wheelpath (or</w:t>
      </w:r>
      <w:r>
        <w:t> </w:t>
      </w:r>
      <w:r w:rsidRPr="0074639C">
        <w:t>wheel track) of longitudinal road profile, referred to as the quarter-car (or</w:t>
      </w:r>
      <w:r>
        <w:t> </w:t>
      </w:r>
      <w:r w:rsidRPr="0074639C">
        <w:t>World</w:t>
      </w:r>
      <w:r>
        <w:t xml:space="preserve"> </w:t>
      </w:r>
      <w:r w:rsidRPr="0074639C">
        <w:t xml:space="preserve">Bank) model. </w:t>
      </w:r>
      <w:r>
        <w:t xml:space="preserve"> </w:t>
      </w:r>
      <w:r w:rsidRPr="0074639C">
        <w:t>The IRI is expressed in terms of accumulated displacement of the simulated suspension</w:t>
      </w:r>
      <w:r>
        <w:t xml:space="preserve"> </w:t>
      </w:r>
      <w:r w:rsidRPr="0074639C">
        <w:t>in metres per measured kilometre</w:t>
      </w:r>
      <w:r>
        <w:t> </w:t>
      </w:r>
      <w:r w:rsidRPr="0074639C">
        <w:t xml:space="preserve">(m/km). </w:t>
      </w:r>
      <w:r>
        <w:t xml:space="preserve"> </w:t>
      </w:r>
      <w:r w:rsidRPr="0074639C">
        <w:t>IRI</w:t>
      </w:r>
      <w:r>
        <w:t> </w:t>
      </w:r>
      <w:r w:rsidRPr="0074639C">
        <w:t>can be reported in different ways, as follows:</w:t>
      </w:r>
    </w:p>
    <w:p w14:paraId="71298B30" w14:textId="77777777" w:rsidR="00E6131C" w:rsidRDefault="00E6131C" w:rsidP="00D6154A">
      <w:pPr>
        <w:pStyle w:val="ListParagraph"/>
        <w:numPr>
          <w:ilvl w:val="0"/>
          <w:numId w:val="13"/>
        </w:numPr>
        <w:spacing w:before="160"/>
        <w:ind w:left="714" w:hanging="357"/>
      </w:pPr>
      <w:r w:rsidRPr="0074639C">
        <w:t>Single Track IRI</w:t>
      </w:r>
    </w:p>
    <w:p w14:paraId="2829F5EB" w14:textId="7B574776" w:rsidR="00E6131C" w:rsidRDefault="00E6131C" w:rsidP="00D6154A">
      <w:pPr>
        <w:pStyle w:val="ListParagraph"/>
        <w:spacing w:before="80"/>
        <w:contextualSpacing w:val="0"/>
      </w:pPr>
      <w:r w:rsidRPr="0074639C">
        <w:t>The IRI based on a quarter-car model run at 80 km/h over a single wheelpath of longitudinal profile</w:t>
      </w:r>
      <w:r w:rsidRPr="00A2005A">
        <w:t xml:space="preserve"> </w:t>
      </w:r>
      <w:r w:rsidRPr="0074639C">
        <w:t>(ASTM</w:t>
      </w:r>
      <w:r>
        <w:t> </w:t>
      </w:r>
      <w:r w:rsidRPr="0074639C">
        <w:t>E1926</w:t>
      </w:r>
      <w:r>
        <w:noBreakHyphen/>
      </w:r>
      <w:r w:rsidRPr="0074639C">
        <w:t>08).</w:t>
      </w:r>
    </w:p>
    <w:p w14:paraId="67854598" w14:textId="77777777" w:rsidR="00E6131C" w:rsidRDefault="00E6131C" w:rsidP="00D6154A">
      <w:pPr>
        <w:pStyle w:val="ListParagraph"/>
        <w:numPr>
          <w:ilvl w:val="0"/>
          <w:numId w:val="13"/>
        </w:numPr>
        <w:spacing w:before="160"/>
        <w:ind w:left="714" w:hanging="357"/>
        <w:contextualSpacing w:val="0"/>
      </w:pPr>
      <w:r w:rsidRPr="00A2005A">
        <w:t>Lane IRI</w:t>
      </w:r>
    </w:p>
    <w:p w14:paraId="6BF2C7A6" w14:textId="54ED0EC7" w:rsidR="00E6131C" w:rsidRPr="00E170AB" w:rsidRDefault="00E6131C" w:rsidP="00D6154A">
      <w:pPr>
        <w:pStyle w:val="ListParagraph"/>
        <w:spacing w:before="80"/>
        <w:contextualSpacing w:val="0"/>
      </w:pPr>
      <w:r w:rsidRPr="00E5197B">
        <w:t xml:space="preserve">This is a composite IRI value representing the roughness of a road lane section. </w:t>
      </w:r>
      <w:r>
        <w:t xml:space="preserve"> </w:t>
      </w:r>
      <w:r w:rsidRPr="00E5197B">
        <w:t xml:space="preserve">Using the Single Track IRI averaging (quarter-car) method, Lane IRI is determined by averaging two individual Single Track IRI values obtained separately in each wheelpath of </w:t>
      </w:r>
      <w:r w:rsidRPr="0062444E">
        <w:t>a lane (at</w:t>
      </w:r>
      <w:r>
        <w:t> </w:t>
      </w:r>
      <w:r w:rsidRPr="0062444E">
        <w:t>0.75</w:t>
      </w:r>
      <w:r>
        <w:t> </w:t>
      </w:r>
      <w:r w:rsidRPr="0062444E">
        <w:t>m on either side of the centre of the lane mid-track).</w:t>
      </w:r>
    </w:p>
    <w:p w14:paraId="18B66AAD" w14:textId="1645A4FD" w:rsidR="00E6131C" w:rsidRPr="004730E4" w:rsidRDefault="00E6131C" w:rsidP="00D6154A">
      <w:pPr>
        <w:pStyle w:val="Heading5SS"/>
        <w:spacing w:before="160"/>
        <w:ind w:left="0" w:firstLine="0"/>
        <w:rPr>
          <w:strike/>
        </w:rPr>
      </w:pPr>
      <w:r w:rsidRPr="00E67A43">
        <w:rPr>
          <w:b/>
          <w:bCs/>
        </w:rPr>
        <w:t>Intersection</w:t>
      </w:r>
      <w:r>
        <w:rPr>
          <w:b/>
          <w:bCs/>
        </w:rPr>
        <w:t xml:space="preserve"> </w:t>
      </w:r>
      <w:r w:rsidRPr="00E6131C">
        <w:rPr>
          <w:b/>
          <w:bCs/>
        </w:rPr>
        <w:t xml:space="preserve"> -</w:t>
      </w:r>
      <w:r>
        <w:rPr>
          <w:b/>
          <w:bCs/>
        </w:rPr>
        <w:t xml:space="preserve"> </w:t>
      </w:r>
      <w:r w:rsidRPr="00E6131C">
        <w:rPr>
          <w:b/>
          <w:bCs/>
        </w:rPr>
        <w:t xml:space="preserve"> </w:t>
      </w:r>
      <w:r w:rsidRPr="00C75B8D">
        <w:t>The place at which two or more roads cross</w:t>
      </w:r>
      <w:r>
        <w:t xml:space="preserve"> at a common level where traffic on all legs of the intersection are required at some point to stop or give way to traffic on the intersecting road.  An intersection may be signalised or unsignalised.</w:t>
      </w:r>
    </w:p>
    <w:p w14:paraId="1D88687C" w14:textId="77777777" w:rsidR="00F7246C" w:rsidRDefault="00F7246C" w:rsidP="00D6154A">
      <w:pPr>
        <w:spacing w:before="160"/>
        <w:rPr>
          <w:lang w:val="en-AU"/>
        </w:rPr>
      </w:pPr>
      <w:r>
        <w:rPr>
          <w:b/>
          <w:lang w:val="en-AU"/>
        </w:rPr>
        <w:t>Mean Lane Roughness Value</w:t>
      </w:r>
      <w:r w:rsidRPr="00CB16A4">
        <w:rPr>
          <w:b/>
          <w:bCs/>
          <w:lang w:val="en-AU"/>
        </w:rPr>
        <w:t xml:space="preserve">  -  </w:t>
      </w:r>
      <w:r>
        <w:rPr>
          <w:lang w:val="en-AU"/>
        </w:rPr>
        <w:t>The mean of the Individual Lane Roughness Values within the lot as determined by the appropriate test method.</w:t>
      </w:r>
    </w:p>
    <w:p w14:paraId="25326D74" w14:textId="1BC8E31D" w:rsidR="00CB16A4" w:rsidRDefault="00793AC5" w:rsidP="00D6154A">
      <w:pPr>
        <w:spacing w:before="160"/>
        <w:rPr>
          <w:lang w:val="en-AU"/>
        </w:rPr>
      </w:pPr>
      <w:r>
        <w:rPr>
          <w:noProof/>
          <w:snapToGrid/>
          <w:lang w:val="en-AU"/>
        </w:rPr>
        <w:pict w14:anchorId="6C7679A3">
          <v:shapetype id="_x0000_t202" coordsize="21600,21600" o:spt="202" path="m,l,21600r21600,l21600,xe">
            <v:stroke joinstyle="miter"/>
            <v:path gradientshapeok="t" o:connecttype="rect"/>
          </v:shapetype>
          <v:shape id="_x0000_s1039" type="#_x0000_t202" style="position:absolute;margin-left:0;margin-top:779.65pt;width:481.9pt;height:36.85pt;z-index:-251659776;mso-wrap-distance-top:5.65pt;mso-position-horizontal:center;mso-position-horizontal-relative:page;mso-position-vertical:absolute;mso-position-vertical-relative:page" stroked="f">
            <v:textbox style="mso-next-textbox:#_x0000_s1039" inset="0,,0">
              <w:txbxContent>
                <w:p w14:paraId="3FD3BBC7" w14:textId="77777777" w:rsidR="003446E8" w:rsidRDefault="003446E8" w:rsidP="003446E8">
                  <w:pPr>
                    <w:pBdr>
                      <w:top w:val="single" w:sz="6" w:space="1" w:color="000000"/>
                    </w:pBdr>
                    <w:spacing w:line="60" w:lineRule="exact"/>
                    <w:jc w:val="right"/>
                    <w:rPr>
                      <w:b/>
                    </w:rPr>
                  </w:pPr>
                </w:p>
                <w:p w14:paraId="38D7A613" w14:textId="7ADF24D0" w:rsidR="003446E8" w:rsidRDefault="003446E8" w:rsidP="003446E8">
                  <w:pPr>
                    <w:pBdr>
                      <w:top w:val="single" w:sz="6" w:space="1" w:color="000000"/>
                    </w:pBdr>
                    <w:jc w:val="right"/>
                  </w:pPr>
                  <w:r>
                    <w:t xml:space="preserve">Department of </w:t>
                  </w:r>
                  <w:r w:rsidR="008E6F0A">
                    <w:t>State Growth</w:t>
                  </w:r>
                  <w:r>
                    <w:t xml:space="preserve">  </w:t>
                  </w:r>
                  <w:r w:rsidR="00793AC5">
                    <w:t>June</w:t>
                  </w:r>
                  <w:r w:rsidR="008E6F0A">
                    <w:t xml:space="preserve"> 2022</w:t>
                  </w:r>
                </w:p>
                <w:p w14:paraId="440AE624" w14:textId="75116C4B" w:rsidR="003446E8" w:rsidRDefault="003446E8" w:rsidP="003446E8">
                  <w:pPr>
                    <w:jc w:val="right"/>
                  </w:pPr>
                  <w:r>
                    <w:t xml:space="preserve">Section 180 (Page 1 of </w:t>
                  </w:r>
                  <w:r w:rsidR="009717D4">
                    <w:t>5</w:t>
                  </w:r>
                  <w:r>
                    <w:t>)</w:t>
                  </w:r>
                </w:p>
                <w:p w14:paraId="712BD89A" w14:textId="77777777" w:rsidR="003446E8" w:rsidRDefault="003446E8" w:rsidP="003446E8">
                  <w:pPr>
                    <w:jc w:val="right"/>
                  </w:pPr>
                </w:p>
              </w:txbxContent>
            </v:textbox>
            <w10:wrap anchorx="page" anchory="page"/>
            <w10:anchorlock/>
          </v:shape>
        </w:pict>
      </w:r>
      <w:r w:rsidR="00CB16A4">
        <w:rPr>
          <w:b/>
          <w:lang w:val="en-AU"/>
        </w:rPr>
        <w:t>Measuring Device</w:t>
      </w:r>
      <w:r w:rsidR="00CB16A4" w:rsidRPr="00CB16A4">
        <w:rPr>
          <w:b/>
          <w:bCs/>
          <w:lang w:val="en-AU"/>
        </w:rPr>
        <w:t xml:space="preserve">  –  </w:t>
      </w:r>
      <w:r w:rsidR="00CB16A4">
        <w:rPr>
          <w:lang w:val="en-AU"/>
        </w:rPr>
        <w:t>The device used for measurement of roughness shall:</w:t>
      </w:r>
    </w:p>
    <w:p w14:paraId="1A9DC938" w14:textId="667C0B64" w:rsidR="00CB16A4" w:rsidRDefault="00CB16A4" w:rsidP="003E7A68">
      <w:pPr>
        <w:tabs>
          <w:tab w:val="left" w:pos="454"/>
        </w:tabs>
        <w:spacing w:before="160"/>
        <w:ind w:left="454" w:hanging="454"/>
      </w:pPr>
      <w:r>
        <w:t>(a)</w:t>
      </w:r>
      <w:r>
        <w:tab/>
        <w:t>be capable of measuring</w:t>
      </w:r>
      <w:r w:rsidRPr="00437174">
        <w:t xml:space="preserve"> longitudinal road profile simultaneously in both wheel paths over the wavelength range of 0.5</w:t>
      </w:r>
      <w:r>
        <w:t> </w:t>
      </w:r>
      <w:r w:rsidRPr="00437174">
        <w:t>m to 50</w:t>
      </w:r>
      <w:r>
        <w:t> </w:t>
      </w:r>
      <w:r w:rsidRPr="00437174">
        <w:t>m over the appropriate range of operating speeds</w:t>
      </w:r>
    </w:p>
    <w:p w14:paraId="323D2729" w14:textId="3FCDE2F4" w:rsidR="00CB16A4" w:rsidRDefault="00CB16A4" w:rsidP="00CB16A4">
      <w:pPr>
        <w:tabs>
          <w:tab w:val="left" w:pos="454"/>
        </w:tabs>
        <w:spacing w:before="160"/>
        <w:ind w:left="454" w:hanging="454"/>
      </w:pPr>
      <w:r>
        <w:t>(b)</w:t>
      </w:r>
      <w:r>
        <w:tab/>
        <w:t>collect</w:t>
      </w:r>
      <w:r w:rsidRPr="00437174">
        <w:t xml:space="preserve"> </w:t>
      </w:r>
      <w:r>
        <w:t xml:space="preserve">data </w:t>
      </w:r>
      <w:r w:rsidRPr="00437174">
        <w:t>for roughness measurement at no more than 50</w:t>
      </w:r>
      <w:r>
        <w:t> </w:t>
      </w:r>
      <w:r w:rsidRPr="00437174">
        <w:t xml:space="preserve">mm intervals. </w:t>
      </w:r>
      <w:r>
        <w:t xml:space="preserve"> </w:t>
      </w:r>
      <w:r w:rsidRPr="00437174">
        <w:t>Height measurement shall be at an accuracy of ±</w:t>
      </w:r>
      <w:r>
        <w:t> </w:t>
      </w:r>
      <w:r w:rsidRPr="00437174">
        <w:t>0.2</w:t>
      </w:r>
      <w:r>
        <w:t> </w:t>
      </w:r>
      <w:r w:rsidRPr="00437174">
        <w:t>mm</w:t>
      </w:r>
    </w:p>
    <w:p w14:paraId="6F14241D" w14:textId="77777777" w:rsidR="00CB16A4" w:rsidRPr="006C0D95" w:rsidRDefault="00CB16A4" w:rsidP="00CB16A4">
      <w:pPr>
        <w:tabs>
          <w:tab w:val="left" w:pos="454"/>
        </w:tabs>
        <w:spacing w:before="160"/>
        <w:ind w:left="454" w:hanging="454"/>
      </w:pPr>
      <w:r w:rsidRPr="006C0D95">
        <w:t>(</w:t>
      </w:r>
      <w:r>
        <w:t>c</w:t>
      </w:r>
      <w:r w:rsidRPr="006C0D95">
        <w:t>)</w:t>
      </w:r>
      <w:r w:rsidRPr="006C0D95">
        <w:tab/>
      </w:r>
      <w:r>
        <w:t xml:space="preserve">be </w:t>
      </w:r>
      <w:r w:rsidRPr="006C0D95">
        <w:t>calibrated according to the relevant test methods.</w:t>
      </w:r>
    </w:p>
    <w:p w14:paraId="75309166" w14:textId="323AC667" w:rsidR="00F7246C" w:rsidRDefault="00D6154A" w:rsidP="002D6963">
      <w:pPr>
        <w:spacing w:line="80" w:lineRule="exact"/>
        <w:rPr>
          <w:lang w:val="en-AU"/>
        </w:rPr>
      </w:pPr>
      <w:r>
        <w:rPr>
          <w:lang w:val="en-AU"/>
        </w:rPr>
        <w:br w:type="page"/>
      </w:r>
    </w:p>
    <w:p w14:paraId="752571C0" w14:textId="77777777" w:rsidR="00D03553" w:rsidRDefault="00D03553" w:rsidP="00D03553">
      <w:pPr>
        <w:pStyle w:val="Heading3SS"/>
      </w:pPr>
      <w:r>
        <w:t>180.04</w:t>
      </w:r>
      <w:r>
        <w:tab/>
        <w:t>PERFORMANCE REQUIREMENTS</w:t>
      </w:r>
    </w:p>
    <w:p w14:paraId="3889D354" w14:textId="1C6F7B0C" w:rsidR="00D03553" w:rsidRDefault="00D03553" w:rsidP="002D6963">
      <w:pPr>
        <w:tabs>
          <w:tab w:val="left" w:pos="709"/>
        </w:tabs>
        <w:spacing w:before="180"/>
      </w:pPr>
      <w:r w:rsidRPr="00E07CA7">
        <w:t>The finished surface of the pavement shall have a smooth longitudinal profile and comply with the minimum ride quality requirements specified.</w:t>
      </w:r>
      <w:r>
        <w:t xml:space="preserve">  </w:t>
      </w:r>
      <w:r w:rsidRPr="00E07CA7">
        <w:t>The upper limits for roughness at various locations are specified in Table 180.102.</w:t>
      </w:r>
    </w:p>
    <w:p w14:paraId="13DA262D" w14:textId="32F74E23" w:rsidR="00D03553" w:rsidRDefault="00D03553" w:rsidP="002D6963">
      <w:pPr>
        <w:spacing w:line="180" w:lineRule="exact"/>
        <w:rPr>
          <w:lang w:val="en-AU"/>
        </w:rPr>
      </w:pPr>
    </w:p>
    <w:p w14:paraId="66A95ECE" w14:textId="77777777" w:rsidR="00D03553" w:rsidRDefault="00D03553" w:rsidP="002D6963">
      <w:pPr>
        <w:spacing w:line="180" w:lineRule="exact"/>
        <w:rPr>
          <w:lang w:val="en-AU"/>
        </w:rPr>
      </w:pPr>
    </w:p>
    <w:p w14:paraId="6346F309" w14:textId="163CB6BA" w:rsidR="00F7246C" w:rsidRDefault="00F7246C" w:rsidP="006C0D95">
      <w:pPr>
        <w:pStyle w:val="Heading3SS"/>
      </w:pPr>
      <w:r>
        <w:t>180.0</w:t>
      </w:r>
      <w:r w:rsidR="00D03553">
        <w:t>5</w:t>
      </w:r>
      <w:r>
        <w:tab/>
        <w:t>MEASUREMENT AND REPORTING OF RIDE QUALITY</w:t>
      </w:r>
    </w:p>
    <w:p w14:paraId="33E67936" w14:textId="77777777" w:rsidR="007847AB" w:rsidRDefault="007847AB" w:rsidP="002D6963">
      <w:pPr>
        <w:spacing w:line="180" w:lineRule="exact"/>
        <w:rPr>
          <w:lang w:val="en-AU"/>
        </w:rPr>
      </w:pPr>
    </w:p>
    <w:p w14:paraId="2BC4D766" w14:textId="77777777" w:rsidR="00F7246C" w:rsidRDefault="00F7246C" w:rsidP="003E7A68">
      <w:pPr>
        <w:pStyle w:val="Heading5SS"/>
        <w:ind w:left="454" w:hanging="454"/>
      </w:pPr>
      <w:r>
        <w:t>(a)</w:t>
      </w:r>
      <w:r>
        <w:tab/>
        <w:t>Scope of Testing</w:t>
      </w:r>
    </w:p>
    <w:p w14:paraId="3988222C" w14:textId="662058AD" w:rsidR="00F7246C" w:rsidRDefault="00353C8B" w:rsidP="002D6963">
      <w:pPr>
        <w:spacing w:before="160"/>
        <w:ind w:left="454"/>
      </w:pPr>
      <w:r>
        <w:t>The surface of all pavement construction shall be tested for ride quality, excluding shoulders and turn lanes</w:t>
      </w:r>
      <w:r w:rsidR="00F7246C">
        <w:t>.</w:t>
      </w:r>
    </w:p>
    <w:p w14:paraId="3693BBB7" w14:textId="77777777" w:rsidR="007847AB" w:rsidRDefault="007847AB" w:rsidP="002D6963">
      <w:pPr>
        <w:spacing w:line="180" w:lineRule="exact"/>
        <w:rPr>
          <w:lang w:val="en-AU"/>
        </w:rPr>
      </w:pPr>
    </w:p>
    <w:p w14:paraId="5C952B21" w14:textId="72E97E18" w:rsidR="00F7246C" w:rsidRDefault="00F7246C" w:rsidP="003E7A68">
      <w:pPr>
        <w:pStyle w:val="Heading5SS"/>
        <w:ind w:left="454" w:hanging="454"/>
      </w:pPr>
      <w:r>
        <w:t>(b)</w:t>
      </w:r>
      <w:r>
        <w:tab/>
      </w:r>
      <w:smartTag w:uri="urn:schemas-microsoft-com:office:smarttags" w:element="PlaceType">
        <w:r>
          <w:t>Lot</w:t>
        </w:r>
      </w:smartTag>
      <w:r>
        <w:t xml:space="preserve"> Testing</w:t>
      </w:r>
    </w:p>
    <w:p w14:paraId="670B3D90" w14:textId="5F794D4A" w:rsidR="003E7A68" w:rsidRDefault="003E7A68" w:rsidP="002D6963">
      <w:pPr>
        <w:spacing w:before="160"/>
        <w:ind w:left="454"/>
      </w:pPr>
      <w:r>
        <w:t xml:space="preserve">All work shall be tested in lots of continuous traffic lane.  A lot shall be defined as the length and width of each continuous traffic lane constructed, including any </w:t>
      </w:r>
      <w:r w:rsidR="0084408F">
        <w:t xml:space="preserve">highway </w:t>
      </w:r>
      <w:r>
        <w:t>ramps.</w:t>
      </w:r>
    </w:p>
    <w:p w14:paraId="3545BA85" w14:textId="77777777" w:rsidR="003E7A68" w:rsidRDefault="003E7A68" w:rsidP="002D6963">
      <w:pPr>
        <w:spacing w:before="160"/>
        <w:ind w:left="454"/>
      </w:pPr>
      <w:r>
        <w:t>The Contractor shall provide 24 hours’ notice to the Superintendent of when ride quality testing will be undertaken and the limits for each lot.</w:t>
      </w:r>
    </w:p>
    <w:p w14:paraId="4F1147CC" w14:textId="2DD23D38" w:rsidR="003E7A68" w:rsidRDefault="003E7A68" w:rsidP="002D6963">
      <w:pPr>
        <w:spacing w:before="160"/>
        <w:ind w:left="454"/>
      </w:pPr>
      <w:r w:rsidRPr="00661D32">
        <w:t>The maximum length of the lot shall be restricted to 2 km of continuous traffic lane.</w:t>
      </w:r>
      <w:r w:rsidRPr="00ED4C02">
        <w:t xml:space="preserve"> </w:t>
      </w:r>
      <w:r>
        <w:t xml:space="preserve"> </w:t>
      </w:r>
      <w:r w:rsidRPr="00661D32">
        <w:t>For reporting purposes test data will be divided into 100</w:t>
      </w:r>
      <w:r>
        <w:t> </w:t>
      </w:r>
      <w:r w:rsidRPr="00661D32">
        <w:t xml:space="preserve">m sub-sections per </w:t>
      </w:r>
      <w:r>
        <w:t xml:space="preserve">traffic </w:t>
      </w:r>
      <w:r w:rsidRPr="00661D32">
        <w:t>lane.</w:t>
      </w:r>
    </w:p>
    <w:p w14:paraId="49B6B480" w14:textId="77777777" w:rsidR="00806A15" w:rsidRDefault="00806A15" w:rsidP="00806A15">
      <w:pPr>
        <w:rPr>
          <w:lang w:val="en-AU"/>
        </w:rPr>
      </w:pPr>
    </w:p>
    <w:p w14:paraId="400EFEA5" w14:textId="77777777" w:rsidR="00F7246C" w:rsidRPr="00753014" w:rsidRDefault="00D634BA" w:rsidP="00806A15">
      <w:pPr>
        <w:pStyle w:val="Heading5SS"/>
        <w:ind w:left="454" w:hanging="454"/>
      </w:pPr>
      <w:r w:rsidRPr="00753014">
        <w:t>(</w:t>
      </w:r>
      <w:r w:rsidR="00F7246C" w:rsidRPr="00753014">
        <w:t>c)</w:t>
      </w:r>
      <w:r w:rsidR="00F7246C" w:rsidRPr="00753014">
        <w:tab/>
        <w:t>Measurement of Ride Quality</w:t>
      </w:r>
    </w:p>
    <w:p w14:paraId="4547A2D8" w14:textId="01DE607A" w:rsidR="00806A15" w:rsidRDefault="00806A15" w:rsidP="002D6963">
      <w:pPr>
        <w:spacing w:before="160"/>
        <w:ind w:left="454"/>
      </w:pPr>
      <w:r>
        <w:t xml:space="preserve">The Contractor shall measure the longitudinal road surface profile of each lot in accordance with Austroads Test Method AG:AM/T001 </w:t>
      </w:r>
      <w:r w:rsidRPr="00F8277D">
        <w:rPr>
          <w:i/>
          <w:iCs/>
        </w:rPr>
        <w:t>Pavement Roughness Measurement with an Inertial Profilometer</w:t>
      </w:r>
      <w:r>
        <w:t>.</w:t>
      </w:r>
    </w:p>
    <w:p w14:paraId="683F154E" w14:textId="77777777" w:rsidR="00806A15" w:rsidRDefault="00806A15" w:rsidP="002D6963">
      <w:pPr>
        <w:spacing w:before="160"/>
        <w:ind w:left="454"/>
      </w:pPr>
      <w:r>
        <w:t>Ride quality measurement shall be undertaken within three months after the application of the final wearing surface.</w:t>
      </w:r>
    </w:p>
    <w:p w14:paraId="77E36D0E" w14:textId="001CB07C" w:rsidR="007847AB" w:rsidRDefault="007847AB" w:rsidP="007847AB">
      <w:pPr>
        <w:rPr>
          <w:lang w:val="en-AU"/>
        </w:rPr>
      </w:pPr>
    </w:p>
    <w:p w14:paraId="0E888E9F" w14:textId="77777777" w:rsidR="00754BB5" w:rsidRDefault="00754BB5" w:rsidP="00754BB5">
      <w:pPr>
        <w:pStyle w:val="Heading5SS"/>
        <w:ind w:left="454" w:hanging="454"/>
      </w:pPr>
      <w:bookmarkStart w:id="3" w:name="_Hlk80091016"/>
      <w:r w:rsidRPr="00753014">
        <w:t>(d)</w:t>
      </w:r>
      <w:r w:rsidRPr="00753014">
        <w:tab/>
      </w:r>
      <w:r>
        <w:t>Exclusions from Ride Quality Assessment</w:t>
      </w:r>
    </w:p>
    <w:p w14:paraId="12CB184C" w14:textId="77777777" w:rsidR="00754BB5" w:rsidRDefault="00754BB5" w:rsidP="00E03D41">
      <w:pPr>
        <w:spacing w:before="200"/>
        <w:ind w:left="454"/>
      </w:pPr>
      <w:r>
        <w:t xml:space="preserve">Areas </w:t>
      </w:r>
      <w:r w:rsidRPr="00E07CA7">
        <w:t xml:space="preserve">to be tested </w:t>
      </w:r>
      <w:r w:rsidRPr="004730E4">
        <w:t xml:space="preserve">and reported </w:t>
      </w:r>
      <w:r w:rsidRPr="00E07CA7">
        <w:t>but</w:t>
      </w:r>
      <w:r>
        <w:t xml:space="preserve"> excluded from the ride quality assessment are:</w:t>
      </w:r>
    </w:p>
    <w:p w14:paraId="2045D238" w14:textId="6A73E14C" w:rsidR="00754BB5" w:rsidRDefault="00754BB5" w:rsidP="003C4273">
      <w:pPr>
        <w:numPr>
          <w:ilvl w:val="0"/>
          <w:numId w:val="13"/>
        </w:numPr>
        <w:tabs>
          <w:tab w:val="left" w:pos="709"/>
        </w:tabs>
        <w:spacing w:before="160"/>
        <w:ind w:left="709" w:hanging="255"/>
      </w:pPr>
      <w:r>
        <w:t>bridge joints, railway and tram lines (up to 30 m past the event)</w:t>
      </w:r>
    </w:p>
    <w:p w14:paraId="319E6C76" w14:textId="7431A884" w:rsidR="00754BB5" w:rsidRDefault="00754BB5" w:rsidP="003C4273">
      <w:pPr>
        <w:numPr>
          <w:ilvl w:val="0"/>
          <w:numId w:val="13"/>
        </w:numPr>
        <w:tabs>
          <w:tab w:val="left" w:pos="709"/>
        </w:tabs>
        <w:spacing w:before="160"/>
        <w:ind w:left="709" w:hanging="255"/>
      </w:pPr>
      <w:r>
        <w:t>inspection pit covers within the traffic lane (up to 20 m past the event).</w:t>
      </w:r>
    </w:p>
    <w:p w14:paraId="7A24213A" w14:textId="65508E57" w:rsidR="00754BB5" w:rsidRDefault="00754BB5" w:rsidP="00E03D41">
      <w:pPr>
        <w:spacing w:before="200"/>
        <w:ind w:left="454"/>
      </w:pPr>
      <w:r>
        <w:t>The following items as listed in Table 180.101 are excluded from ride quality assessment:</w:t>
      </w:r>
    </w:p>
    <w:p w14:paraId="571BB17E" w14:textId="6A96C2FA" w:rsidR="00754BB5" w:rsidRDefault="00754BB5" w:rsidP="00754BB5">
      <w:pPr>
        <w:pStyle w:val="Heading5SS"/>
        <w:tabs>
          <w:tab w:val="clear" w:pos="454"/>
        </w:tabs>
        <w:ind w:left="454" w:firstLine="0"/>
        <w:rPr>
          <w:i/>
          <w:iCs/>
        </w:rPr>
      </w:pPr>
      <w:r w:rsidRPr="00236B28">
        <w:rPr>
          <w:i/>
          <w:iCs/>
        </w:rPr>
        <w:t>##</w:t>
      </w:r>
      <w:r>
        <w:rPr>
          <w:i/>
          <w:iCs/>
        </w:rPr>
        <w:t xml:space="preserve"> (delete this note before printing)</w:t>
      </w:r>
      <w:r w:rsidRPr="00236B28">
        <w:rPr>
          <w:i/>
          <w:iCs/>
        </w:rPr>
        <w:t xml:space="preserve"> - Table 180.101 must be populated by contract administrator</w:t>
      </w:r>
      <w:r>
        <w:rPr>
          <w:i/>
          <w:iCs/>
        </w:rPr>
        <w:t>:</w:t>
      </w:r>
    </w:p>
    <w:p w14:paraId="144D98E1" w14:textId="77777777" w:rsidR="00754BB5" w:rsidRDefault="00754BB5" w:rsidP="00E615E4">
      <w:pPr>
        <w:numPr>
          <w:ilvl w:val="0"/>
          <w:numId w:val="13"/>
        </w:numPr>
        <w:tabs>
          <w:tab w:val="left" w:pos="709"/>
        </w:tabs>
        <w:ind w:left="709" w:hanging="255"/>
      </w:pPr>
      <w:r>
        <w:t>intersections (stop bar to stop bar)</w:t>
      </w:r>
    </w:p>
    <w:p w14:paraId="7FEE9F77" w14:textId="49472B78" w:rsidR="00754BB5" w:rsidRDefault="00754BB5" w:rsidP="00E615E4">
      <w:pPr>
        <w:numPr>
          <w:ilvl w:val="0"/>
          <w:numId w:val="13"/>
        </w:numPr>
        <w:tabs>
          <w:tab w:val="left" w:pos="709"/>
        </w:tabs>
        <w:spacing w:before="160"/>
        <w:ind w:left="709" w:hanging="255"/>
      </w:pPr>
      <w:r>
        <w:t>side streets deemed to affect pavement ride quality (the width of the side street including 30</w:t>
      </w:r>
      <w:r w:rsidR="00E03D41">
        <w:t> </w:t>
      </w:r>
      <w:r>
        <w:t>m past the event)</w:t>
      </w:r>
    </w:p>
    <w:p w14:paraId="00688D1F" w14:textId="323B103D" w:rsidR="00754BB5" w:rsidRDefault="00754BB5" w:rsidP="00E615E4">
      <w:pPr>
        <w:numPr>
          <w:ilvl w:val="0"/>
          <w:numId w:val="13"/>
        </w:numPr>
        <w:tabs>
          <w:tab w:val="left" w:pos="709"/>
        </w:tabs>
        <w:spacing w:before="160"/>
        <w:ind w:left="709" w:hanging="255"/>
      </w:pPr>
      <w:r>
        <w:t>start joint in the direction of travel (up to 20</w:t>
      </w:r>
      <w:r w:rsidR="00E03D41">
        <w:t> </w:t>
      </w:r>
      <w:r>
        <w:t>m past the event)</w:t>
      </w:r>
    </w:p>
    <w:p w14:paraId="45FA9F86" w14:textId="77777777" w:rsidR="00754BB5" w:rsidRDefault="00754BB5" w:rsidP="00E615E4">
      <w:pPr>
        <w:numPr>
          <w:ilvl w:val="0"/>
          <w:numId w:val="13"/>
        </w:numPr>
        <w:tabs>
          <w:tab w:val="left" w:pos="709"/>
        </w:tabs>
        <w:spacing w:before="160"/>
        <w:ind w:left="709" w:hanging="255"/>
      </w:pPr>
      <w:r>
        <w:t>roundabouts (from entry point to exit point)</w:t>
      </w:r>
    </w:p>
    <w:p w14:paraId="3AC6B98A" w14:textId="2E4D05EF" w:rsidR="00754BB5" w:rsidRDefault="00754BB5" w:rsidP="00E615E4">
      <w:pPr>
        <w:numPr>
          <w:ilvl w:val="0"/>
          <w:numId w:val="13"/>
        </w:numPr>
        <w:tabs>
          <w:tab w:val="left" w:pos="709"/>
        </w:tabs>
        <w:spacing w:before="160"/>
        <w:ind w:left="709" w:hanging="255"/>
      </w:pPr>
      <w:r>
        <w:t>other identified areas</w:t>
      </w:r>
      <w:r w:rsidR="00E03D41">
        <w:t>.</w:t>
      </w:r>
    </w:p>
    <w:bookmarkEnd w:id="3"/>
    <w:p w14:paraId="67AB3094" w14:textId="2D738C10" w:rsidR="00754BB5" w:rsidRDefault="00754BB5" w:rsidP="007847AB">
      <w:pPr>
        <w:rPr>
          <w:lang w:val="en-AU"/>
        </w:rPr>
      </w:pPr>
    </w:p>
    <w:p w14:paraId="6ADBB6A2" w14:textId="351E7C10" w:rsidR="00F7246C" w:rsidRPr="00753014" w:rsidRDefault="00F7246C" w:rsidP="00E03D41">
      <w:pPr>
        <w:pStyle w:val="Heading5SS"/>
        <w:ind w:left="454" w:hanging="454"/>
      </w:pPr>
      <w:r w:rsidRPr="00753014">
        <w:t>(</w:t>
      </w:r>
      <w:r w:rsidR="00754BB5">
        <w:t>e</w:t>
      </w:r>
      <w:r w:rsidRPr="00753014">
        <w:t>)</w:t>
      </w:r>
      <w:r w:rsidRPr="00753014">
        <w:tab/>
      </w:r>
      <w:r w:rsidR="00E03D41">
        <w:t xml:space="preserve">Processing and </w:t>
      </w:r>
      <w:r w:rsidRPr="00753014">
        <w:t>Reporting of Test Results</w:t>
      </w:r>
    </w:p>
    <w:p w14:paraId="4A419AF9" w14:textId="07F9E212" w:rsidR="0088695D" w:rsidRDefault="0088695D" w:rsidP="0088695D">
      <w:pPr>
        <w:spacing w:before="180"/>
        <w:ind w:left="454"/>
      </w:pPr>
      <w:r>
        <w:t>The Contractor shall provide the Superintendent with a copy of all test results, consisting of:</w:t>
      </w:r>
    </w:p>
    <w:p w14:paraId="130EA6C6" w14:textId="3A2E00CE" w:rsidR="0088695D" w:rsidRDefault="00E615E4" w:rsidP="002D6963">
      <w:pPr>
        <w:numPr>
          <w:ilvl w:val="0"/>
          <w:numId w:val="13"/>
        </w:numPr>
        <w:tabs>
          <w:tab w:val="left" w:pos="709"/>
        </w:tabs>
        <w:spacing w:before="140"/>
        <w:ind w:left="709" w:hanging="255"/>
      </w:pPr>
      <w:r>
        <w:t>i</w:t>
      </w:r>
      <w:r w:rsidR="0088695D">
        <w:t>ndividual lane roughness for each 100 m section (before areas of exclusions have been applied)</w:t>
      </w:r>
    </w:p>
    <w:p w14:paraId="3420AC22" w14:textId="19295109" w:rsidR="0088695D" w:rsidRDefault="00E615E4" w:rsidP="002D6963">
      <w:pPr>
        <w:numPr>
          <w:ilvl w:val="0"/>
          <w:numId w:val="13"/>
        </w:numPr>
        <w:tabs>
          <w:tab w:val="left" w:pos="709"/>
        </w:tabs>
        <w:spacing w:before="140"/>
        <w:ind w:left="709" w:hanging="255"/>
      </w:pPr>
      <w:r>
        <w:t>i</w:t>
      </w:r>
      <w:r w:rsidR="0088695D">
        <w:t>ndividual lane roughness for each 100 m section (after exclusions have been applied)</w:t>
      </w:r>
    </w:p>
    <w:p w14:paraId="647862A6" w14:textId="3657C56A" w:rsidR="0088695D" w:rsidRDefault="00E615E4" w:rsidP="002D6963">
      <w:pPr>
        <w:numPr>
          <w:ilvl w:val="0"/>
          <w:numId w:val="13"/>
        </w:numPr>
        <w:tabs>
          <w:tab w:val="left" w:pos="709"/>
        </w:tabs>
        <w:spacing w:before="140"/>
        <w:ind w:left="709" w:hanging="255"/>
      </w:pPr>
      <w:r>
        <w:t>m</w:t>
      </w:r>
      <w:r w:rsidR="0088695D">
        <w:t>ean lane roughness for each lot (after exclusions have been applied).</w:t>
      </w:r>
    </w:p>
    <w:p w14:paraId="796D7363" w14:textId="35DC232B" w:rsidR="0088695D" w:rsidRDefault="00793AC5" w:rsidP="002D6963">
      <w:pPr>
        <w:ind w:left="454"/>
      </w:pPr>
      <w:r>
        <w:rPr>
          <w:noProof/>
          <w:snapToGrid/>
        </w:rPr>
        <w:pict w14:anchorId="6C7679A3">
          <v:shape id="_x0000_s1040" type="#_x0000_t202" style="position:absolute;left:0;text-align:left;margin-left:0;margin-top:779.65pt;width:481.9pt;height:36.85pt;z-index:-251658752;mso-wrap-distance-top:5.65pt;mso-position-horizontal:center;mso-position-horizontal-relative:page;mso-position-vertical:absolute;mso-position-vertical-relative:page" stroked="f">
            <v:textbox style="mso-next-textbox:#_x0000_s1040" inset="0,,0">
              <w:txbxContent>
                <w:p w14:paraId="0315E9E0" w14:textId="77777777" w:rsidR="002D6963" w:rsidRDefault="002D6963" w:rsidP="002D6963">
                  <w:pPr>
                    <w:pBdr>
                      <w:top w:val="single" w:sz="6" w:space="1" w:color="000000"/>
                    </w:pBdr>
                    <w:spacing w:line="60" w:lineRule="exact"/>
                    <w:jc w:val="right"/>
                    <w:rPr>
                      <w:b/>
                    </w:rPr>
                  </w:pPr>
                </w:p>
                <w:p w14:paraId="1CCE4977" w14:textId="03C90EA6" w:rsidR="008E6F0A" w:rsidRDefault="008E6F0A" w:rsidP="008E6F0A">
                  <w:pPr>
                    <w:pBdr>
                      <w:top w:val="single" w:sz="6" w:space="1" w:color="000000"/>
                    </w:pBdr>
                    <w:jc w:val="right"/>
                  </w:pPr>
                  <w:r>
                    <w:t xml:space="preserve">Department of State Growth  </w:t>
                  </w:r>
                  <w:r w:rsidR="00793AC5">
                    <w:t>June</w:t>
                  </w:r>
                  <w:r>
                    <w:t xml:space="preserve"> 2022</w:t>
                  </w:r>
                </w:p>
                <w:p w14:paraId="4B470B1C" w14:textId="0D6DD189" w:rsidR="002D6963" w:rsidRDefault="002D6963" w:rsidP="002D6963">
                  <w:pPr>
                    <w:jc w:val="right"/>
                  </w:pPr>
                  <w:r>
                    <w:t xml:space="preserve">Section 180 (Page </w:t>
                  </w:r>
                  <w:r w:rsidR="000D53A6">
                    <w:t>2</w:t>
                  </w:r>
                  <w:r>
                    <w:t xml:space="preserve"> of </w:t>
                  </w:r>
                  <w:r w:rsidR="009717D4">
                    <w:t>5</w:t>
                  </w:r>
                  <w:r>
                    <w:t>)</w:t>
                  </w:r>
                </w:p>
                <w:p w14:paraId="7F81FEDE" w14:textId="77777777" w:rsidR="002D6963" w:rsidRDefault="002D6963" w:rsidP="002D6963">
                  <w:pPr>
                    <w:jc w:val="right"/>
                  </w:pPr>
                </w:p>
              </w:txbxContent>
            </v:textbox>
            <w10:wrap anchorx="page" anchory="page"/>
            <w10:anchorlock/>
          </v:shape>
        </w:pict>
      </w:r>
      <w:r w:rsidR="002D6963">
        <w:br w:type="page"/>
      </w:r>
      <w:r w:rsidR="0088695D">
        <w:lastRenderedPageBreak/>
        <w:t>Areas that have been excluded from ride quality assessment, as specified in Clause</w:t>
      </w:r>
      <w:r w:rsidR="002D6963">
        <w:t> </w:t>
      </w:r>
      <w:r w:rsidR="0088695D">
        <w:t>180.05(d) and Table</w:t>
      </w:r>
      <w:r w:rsidR="002D6963">
        <w:t> </w:t>
      </w:r>
      <w:r w:rsidR="0088695D">
        <w:t>180.101, shall be identified in the individual lane roughness results.</w:t>
      </w:r>
    </w:p>
    <w:p w14:paraId="76F08B2E" w14:textId="6913A078" w:rsidR="0088695D" w:rsidRDefault="0088695D" w:rsidP="00A37284">
      <w:pPr>
        <w:spacing w:before="120"/>
        <w:ind w:left="454"/>
      </w:pPr>
      <w:r w:rsidRPr="00F4003D">
        <w:t>The r</w:t>
      </w:r>
      <w:r w:rsidRPr="0074639C">
        <w:t>esulting roughness, after removal of areas of exclusions, shall be processed and reported for each 100 m sub</w:t>
      </w:r>
      <w:r w:rsidR="000D53A6">
        <w:noBreakHyphen/>
      </w:r>
      <w:r w:rsidRPr="0074639C">
        <w:t>section.</w:t>
      </w:r>
      <w:r w:rsidR="000D53A6">
        <w:t xml:space="preserve"> </w:t>
      </w:r>
      <w:r w:rsidRPr="0074639C">
        <w:t xml:space="preserve"> Where exclusions are applied</w:t>
      </w:r>
      <w:r>
        <w:t xml:space="preserve"> which results in less than 100</w:t>
      </w:r>
      <w:r w:rsidR="000D53A6">
        <w:t> </w:t>
      </w:r>
      <w:r>
        <w:t xml:space="preserve">m of reportable data, the remaining data </w:t>
      </w:r>
      <w:r w:rsidRPr="003848D9">
        <w:t xml:space="preserve">is to be reported as representative of that entire </w:t>
      </w:r>
      <w:r w:rsidRPr="00F4003D">
        <w:t>sub-</w:t>
      </w:r>
      <w:r w:rsidRPr="003848D9">
        <w:t>section</w:t>
      </w:r>
      <w:r>
        <w:t>.</w:t>
      </w:r>
    </w:p>
    <w:p w14:paraId="05186B69" w14:textId="31000D09" w:rsidR="0088695D" w:rsidRDefault="0088695D" w:rsidP="00A37284">
      <w:pPr>
        <w:spacing w:before="120"/>
        <w:ind w:left="454"/>
      </w:pPr>
      <w:r>
        <w:t>Any sub</w:t>
      </w:r>
      <w:r>
        <w:noBreakHyphen/>
        <w:t>sections at the end of a lot that are less than 100 m shall be included with the sub</w:t>
      </w:r>
      <w:r>
        <w:noBreakHyphen/>
        <w:t xml:space="preserve">section immediately preceding it </w:t>
      </w:r>
      <w:r w:rsidRPr="0074639C">
        <w:t>and the individual roughness</w:t>
      </w:r>
      <w:r>
        <w:t xml:space="preserve"> calculated over the longer sub</w:t>
      </w:r>
      <w:r>
        <w:noBreakHyphen/>
        <w:t>section.</w:t>
      </w:r>
    </w:p>
    <w:p w14:paraId="6CBBE064" w14:textId="7E9C49A5" w:rsidR="00E03D41" w:rsidRDefault="00E03D41" w:rsidP="00A37284">
      <w:pPr>
        <w:spacing w:line="140" w:lineRule="exact"/>
        <w:rPr>
          <w:lang w:val="en-AU"/>
        </w:rPr>
      </w:pPr>
    </w:p>
    <w:p w14:paraId="2852FC92" w14:textId="77777777" w:rsidR="00F7246C" w:rsidRDefault="00F7246C" w:rsidP="00A37284">
      <w:pPr>
        <w:spacing w:line="140" w:lineRule="exact"/>
        <w:rPr>
          <w:lang w:val="en-AU"/>
        </w:rPr>
      </w:pPr>
    </w:p>
    <w:p w14:paraId="12B0289C" w14:textId="52B21033" w:rsidR="00F7246C" w:rsidRDefault="00F7246C" w:rsidP="006C0D95">
      <w:pPr>
        <w:pStyle w:val="Heading3SS"/>
      </w:pPr>
      <w:r>
        <w:t>180.0</w:t>
      </w:r>
      <w:r w:rsidR="007574FE">
        <w:t>6</w:t>
      </w:r>
      <w:r>
        <w:tab/>
        <w:t>PERFORMANCE STANDARDS</w:t>
      </w:r>
    </w:p>
    <w:p w14:paraId="665034B4" w14:textId="77777777" w:rsidR="00F7246C" w:rsidRDefault="00F7246C" w:rsidP="00A37284">
      <w:pPr>
        <w:spacing w:before="180"/>
        <w:rPr>
          <w:lang w:val="en-AU"/>
        </w:rPr>
      </w:pPr>
      <w:r>
        <w:rPr>
          <w:lang w:val="en-AU"/>
        </w:rPr>
        <w:t>The Contractor shall comply with the requirements for both the Maximum Individual Lane Roughness and Maximum Mean Lane Roughness as follows:</w:t>
      </w:r>
    </w:p>
    <w:p w14:paraId="2E02D414" w14:textId="77777777" w:rsidR="007847AB" w:rsidRDefault="007847AB" w:rsidP="00A37284">
      <w:pPr>
        <w:spacing w:line="160" w:lineRule="exact"/>
        <w:rPr>
          <w:lang w:val="en-AU"/>
        </w:rPr>
      </w:pPr>
    </w:p>
    <w:p w14:paraId="3D8ED251" w14:textId="77777777" w:rsidR="00F7246C" w:rsidRPr="00753014" w:rsidRDefault="00D9260C" w:rsidP="00753014">
      <w:pPr>
        <w:pStyle w:val="Heading5SS"/>
      </w:pPr>
      <w:r w:rsidRPr="00753014">
        <w:t>(a)</w:t>
      </w:r>
      <w:r w:rsidRPr="00753014">
        <w:tab/>
      </w:r>
      <w:r w:rsidR="00F7246C" w:rsidRPr="00753014">
        <w:t>Individual Lane Roughness</w:t>
      </w:r>
    </w:p>
    <w:p w14:paraId="2B27391B" w14:textId="3EC790B4" w:rsidR="00F7246C" w:rsidRDefault="00F7246C" w:rsidP="0070383C">
      <w:pPr>
        <w:spacing w:before="160"/>
        <w:ind w:left="454"/>
      </w:pPr>
      <w:r>
        <w:t>Where an Individual Lane Roughness Value in any 100 m sub</w:t>
      </w:r>
      <w:r>
        <w:noBreakHyphen/>
        <w:t>section is greater than the specified Maximum Individual Lane Roughness Value specified in Table 180.</w:t>
      </w:r>
      <w:r w:rsidR="007574FE">
        <w:t>1</w:t>
      </w:r>
      <w:r>
        <w:t>02, the Contractor shall rectify work within the sub</w:t>
      </w:r>
      <w:r>
        <w:noBreakHyphen/>
        <w:t xml:space="preserve">section to comply with this requirement.  </w:t>
      </w:r>
      <w:r w:rsidR="00C2108E">
        <w:t>The</w:t>
      </w:r>
      <w:r>
        <w:t xml:space="preserve"> minimum length of rectification</w:t>
      </w:r>
      <w:r w:rsidR="00BC6CAB">
        <w:t xml:space="preserve"> work undertaken shall be 100 m</w:t>
      </w:r>
      <w:r>
        <w:t>.</w:t>
      </w:r>
    </w:p>
    <w:p w14:paraId="4D0887EE" w14:textId="77777777" w:rsidR="007847AB" w:rsidRDefault="007847AB" w:rsidP="00A37284">
      <w:pPr>
        <w:spacing w:line="160" w:lineRule="exact"/>
        <w:rPr>
          <w:lang w:val="en-AU"/>
        </w:rPr>
      </w:pPr>
    </w:p>
    <w:p w14:paraId="5B53899B" w14:textId="77777777" w:rsidR="00F7246C" w:rsidRPr="00753014" w:rsidRDefault="00F7246C" w:rsidP="00753014">
      <w:pPr>
        <w:pStyle w:val="Heading5SS"/>
      </w:pPr>
      <w:r w:rsidRPr="00753014">
        <w:t>(b)</w:t>
      </w:r>
      <w:r w:rsidRPr="00753014">
        <w:tab/>
        <w:t>Mean Lane Roughness</w:t>
      </w:r>
    </w:p>
    <w:p w14:paraId="2ED2D87A" w14:textId="494A118F" w:rsidR="00F7246C" w:rsidRDefault="00F7246C" w:rsidP="0070383C">
      <w:pPr>
        <w:spacing w:before="160"/>
        <w:ind w:left="454"/>
      </w:pPr>
      <w:r>
        <w:t>Where the Mean Lane Roughness Value of a lot is greater than the Mean Lane Roughness specified in Table 180.</w:t>
      </w:r>
      <w:r w:rsidR="0070383C">
        <w:t>1</w:t>
      </w:r>
      <w:r>
        <w:t>02, the work shall be rectified unless the Superintendent agrees to accept the work at a reduced payment.  Where the lot is to be rectified, the minimum length for any rectification</w:t>
      </w:r>
      <w:r w:rsidR="00CA52E2">
        <w:t xml:space="preserve"> work undertaken shall be 100 m</w:t>
      </w:r>
      <w:r>
        <w:t xml:space="preserve">.  Where the Superintendent agrees to accept the lot at a reduced payment, a deduction to the contract sum shall be made in accordance with </w:t>
      </w:r>
      <w:r w:rsidR="00D522F6">
        <w:t>clause</w:t>
      </w:r>
      <w:r>
        <w:t> 180.0</w:t>
      </w:r>
      <w:r w:rsidR="0070383C">
        <w:t>7</w:t>
      </w:r>
      <w:r>
        <w:t>.</w:t>
      </w:r>
    </w:p>
    <w:p w14:paraId="1E945785" w14:textId="279DDC43" w:rsidR="00F7246C" w:rsidRDefault="00C03431" w:rsidP="00A37284">
      <w:pPr>
        <w:spacing w:before="180"/>
        <w:rPr>
          <w:lang w:val="en-AU"/>
        </w:rPr>
      </w:pPr>
      <w:r>
        <w:t>The Contractor shall re</w:t>
      </w:r>
      <w:r>
        <w:noBreakHyphen/>
        <w:t xml:space="preserve">test the lot following completion of any rectification work and shall re-submit Individual Lane Roughness and Mean Lane Roughness for the lot.  </w:t>
      </w:r>
      <w:r>
        <w:rPr>
          <w:lang w:val="en-AU"/>
        </w:rPr>
        <w:t>The Contractor shall comply with the requirements for both the Maximum Individual Lane Roughness and Maximum Mean Lane Roughness for the lot after rectification works have been completed.</w:t>
      </w:r>
    </w:p>
    <w:p w14:paraId="44909610" w14:textId="77777777" w:rsidR="00A37284" w:rsidRDefault="00A37284" w:rsidP="00A37284">
      <w:pPr>
        <w:spacing w:line="140" w:lineRule="exact"/>
        <w:rPr>
          <w:lang w:val="en-AU"/>
        </w:rPr>
      </w:pPr>
    </w:p>
    <w:p w14:paraId="79D9B51B" w14:textId="77777777" w:rsidR="00A37284" w:rsidRDefault="00A37284" w:rsidP="00A37284">
      <w:pPr>
        <w:spacing w:line="140" w:lineRule="exact"/>
        <w:rPr>
          <w:lang w:val="en-AU"/>
        </w:rPr>
      </w:pPr>
    </w:p>
    <w:p w14:paraId="3BEE4E67" w14:textId="4D688991" w:rsidR="00F7246C" w:rsidRDefault="00F7246C" w:rsidP="000817B7">
      <w:pPr>
        <w:pStyle w:val="Heading3SS"/>
      </w:pPr>
      <w:r>
        <w:t>180.0</w:t>
      </w:r>
      <w:r w:rsidR="00C03431">
        <w:t>7</w:t>
      </w:r>
      <w:r>
        <w:tab/>
        <w:t>PAYMENT DEDUCTION PROVISIONS</w:t>
      </w:r>
    </w:p>
    <w:p w14:paraId="53DC5B91" w14:textId="77777777" w:rsidR="00F7246C" w:rsidRDefault="00F7246C" w:rsidP="00A37284">
      <w:pPr>
        <w:spacing w:before="180"/>
        <w:rPr>
          <w:lang w:val="en-AU"/>
        </w:rPr>
      </w:pPr>
      <w:r>
        <w:rPr>
          <w:lang w:val="en-AU"/>
        </w:rPr>
        <w:t>Where a deduction in payment is to be made for failure to comply with the specified Maximum Mean Lane Roughness for a lot, the deduction shall be made in accordance with the following formula:</w:t>
      </w:r>
    </w:p>
    <w:p w14:paraId="47B1A337" w14:textId="77777777" w:rsidR="00F7246C" w:rsidRDefault="00F7246C" w:rsidP="00E60DB4">
      <w:pPr>
        <w:spacing w:line="120" w:lineRule="exact"/>
        <w:rPr>
          <w:lang w:val="en-AU"/>
        </w:rPr>
      </w:pPr>
    </w:p>
    <w:tbl>
      <w:tblPr>
        <w:tblW w:w="0" w:type="auto"/>
        <w:tblInd w:w="1900" w:type="dxa"/>
        <w:tblLayout w:type="fixed"/>
        <w:tblCellMar>
          <w:left w:w="57" w:type="dxa"/>
          <w:right w:w="57" w:type="dxa"/>
        </w:tblCellMar>
        <w:tblLook w:val="0000" w:firstRow="0" w:lastRow="0" w:firstColumn="0" w:lastColumn="0" w:noHBand="0" w:noVBand="0"/>
      </w:tblPr>
      <w:tblGrid>
        <w:gridCol w:w="2889"/>
        <w:gridCol w:w="1134"/>
      </w:tblGrid>
      <w:tr w:rsidR="00F7246C" w14:paraId="6CFF4C5D" w14:textId="77777777" w:rsidTr="00F20215">
        <w:trPr>
          <w:cantSplit/>
        </w:trPr>
        <w:tc>
          <w:tcPr>
            <w:tcW w:w="2889" w:type="dxa"/>
            <w:vMerge w:val="restart"/>
            <w:vAlign w:val="center"/>
          </w:tcPr>
          <w:p w14:paraId="04CF5125" w14:textId="77777777" w:rsidR="00F7246C" w:rsidRDefault="00F7246C" w:rsidP="00F20215">
            <w:pPr>
              <w:spacing w:after="28"/>
              <w:rPr>
                <w:lang w:val="en-AU"/>
              </w:rPr>
            </w:pPr>
            <w:r>
              <w:rPr>
                <w:lang w:val="en-AU"/>
              </w:rPr>
              <w:t xml:space="preserve">Deduction to Contract ($) </w:t>
            </w:r>
            <w:r w:rsidR="00F20215">
              <w:rPr>
                <w:lang w:val="en-AU"/>
              </w:rPr>
              <w:t xml:space="preserve">  </w:t>
            </w:r>
            <w:r>
              <w:rPr>
                <w:lang w:val="en-AU"/>
              </w:rPr>
              <w:t xml:space="preserve"> =</w:t>
            </w:r>
          </w:p>
        </w:tc>
        <w:tc>
          <w:tcPr>
            <w:tcW w:w="1134" w:type="dxa"/>
            <w:tcBorders>
              <w:bottom w:val="single" w:sz="4" w:space="0" w:color="auto"/>
            </w:tcBorders>
          </w:tcPr>
          <w:p w14:paraId="2068BBF4" w14:textId="77777777" w:rsidR="00F7246C" w:rsidRDefault="00F7246C" w:rsidP="00A3040E">
            <w:pPr>
              <w:spacing w:after="28"/>
              <w:jc w:val="center"/>
              <w:rPr>
                <w:lang w:val="en-AU"/>
              </w:rPr>
            </w:pPr>
            <w:r>
              <w:rPr>
                <w:lang w:val="en-AU"/>
              </w:rPr>
              <w:t>A x D x C</w:t>
            </w:r>
          </w:p>
        </w:tc>
      </w:tr>
      <w:tr w:rsidR="00F7246C" w14:paraId="384B1F64" w14:textId="77777777" w:rsidTr="00F20215">
        <w:trPr>
          <w:cantSplit/>
        </w:trPr>
        <w:tc>
          <w:tcPr>
            <w:tcW w:w="2889" w:type="dxa"/>
            <w:vMerge/>
          </w:tcPr>
          <w:p w14:paraId="19218BFD" w14:textId="77777777" w:rsidR="00F7246C" w:rsidRDefault="00F7246C" w:rsidP="00A3040E">
            <w:pPr>
              <w:rPr>
                <w:lang w:val="en-AU"/>
              </w:rPr>
            </w:pPr>
          </w:p>
        </w:tc>
        <w:tc>
          <w:tcPr>
            <w:tcW w:w="1134" w:type="dxa"/>
            <w:tcMar>
              <w:top w:w="11" w:type="dxa"/>
            </w:tcMar>
          </w:tcPr>
          <w:p w14:paraId="37043AA8" w14:textId="77777777" w:rsidR="00F7246C" w:rsidRDefault="00F7246C" w:rsidP="00A3040E">
            <w:pPr>
              <w:jc w:val="center"/>
              <w:rPr>
                <w:lang w:val="en-AU"/>
              </w:rPr>
            </w:pPr>
            <w:r>
              <w:rPr>
                <w:lang w:val="en-AU"/>
              </w:rPr>
              <w:t>100</w:t>
            </w:r>
          </w:p>
        </w:tc>
      </w:tr>
    </w:tbl>
    <w:p w14:paraId="3500096F" w14:textId="77777777" w:rsidR="00F7246C" w:rsidRDefault="00F7246C" w:rsidP="00A37284">
      <w:pPr>
        <w:tabs>
          <w:tab w:val="left" w:pos="851"/>
        </w:tabs>
        <w:spacing w:before="120"/>
        <w:rPr>
          <w:lang w:val="en-AU"/>
        </w:rPr>
      </w:pPr>
      <w:r>
        <w:rPr>
          <w:lang w:val="en-AU"/>
        </w:rPr>
        <w:t>Where:</w:t>
      </w:r>
      <w:r>
        <w:rPr>
          <w:lang w:val="en-AU"/>
        </w:rPr>
        <w:tab/>
        <w:t>A  =  Area of lot in square metres.</w:t>
      </w:r>
    </w:p>
    <w:p w14:paraId="5D76B373" w14:textId="6CB253A8" w:rsidR="00F7246C" w:rsidRDefault="00F7246C" w:rsidP="00A37284">
      <w:pPr>
        <w:tabs>
          <w:tab w:val="left" w:pos="851"/>
        </w:tabs>
        <w:spacing w:before="20"/>
        <w:rPr>
          <w:lang w:val="en-AU"/>
        </w:rPr>
      </w:pPr>
      <w:r>
        <w:rPr>
          <w:lang w:val="en-AU"/>
        </w:rPr>
        <w:tab/>
        <w:t>D  =  Percentage deduction as specified in Table 180.0</w:t>
      </w:r>
      <w:r w:rsidR="00C93172">
        <w:rPr>
          <w:lang w:val="en-AU"/>
        </w:rPr>
        <w:t>7</w:t>
      </w:r>
      <w:r>
        <w:rPr>
          <w:lang w:val="en-AU"/>
        </w:rPr>
        <w:t>1</w:t>
      </w:r>
    </w:p>
    <w:p w14:paraId="2DCF3199" w14:textId="43248D80" w:rsidR="00F7246C" w:rsidRDefault="00F7246C" w:rsidP="00A37284">
      <w:pPr>
        <w:tabs>
          <w:tab w:val="left" w:pos="851"/>
        </w:tabs>
        <w:spacing w:before="20"/>
        <w:rPr>
          <w:lang w:val="en-AU"/>
        </w:rPr>
      </w:pPr>
      <w:r>
        <w:rPr>
          <w:lang w:val="en-AU"/>
        </w:rPr>
        <w:tab/>
        <w:t>C  =  Unit Cost as specified in Table 180.</w:t>
      </w:r>
      <w:r w:rsidR="00C93172">
        <w:rPr>
          <w:lang w:val="en-AU"/>
        </w:rPr>
        <w:t>1</w:t>
      </w:r>
      <w:r>
        <w:rPr>
          <w:lang w:val="en-AU"/>
        </w:rPr>
        <w:t>03</w:t>
      </w:r>
    </w:p>
    <w:p w14:paraId="00AE86DD" w14:textId="4DE64D60" w:rsidR="00F7246C" w:rsidRPr="00405927" w:rsidRDefault="00F7246C" w:rsidP="00A37284">
      <w:pPr>
        <w:spacing w:line="120" w:lineRule="exact"/>
        <w:rPr>
          <w:bCs/>
          <w:lang w:val="en-AU"/>
        </w:rPr>
      </w:pPr>
    </w:p>
    <w:p w14:paraId="42787C50" w14:textId="08CD7AA2" w:rsidR="00F7246C" w:rsidRPr="00417FA3" w:rsidRDefault="00F7246C" w:rsidP="00A37284">
      <w:pPr>
        <w:tabs>
          <w:tab w:val="left" w:pos="3119"/>
        </w:tabs>
        <w:spacing w:after="60"/>
        <w:ind w:left="3119" w:right="992" w:hanging="1418"/>
        <w:rPr>
          <w:b/>
        </w:rPr>
      </w:pPr>
      <w:r w:rsidRPr="00417FA3">
        <w:rPr>
          <w:b/>
        </w:rPr>
        <w:t>Table 180.0</w:t>
      </w:r>
      <w:r w:rsidR="00405927">
        <w:rPr>
          <w:b/>
        </w:rPr>
        <w:t>7</w:t>
      </w:r>
      <w:r w:rsidRPr="00417FA3">
        <w:rPr>
          <w:b/>
        </w:rPr>
        <w:t>1</w:t>
      </w:r>
      <w:r w:rsidRPr="00417FA3">
        <w:rPr>
          <w:b/>
        </w:rPr>
        <w:tab/>
        <w:t>Percentage Deduction for Failure to Comply with the Specified Maximum Mean Lane Roughness Value</w:t>
      </w:r>
    </w:p>
    <w:tbl>
      <w:tblPr>
        <w:tblW w:w="0" w:type="auto"/>
        <w:jc w:val="center"/>
        <w:tblBorders>
          <w:top w:val="double" w:sz="4" w:space="0" w:color="auto"/>
          <w:left w:val="double" w:sz="4" w:space="0" w:color="auto"/>
          <w:bottom w:val="double" w:sz="4" w:space="0" w:color="auto"/>
          <w:right w:val="double" w:sz="4" w:space="0" w:color="auto"/>
        </w:tblBorders>
        <w:tblLayout w:type="fixed"/>
        <w:tblCellMar>
          <w:top w:w="85" w:type="dxa"/>
          <w:left w:w="57" w:type="dxa"/>
          <w:bottom w:w="28" w:type="dxa"/>
          <w:right w:w="57" w:type="dxa"/>
        </w:tblCellMar>
        <w:tblLook w:val="0000" w:firstRow="0" w:lastRow="0" w:firstColumn="0" w:lastColumn="0" w:noHBand="0" w:noVBand="0"/>
      </w:tblPr>
      <w:tblGrid>
        <w:gridCol w:w="2243"/>
        <w:gridCol w:w="1827"/>
      </w:tblGrid>
      <w:tr w:rsidR="00F7246C" w14:paraId="392AA832" w14:textId="77777777" w:rsidTr="001A6CF1">
        <w:trPr>
          <w:jc w:val="center"/>
        </w:trPr>
        <w:tc>
          <w:tcPr>
            <w:tcW w:w="2243" w:type="dxa"/>
            <w:tcBorders>
              <w:top w:val="single" w:sz="12" w:space="0" w:color="auto"/>
              <w:left w:val="single" w:sz="12" w:space="0" w:color="auto"/>
              <w:bottom w:val="single" w:sz="12" w:space="0" w:color="auto"/>
              <w:right w:val="single" w:sz="6" w:space="0" w:color="auto"/>
            </w:tcBorders>
            <w:tcMar>
              <w:bottom w:w="57" w:type="dxa"/>
            </w:tcMar>
            <w:vAlign w:val="bottom"/>
          </w:tcPr>
          <w:p w14:paraId="4D99D879" w14:textId="77777777" w:rsidR="00F7246C" w:rsidRDefault="00F7246C" w:rsidP="00A3040E">
            <w:pPr>
              <w:jc w:val="center"/>
              <w:rPr>
                <w:b/>
                <w:lang w:val="en-AU"/>
              </w:rPr>
            </w:pPr>
            <w:r>
              <w:rPr>
                <w:b/>
                <w:lang w:val="en-AU"/>
              </w:rPr>
              <w:t>Increase in IRI</w:t>
            </w:r>
          </w:p>
        </w:tc>
        <w:tc>
          <w:tcPr>
            <w:tcW w:w="1827" w:type="dxa"/>
            <w:tcBorders>
              <w:top w:val="single" w:sz="12" w:space="0" w:color="auto"/>
              <w:left w:val="nil"/>
              <w:bottom w:val="single" w:sz="12" w:space="0" w:color="auto"/>
              <w:right w:val="single" w:sz="12" w:space="0" w:color="auto"/>
            </w:tcBorders>
            <w:tcMar>
              <w:bottom w:w="57" w:type="dxa"/>
            </w:tcMar>
            <w:vAlign w:val="center"/>
          </w:tcPr>
          <w:p w14:paraId="2212754C" w14:textId="77777777" w:rsidR="00F7246C" w:rsidRDefault="00F7246C" w:rsidP="00A3040E">
            <w:pPr>
              <w:jc w:val="center"/>
              <w:rPr>
                <w:b/>
                <w:lang w:val="en-AU"/>
              </w:rPr>
            </w:pPr>
            <w:r>
              <w:rPr>
                <w:b/>
                <w:lang w:val="en-AU"/>
              </w:rPr>
              <w:t>% Deduction</w:t>
            </w:r>
          </w:p>
        </w:tc>
      </w:tr>
      <w:tr w:rsidR="00F7246C" w14:paraId="620CBF9F" w14:textId="77777777" w:rsidTr="001A6CF1">
        <w:trPr>
          <w:jc w:val="center"/>
        </w:trPr>
        <w:tc>
          <w:tcPr>
            <w:tcW w:w="2243" w:type="dxa"/>
            <w:tcBorders>
              <w:top w:val="single" w:sz="12" w:space="0" w:color="auto"/>
              <w:left w:val="single" w:sz="12" w:space="0" w:color="auto"/>
              <w:right w:val="single" w:sz="6" w:space="0" w:color="auto"/>
            </w:tcBorders>
            <w:tcMar>
              <w:top w:w="142" w:type="dxa"/>
              <w:bottom w:w="28" w:type="dxa"/>
            </w:tcMar>
          </w:tcPr>
          <w:p w14:paraId="348359DC" w14:textId="77777777" w:rsidR="00F7246C" w:rsidRDefault="00F7246C" w:rsidP="00A3040E">
            <w:pPr>
              <w:jc w:val="center"/>
              <w:rPr>
                <w:lang w:val="en-AU"/>
              </w:rPr>
            </w:pPr>
            <w:r>
              <w:rPr>
                <w:lang w:val="en-AU"/>
              </w:rPr>
              <w:t>0.01 - 0.10</w:t>
            </w:r>
          </w:p>
        </w:tc>
        <w:tc>
          <w:tcPr>
            <w:tcW w:w="1827" w:type="dxa"/>
            <w:tcBorders>
              <w:top w:val="single" w:sz="12" w:space="0" w:color="auto"/>
              <w:left w:val="nil"/>
              <w:right w:val="single" w:sz="12" w:space="0" w:color="auto"/>
            </w:tcBorders>
            <w:tcMar>
              <w:top w:w="142" w:type="dxa"/>
              <w:bottom w:w="28" w:type="dxa"/>
            </w:tcMar>
          </w:tcPr>
          <w:p w14:paraId="2E1B22A4" w14:textId="77777777" w:rsidR="00F7246C" w:rsidRDefault="00F7246C" w:rsidP="00A3040E">
            <w:pPr>
              <w:jc w:val="center"/>
              <w:rPr>
                <w:lang w:val="en-AU"/>
              </w:rPr>
            </w:pPr>
            <w:r>
              <w:rPr>
                <w:lang w:val="en-AU"/>
              </w:rPr>
              <w:t>1</w:t>
            </w:r>
          </w:p>
        </w:tc>
      </w:tr>
      <w:tr w:rsidR="00F7246C" w14:paraId="4669239A" w14:textId="77777777" w:rsidTr="001A6CF1">
        <w:trPr>
          <w:jc w:val="center"/>
        </w:trPr>
        <w:tc>
          <w:tcPr>
            <w:tcW w:w="2243" w:type="dxa"/>
            <w:tcBorders>
              <w:left w:val="single" w:sz="12" w:space="0" w:color="auto"/>
              <w:right w:val="single" w:sz="6" w:space="0" w:color="auto"/>
            </w:tcBorders>
            <w:tcMar>
              <w:top w:w="113" w:type="dxa"/>
              <w:bottom w:w="28" w:type="dxa"/>
            </w:tcMar>
          </w:tcPr>
          <w:p w14:paraId="1E2032FF" w14:textId="77777777" w:rsidR="00F7246C" w:rsidRDefault="00F7246C" w:rsidP="00A3040E">
            <w:pPr>
              <w:jc w:val="center"/>
              <w:rPr>
                <w:lang w:val="en-AU"/>
              </w:rPr>
            </w:pPr>
            <w:r>
              <w:rPr>
                <w:lang w:val="en-AU"/>
              </w:rPr>
              <w:t>0.11 - 0.20</w:t>
            </w:r>
          </w:p>
        </w:tc>
        <w:tc>
          <w:tcPr>
            <w:tcW w:w="1827" w:type="dxa"/>
            <w:tcBorders>
              <w:left w:val="nil"/>
              <w:right w:val="single" w:sz="12" w:space="0" w:color="auto"/>
            </w:tcBorders>
            <w:tcMar>
              <w:top w:w="113" w:type="dxa"/>
              <w:bottom w:w="28" w:type="dxa"/>
            </w:tcMar>
          </w:tcPr>
          <w:p w14:paraId="54511A41" w14:textId="77777777" w:rsidR="00F7246C" w:rsidRDefault="00F7246C" w:rsidP="00A3040E">
            <w:pPr>
              <w:jc w:val="center"/>
              <w:rPr>
                <w:lang w:val="en-AU"/>
              </w:rPr>
            </w:pPr>
            <w:r>
              <w:rPr>
                <w:lang w:val="en-AU"/>
              </w:rPr>
              <w:t>2</w:t>
            </w:r>
          </w:p>
        </w:tc>
      </w:tr>
      <w:tr w:rsidR="00F7246C" w14:paraId="7F4261A1" w14:textId="77777777" w:rsidTr="001A6CF1">
        <w:trPr>
          <w:jc w:val="center"/>
        </w:trPr>
        <w:tc>
          <w:tcPr>
            <w:tcW w:w="2243" w:type="dxa"/>
            <w:tcBorders>
              <w:left w:val="single" w:sz="12" w:space="0" w:color="auto"/>
              <w:right w:val="single" w:sz="6" w:space="0" w:color="auto"/>
            </w:tcBorders>
            <w:tcMar>
              <w:top w:w="113" w:type="dxa"/>
              <w:bottom w:w="28" w:type="dxa"/>
            </w:tcMar>
          </w:tcPr>
          <w:p w14:paraId="4A87ABAD" w14:textId="77777777" w:rsidR="00F7246C" w:rsidRDefault="00F7246C" w:rsidP="00A3040E">
            <w:pPr>
              <w:jc w:val="center"/>
              <w:rPr>
                <w:lang w:val="en-AU"/>
              </w:rPr>
            </w:pPr>
            <w:r>
              <w:rPr>
                <w:lang w:val="en-AU"/>
              </w:rPr>
              <w:t>0.21 - 0.30</w:t>
            </w:r>
          </w:p>
        </w:tc>
        <w:tc>
          <w:tcPr>
            <w:tcW w:w="1827" w:type="dxa"/>
            <w:tcBorders>
              <w:left w:val="nil"/>
              <w:right w:val="single" w:sz="12" w:space="0" w:color="auto"/>
            </w:tcBorders>
            <w:tcMar>
              <w:top w:w="113" w:type="dxa"/>
              <w:bottom w:w="28" w:type="dxa"/>
            </w:tcMar>
          </w:tcPr>
          <w:p w14:paraId="51D1F8CB" w14:textId="77777777" w:rsidR="00F7246C" w:rsidRDefault="00F7246C" w:rsidP="00A3040E">
            <w:pPr>
              <w:jc w:val="center"/>
              <w:rPr>
                <w:lang w:val="en-AU"/>
              </w:rPr>
            </w:pPr>
            <w:r>
              <w:rPr>
                <w:lang w:val="en-AU"/>
              </w:rPr>
              <w:t>3</w:t>
            </w:r>
          </w:p>
        </w:tc>
      </w:tr>
      <w:tr w:rsidR="00F7246C" w14:paraId="08512A7C" w14:textId="77777777" w:rsidTr="001A6CF1">
        <w:trPr>
          <w:jc w:val="center"/>
        </w:trPr>
        <w:tc>
          <w:tcPr>
            <w:tcW w:w="2243" w:type="dxa"/>
            <w:tcBorders>
              <w:left w:val="single" w:sz="12" w:space="0" w:color="auto"/>
              <w:right w:val="single" w:sz="6" w:space="0" w:color="auto"/>
            </w:tcBorders>
            <w:tcMar>
              <w:top w:w="113" w:type="dxa"/>
              <w:bottom w:w="28" w:type="dxa"/>
            </w:tcMar>
          </w:tcPr>
          <w:p w14:paraId="30A84E2F" w14:textId="77777777" w:rsidR="00F7246C" w:rsidRDefault="00F7246C" w:rsidP="00A3040E">
            <w:pPr>
              <w:jc w:val="center"/>
              <w:rPr>
                <w:lang w:val="en-AU"/>
              </w:rPr>
            </w:pPr>
            <w:r>
              <w:rPr>
                <w:lang w:val="en-AU"/>
              </w:rPr>
              <w:t>0.31 – 0.40</w:t>
            </w:r>
          </w:p>
        </w:tc>
        <w:tc>
          <w:tcPr>
            <w:tcW w:w="1827" w:type="dxa"/>
            <w:tcBorders>
              <w:left w:val="nil"/>
              <w:right w:val="single" w:sz="12" w:space="0" w:color="auto"/>
            </w:tcBorders>
            <w:tcMar>
              <w:top w:w="113" w:type="dxa"/>
              <w:bottom w:w="28" w:type="dxa"/>
            </w:tcMar>
          </w:tcPr>
          <w:p w14:paraId="43CC1BBE" w14:textId="77777777" w:rsidR="00F7246C" w:rsidRDefault="00F7246C" w:rsidP="00A3040E">
            <w:pPr>
              <w:jc w:val="center"/>
              <w:rPr>
                <w:lang w:val="en-AU"/>
              </w:rPr>
            </w:pPr>
            <w:r>
              <w:rPr>
                <w:lang w:val="en-AU"/>
              </w:rPr>
              <w:t>4</w:t>
            </w:r>
          </w:p>
        </w:tc>
      </w:tr>
      <w:tr w:rsidR="00F7246C" w14:paraId="22A6943D" w14:textId="77777777" w:rsidTr="001A6CF1">
        <w:trPr>
          <w:jc w:val="center"/>
        </w:trPr>
        <w:tc>
          <w:tcPr>
            <w:tcW w:w="2243" w:type="dxa"/>
            <w:tcBorders>
              <w:left w:val="single" w:sz="12" w:space="0" w:color="auto"/>
              <w:right w:val="single" w:sz="6" w:space="0" w:color="auto"/>
            </w:tcBorders>
            <w:tcMar>
              <w:top w:w="113" w:type="dxa"/>
              <w:bottom w:w="28" w:type="dxa"/>
            </w:tcMar>
          </w:tcPr>
          <w:p w14:paraId="2CD77E16" w14:textId="77777777" w:rsidR="00F7246C" w:rsidRDefault="00F7246C" w:rsidP="00A3040E">
            <w:pPr>
              <w:jc w:val="center"/>
              <w:rPr>
                <w:lang w:val="en-AU"/>
              </w:rPr>
            </w:pPr>
            <w:r>
              <w:rPr>
                <w:lang w:val="en-AU"/>
              </w:rPr>
              <w:t>0.41 – 0.50</w:t>
            </w:r>
          </w:p>
        </w:tc>
        <w:tc>
          <w:tcPr>
            <w:tcW w:w="1827" w:type="dxa"/>
            <w:tcBorders>
              <w:left w:val="nil"/>
              <w:right w:val="single" w:sz="12" w:space="0" w:color="auto"/>
            </w:tcBorders>
            <w:tcMar>
              <w:top w:w="113" w:type="dxa"/>
              <w:bottom w:w="28" w:type="dxa"/>
            </w:tcMar>
          </w:tcPr>
          <w:p w14:paraId="620CDDD1" w14:textId="77777777" w:rsidR="00F7246C" w:rsidRDefault="00F7246C" w:rsidP="00A3040E">
            <w:pPr>
              <w:jc w:val="center"/>
              <w:rPr>
                <w:lang w:val="en-AU"/>
              </w:rPr>
            </w:pPr>
            <w:r>
              <w:rPr>
                <w:lang w:val="en-AU"/>
              </w:rPr>
              <w:t>5</w:t>
            </w:r>
          </w:p>
        </w:tc>
      </w:tr>
      <w:tr w:rsidR="00F7246C" w14:paraId="656638AA" w14:textId="77777777" w:rsidTr="001A6CF1">
        <w:trPr>
          <w:jc w:val="center"/>
        </w:trPr>
        <w:tc>
          <w:tcPr>
            <w:tcW w:w="2243" w:type="dxa"/>
            <w:tcBorders>
              <w:left w:val="single" w:sz="12" w:space="0" w:color="auto"/>
              <w:right w:val="single" w:sz="6" w:space="0" w:color="auto"/>
            </w:tcBorders>
            <w:tcMar>
              <w:top w:w="113" w:type="dxa"/>
              <w:bottom w:w="28" w:type="dxa"/>
            </w:tcMar>
          </w:tcPr>
          <w:p w14:paraId="6B919E8E" w14:textId="77777777" w:rsidR="00F7246C" w:rsidRDefault="00F7246C" w:rsidP="00A3040E">
            <w:pPr>
              <w:jc w:val="center"/>
              <w:rPr>
                <w:lang w:val="en-AU"/>
              </w:rPr>
            </w:pPr>
            <w:r>
              <w:rPr>
                <w:lang w:val="en-AU"/>
              </w:rPr>
              <w:t>0.51 – 0.60</w:t>
            </w:r>
          </w:p>
        </w:tc>
        <w:tc>
          <w:tcPr>
            <w:tcW w:w="1827" w:type="dxa"/>
            <w:tcBorders>
              <w:left w:val="nil"/>
              <w:right w:val="single" w:sz="12" w:space="0" w:color="auto"/>
            </w:tcBorders>
            <w:tcMar>
              <w:top w:w="113" w:type="dxa"/>
              <w:bottom w:w="28" w:type="dxa"/>
            </w:tcMar>
          </w:tcPr>
          <w:p w14:paraId="4C7CA8D8" w14:textId="77777777" w:rsidR="00F7246C" w:rsidRDefault="00F7246C" w:rsidP="00A3040E">
            <w:pPr>
              <w:jc w:val="center"/>
              <w:rPr>
                <w:lang w:val="en-AU"/>
              </w:rPr>
            </w:pPr>
            <w:r>
              <w:rPr>
                <w:lang w:val="en-AU"/>
              </w:rPr>
              <w:t>6</w:t>
            </w:r>
          </w:p>
        </w:tc>
      </w:tr>
      <w:tr w:rsidR="00F7246C" w14:paraId="181F4077" w14:textId="77777777" w:rsidTr="001A6CF1">
        <w:trPr>
          <w:jc w:val="center"/>
        </w:trPr>
        <w:tc>
          <w:tcPr>
            <w:tcW w:w="2243" w:type="dxa"/>
            <w:tcBorders>
              <w:left w:val="single" w:sz="12" w:space="0" w:color="auto"/>
              <w:right w:val="single" w:sz="6" w:space="0" w:color="auto"/>
            </w:tcBorders>
            <w:tcMar>
              <w:top w:w="113" w:type="dxa"/>
              <w:bottom w:w="28" w:type="dxa"/>
            </w:tcMar>
          </w:tcPr>
          <w:p w14:paraId="1D98B591" w14:textId="77777777" w:rsidR="00F7246C" w:rsidRDefault="00F7246C" w:rsidP="00A3040E">
            <w:pPr>
              <w:jc w:val="center"/>
              <w:rPr>
                <w:lang w:val="en-AU"/>
              </w:rPr>
            </w:pPr>
            <w:r>
              <w:rPr>
                <w:lang w:val="en-AU"/>
              </w:rPr>
              <w:t>0.61 – 0.70</w:t>
            </w:r>
          </w:p>
        </w:tc>
        <w:tc>
          <w:tcPr>
            <w:tcW w:w="1827" w:type="dxa"/>
            <w:tcBorders>
              <w:left w:val="nil"/>
              <w:right w:val="single" w:sz="12" w:space="0" w:color="auto"/>
            </w:tcBorders>
            <w:tcMar>
              <w:top w:w="113" w:type="dxa"/>
              <w:bottom w:w="28" w:type="dxa"/>
            </w:tcMar>
          </w:tcPr>
          <w:p w14:paraId="067A2D0F" w14:textId="77777777" w:rsidR="00F7246C" w:rsidRDefault="00F7246C" w:rsidP="00A3040E">
            <w:pPr>
              <w:jc w:val="center"/>
              <w:rPr>
                <w:lang w:val="en-AU"/>
              </w:rPr>
            </w:pPr>
            <w:r>
              <w:rPr>
                <w:lang w:val="en-AU"/>
              </w:rPr>
              <w:t>8</w:t>
            </w:r>
          </w:p>
        </w:tc>
      </w:tr>
      <w:tr w:rsidR="00F7246C" w14:paraId="79D5F034" w14:textId="77777777" w:rsidTr="001A6CF1">
        <w:trPr>
          <w:jc w:val="center"/>
        </w:trPr>
        <w:tc>
          <w:tcPr>
            <w:tcW w:w="2243" w:type="dxa"/>
            <w:tcBorders>
              <w:left w:val="single" w:sz="12" w:space="0" w:color="auto"/>
              <w:right w:val="single" w:sz="6" w:space="0" w:color="auto"/>
            </w:tcBorders>
            <w:tcMar>
              <w:top w:w="113" w:type="dxa"/>
              <w:bottom w:w="28" w:type="dxa"/>
            </w:tcMar>
          </w:tcPr>
          <w:p w14:paraId="01F8C88F" w14:textId="77777777" w:rsidR="00F7246C" w:rsidRDefault="00F7246C" w:rsidP="00A3040E">
            <w:pPr>
              <w:jc w:val="center"/>
              <w:rPr>
                <w:lang w:val="en-AU"/>
              </w:rPr>
            </w:pPr>
            <w:r>
              <w:rPr>
                <w:lang w:val="en-AU"/>
              </w:rPr>
              <w:t>0.71 – 0.80</w:t>
            </w:r>
          </w:p>
        </w:tc>
        <w:tc>
          <w:tcPr>
            <w:tcW w:w="1827" w:type="dxa"/>
            <w:tcBorders>
              <w:left w:val="nil"/>
              <w:right w:val="single" w:sz="12" w:space="0" w:color="auto"/>
            </w:tcBorders>
            <w:tcMar>
              <w:top w:w="113" w:type="dxa"/>
              <w:bottom w:w="28" w:type="dxa"/>
            </w:tcMar>
          </w:tcPr>
          <w:p w14:paraId="4032D9AF" w14:textId="77777777" w:rsidR="00F7246C" w:rsidRDefault="00F7246C" w:rsidP="00A3040E">
            <w:pPr>
              <w:jc w:val="center"/>
              <w:rPr>
                <w:lang w:val="en-AU"/>
              </w:rPr>
            </w:pPr>
            <w:r>
              <w:rPr>
                <w:lang w:val="en-AU"/>
              </w:rPr>
              <w:t>10</w:t>
            </w:r>
          </w:p>
        </w:tc>
      </w:tr>
      <w:tr w:rsidR="00F7246C" w14:paraId="71C0070F" w14:textId="77777777" w:rsidTr="001A6CF1">
        <w:trPr>
          <w:jc w:val="center"/>
        </w:trPr>
        <w:tc>
          <w:tcPr>
            <w:tcW w:w="2243" w:type="dxa"/>
            <w:tcBorders>
              <w:left w:val="single" w:sz="12" w:space="0" w:color="auto"/>
              <w:bottom w:val="single" w:sz="12" w:space="0" w:color="auto"/>
              <w:right w:val="single" w:sz="6" w:space="0" w:color="auto"/>
            </w:tcBorders>
            <w:tcMar>
              <w:bottom w:w="57" w:type="dxa"/>
            </w:tcMar>
          </w:tcPr>
          <w:p w14:paraId="1F6D05BC" w14:textId="77777777" w:rsidR="00F7246C" w:rsidRDefault="00F7246C" w:rsidP="00A3040E">
            <w:pPr>
              <w:jc w:val="center"/>
              <w:rPr>
                <w:lang w:val="en-AU"/>
              </w:rPr>
            </w:pPr>
            <w:r>
              <w:rPr>
                <w:lang w:val="en-AU"/>
              </w:rPr>
              <w:t>&gt; 0.80</w:t>
            </w:r>
          </w:p>
        </w:tc>
        <w:tc>
          <w:tcPr>
            <w:tcW w:w="1827" w:type="dxa"/>
            <w:tcBorders>
              <w:left w:val="nil"/>
              <w:bottom w:val="single" w:sz="12" w:space="0" w:color="auto"/>
              <w:right w:val="single" w:sz="12" w:space="0" w:color="auto"/>
            </w:tcBorders>
            <w:tcMar>
              <w:bottom w:w="57" w:type="dxa"/>
            </w:tcMar>
          </w:tcPr>
          <w:p w14:paraId="3481C71A" w14:textId="77777777" w:rsidR="00F7246C" w:rsidRDefault="00F7246C" w:rsidP="00A3040E">
            <w:pPr>
              <w:jc w:val="center"/>
              <w:rPr>
                <w:lang w:val="en-AU"/>
              </w:rPr>
            </w:pPr>
            <w:r>
              <w:rPr>
                <w:lang w:val="en-AU"/>
              </w:rPr>
              <w:t>Rectify</w:t>
            </w:r>
          </w:p>
        </w:tc>
      </w:tr>
    </w:tbl>
    <w:p w14:paraId="6EDBC9C0" w14:textId="4EB5CDF3" w:rsidR="00405927" w:rsidRDefault="00405927" w:rsidP="00405927">
      <w:pPr>
        <w:spacing w:line="80" w:lineRule="exact"/>
        <w:rPr>
          <w:lang w:val="en-AU"/>
        </w:rPr>
      </w:pPr>
    </w:p>
    <w:p w14:paraId="59253031" w14:textId="56028C58" w:rsidR="00F7246C" w:rsidRDefault="00793AC5">
      <w:pPr>
        <w:rPr>
          <w:lang w:val="en-AU"/>
        </w:rPr>
      </w:pPr>
      <w:r>
        <w:rPr>
          <w:noProof/>
          <w:snapToGrid/>
          <w:lang w:val="en-AU"/>
        </w:rPr>
        <w:pict w14:anchorId="6C7679A3">
          <v:shape id="_x0000_s1041" type="#_x0000_t202" style="position:absolute;margin-left:0;margin-top:779.65pt;width:481.9pt;height:36.85pt;z-index:-251657728;mso-wrap-distance-top:5.65pt;mso-position-horizontal:center;mso-position-horizontal-relative:page;mso-position-vertical:absolute;mso-position-vertical-relative:page" stroked="f">
            <v:textbox style="mso-next-textbox:#_x0000_s1041" inset="0,,0">
              <w:txbxContent>
                <w:p w14:paraId="6D60B326" w14:textId="77777777" w:rsidR="00A37284" w:rsidRDefault="00A37284" w:rsidP="00A37284">
                  <w:pPr>
                    <w:pBdr>
                      <w:top w:val="single" w:sz="6" w:space="1" w:color="000000"/>
                    </w:pBdr>
                    <w:spacing w:line="60" w:lineRule="exact"/>
                    <w:jc w:val="right"/>
                    <w:rPr>
                      <w:b/>
                    </w:rPr>
                  </w:pPr>
                </w:p>
                <w:p w14:paraId="30E526A9" w14:textId="2AFE2D65" w:rsidR="008E6F0A" w:rsidRDefault="008E6F0A" w:rsidP="008E6F0A">
                  <w:pPr>
                    <w:pBdr>
                      <w:top w:val="single" w:sz="6" w:space="1" w:color="000000"/>
                    </w:pBdr>
                    <w:jc w:val="right"/>
                  </w:pPr>
                  <w:r>
                    <w:t xml:space="preserve">Department of State Growth  </w:t>
                  </w:r>
                  <w:r w:rsidR="00793AC5">
                    <w:t>June</w:t>
                  </w:r>
                  <w:r>
                    <w:t xml:space="preserve"> 2022</w:t>
                  </w:r>
                </w:p>
                <w:p w14:paraId="058E9F23" w14:textId="33124812" w:rsidR="00A37284" w:rsidRDefault="00A37284" w:rsidP="00A37284">
                  <w:pPr>
                    <w:jc w:val="right"/>
                  </w:pPr>
                  <w:r>
                    <w:t xml:space="preserve">Section 180 (Page 3 of </w:t>
                  </w:r>
                  <w:r w:rsidR="009717D4">
                    <w:t>5</w:t>
                  </w:r>
                  <w:r>
                    <w:t>)</w:t>
                  </w:r>
                </w:p>
                <w:p w14:paraId="4B7BA408" w14:textId="77777777" w:rsidR="00A37284" w:rsidRDefault="00A37284" w:rsidP="00A37284">
                  <w:pPr>
                    <w:jc w:val="right"/>
                  </w:pPr>
                </w:p>
              </w:txbxContent>
            </v:textbox>
            <w10:wrap anchorx="page" anchory="page"/>
            <w10:anchorlock/>
          </v:shape>
        </w:pict>
      </w:r>
      <w:r w:rsidR="00405927">
        <w:rPr>
          <w:lang w:val="en-AU"/>
        </w:rPr>
        <w:br w:type="page"/>
      </w:r>
    </w:p>
    <w:p w14:paraId="02B69F3F" w14:textId="4137EAB4" w:rsidR="00F7246C" w:rsidRDefault="00F7246C" w:rsidP="009D2951">
      <w:pPr>
        <w:pStyle w:val="Heading3SS"/>
      </w:pPr>
      <w:r>
        <w:t>180.0</w:t>
      </w:r>
      <w:r w:rsidR="009778CC">
        <w:t>8</w:t>
      </w:r>
      <w:r>
        <w:tab/>
      </w:r>
      <w:r w:rsidR="00104320">
        <w:t>Not Used</w:t>
      </w:r>
    </w:p>
    <w:p w14:paraId="5F8285D5" w14:textId="77777777" w:rsidR="00F7246C" w:rsidRDefault="00F7246C" w:rsidP="00BE5EB8">
      <w:pPr>
        <w:rPr>
          <w:lang w:val="en-AU"/>
        </w:rPr>
      </w:pPr>
    </w:p>
    <w:p w14:paraId="3810A82D" w14:textId="77777777" w:rsidR="00F7246C" w:rsidRDefault="00F7246C" w:rsidP="00BE5EB8">
      <w:pPr>
        <w:rPr>
          <w:lang w:val="en-AU"/>
        </w:rPr>
      </w:pPr>
    </w:p>
    <w:p w14:paraId="72108FC6" w14:textId="55C05082" w:rsidR="00F7246C" w:rsidRDefault="00F7246C" w:rsidP="009D2951">
      <w:pPr>
        <w:pStyle w:val="Heading3SS"/>
      </w:pPr>
      <w:r>
        <w:t>180.0</w:t>
      </w:r>
      <w:r w:rsidR="00CB752D">
        <w:t>9</w:t>
      </w:r>
      <w:r>
        <w:tab/>
        <w:t>PAVEMENT RECTIFICATION</w:t>
      </w:r>
    </w:p>
    <w:p w14:paraId="00689F70" w14:textId="77777777" w:rsidR="00F7246C" w:rsidRDefault="00F7246C" w:rsidP="00BE5EB8">
      <w:pPr>
        <w:rPr>
          <w:lang w:val="en-AU"/>
        </w:rPr>
      </w:pPr>
    </w:p>
    <w:p w14:paraId="48B92C95" w14:textId="77777777" w:rsidR="00F7246C" w:rsidRDefault="00F7246C" w:rsidP="00BE5EB8">
      <w:pPr>
        <w:rPr>
          <w:lang w:val="en-AU"/>
        </w:rPr>
      </w:pPr>
      <w:r>
        <w:rPr>
          <w:lang w:val="en-AU"/>
        </w:rPr>
        <w:t xml:space="preserve">The Contractor shall bear the full cost of any necessary rectification work including the cost of any additional work required to the underlying or adjacent pavement to comply with this </w:t>
      </w:r>
      <w:r w:rsidR="0010370D">
        <w:rPr>
          <w:lang w:val="en-AU"/>
        </w:rPr>
        <w:t>s</w:t>
      </w:r>
      <w:r>
        <w:rPr>
          <w:lang w:val="en-AU"/>
        </w:rPr>
        <w:t>ection.  All rectification work shall be carried out in accordance with the requirements of th</w:t>
      </w:r>
      <w:r w:rsidR="00CA52E2">
        <w:rPr>
          <w:lang w:val="en-AU"/>
        </w:rPr>
        <w:t>e</w:t>
      </w:r>
      <w:r>
        <w:rPr>
          <w:lang w:val="en-AU"/>
        </w:rPr>
        <w:t xml:space="preserve"> specification.</w:t>
      </w:r>
    </w:p>
    <w:p w14:paraId="02F02002" w14:textId="77777777" w:rsidR="00F7246C" w:rsidRDefault="00F7246C" w:rsidP="00BE5EB8">
      <w:pPr>
        <w:rPr>
          <w:lang w:val="en-AU"/>
        </w:rPr>
      </w:pPr>
    </w:p>
    <w:p w14:paraId="5108A05A" w14:textId="1C815CF6" w:rsidR="00F7246C" w:rsidRDefault="00F7246C" w:rsidP="00BE5EB8">
      <w:pPr>
        <w:rPr>
          <w:lang w:val="en-AU"/>
        </w:rPr>
      </w:pPr>
    </w:p>
    <w:p w14:paraId="52FC7C4E" w14:textId="6B7272FF" w:rsidR="00F7246C" w:rsidRDefault="00F7246C" w:rsidP="00706AFA">
      <w:pPr>
        <w:pStyle w:val="Heading3SS"/>
      </w:pPr>
      <w:r>
        <w:t>180.</w:t>
      </w:r>
      <w:r w:rsidR="00CB752D">
        <w:t>1</w:t>
      </w:r>
      <w:r>
        <w:t>0</w:t>
      </w:r>
      <w:r>
        <w:tab/>
        <w:t>SCHEDULE OF DETAILS</w:t>
      </w:r>
    </w:p>
    <w:p w14:paraId="3B39A47D" w14:textId="77777777" w:rsidR="00F7246C" w:rsidRDefault="00F7246C" w:rsidP="00BE5EB8">
      <w:pPr>
        <w:rPr>
          <w:lang w:val="en-AU"/>
        </w:rPr>
      </w:pPr>
    </w:p>
    <w:p w14:paraId="2D681552" w14:textId="7ACF2387" w:rsidR="00F7246C" w:rsidRDefault="00F7246C" w:rsidP="00706AFA">
      <w:pPr>
        <w:tabs>
          <w:tab w:val="left" w:pos="454"/>
        </w:tabs>
        <w:ind w:left="454" w:hanging="454"/>
        <w:rPr>
          <w:lang w:val="en-AU"/>
        </w:rPr>
      </w:pPr>
      <w:r>
        <w:rPr>
          <w:lang w:val="en-AU"/>
        </w:rPr>
        <w:t>(a)</w:t>
      </w:r>
      <w:r>
        <w:rPr>
          <w:lang w:val="en-AU"/>
        </w:rPr>
        <w:tab/>
        <w:t>The locations shown in Table 180.</w:t>
      </w:r>
      <w:r w:rsidR="00CB752D">
        <w:rPr>
          <w:lang w:val="en-AU"/>
        </w:rPr>
        <w:t>1</w:t>
      </w:r>
      <w:r>
        <w:rPr>
          <w:lang w:val="en-AU"/>
        </w:rPr>
        <w:t>01 are exempt from ride quality assessment.</w:t>
      </w:r>
    </w:p>
    <w:p w14:paraId="0D06B053" w14:textId="7AB932ED" w:rsidR="00F7246C" w:rsidRPr="002F6D3C" w:rsidRDefault="00F7246C" w:rsidP="002F6D3C">
      <w:pPr>
        <w:spacing w:before="120" w:after="60"/>
        <w:ind w:left="454"/>
        <w:rPr>
          <w:b/>
        </w:rPr>
      </w:pPr>
      <w:r w:rsidRPr="002F6D3C">
        <w:rPr>
          <w:b/>
        </w:rPr>
        <w:t>Table 180.</w:t>
      </w:r>
      <w:r w:rsidR="00765C22">
        <w:rPr>
          <w:b/>
        </w:rPr>
        <w:t>1</w:t>
      </w:r>
      <w:r w:rsidRPr="002F6D3C">
        <w:rPr>
          <w:b/>
        </w:rPr>
        <w:t xml:space="preserve">01  Locations Exempted from Ride Quality </w:t>
      </w:r>
      <w:r w:rsidR="00765C22">
        <w:rPr>
          <w:b/>
        </w:rPr>
        <w:t>Assessment</w:t>
      </w:r>
    </w:p>
    <w:tbl>
      <w:tblPr>
        <w:tblW w:w="0" w:type="auto"/>
        <w:tblInd w:w="612" w:type="dxa"/>
        <w:tblLayout w:type="fixed"/>
        <w:tblCellMar>
          <w:top w:w="102" w:type="dxa"/>
          <w:left w:w="85" w:type="dxa"/>
          <w:bottom w:w="57" w:type="dxa"/>
          <w:right w:w="85" w:type="dxa"/>
        </w:tblCellMar>
        <w:tblLook w:val="0000" w:firstRow="0" w:lastRow="0" w:firstColumn="0" w:lastColumn="0" w:noHBand="0" w:noVBand="0"/>
      </w:tblPr>
      <w:tblGrid>
        <w:gridCol w:w="1056"/>
        <w:gridCol w:w="5080"/>
        <w:gridCol w:w="1417"/>
        <w:gridCol w:w="1418"/>
      </w:tblGrid>
      <w:tr w:rsidR="00CB752D" w:rsidRPr="00CD4D4B" w14:paraId="7FD6F3CB" w14:textId="77777777" w:rsidTr="001B6D89">
        <w:tc>
          <w:tcPr>
            <w:tcW w:w="1056" w:type="dxa"/>
            <w:tcBorders>
              <w:top w:val="single" w:sz="12" w:space="0" w:color="auto"/>
              <w:left w:val="single" w:sz="12" w:space="0" w:color="auto"/>
              <w:bottom w:val="single" w:sz="12" w:space="0" w:color="auto"/>
              <w:right w:val="single" w:sz="8" w:space="0" w:color="auto"/>
            </w:tcBorders>
          </w:tcPr>
          <w:p w14:paraId="54A72935" w14:textId="563E515F" w:rsidR="00CB752D" w:rsidRPr="00CD4D4B" w:rsidRDefault="00CB752D" w:rsidP="00CD4D4B">
            <w:pPr>
              <w:jc w:val="center"/>
              <w:rPr>
                <w:b/>
                <w:lang w:val="en-AU"/>
              </w:rPr>
            </w:pPr>
            <w:r w:rsidRPr="00CD4D4B">
              <w:rPr>
                <w:b/>
                <w:lang w:val="en-AU"/>
              </w:rPr>
              <w:t>S</w:t>
            </w:r>
            <w:r>
              <w:rPr>
                <w:b/>
                <w:lang w:val="en-AU"/>
              </w:rPr>
              <w:t>ite Number</w:t>
            </w:r>
          </w:p>
        </w:tc>
        <w:tc>
          <w:tcPr>
            <w:tcW w:w="5080" w:type="dxa"/>
            <w:tcBorders>
              <w:top w:val="single" w:sz="12" w:space="0" w:color="auto"/>
              <w:left w:val="single" w:sz="8" w:space="0" w:color="auto"/>
              <w:bottom w:val="single" w:sz="12" w:space="0" w:color="auto"/>
              <w:right w:val="single" w:sz="8" w:space="0" w:color="auto"/>
            </w:tcBorders>
          </w:tcPr>
          <w:p w14:paraId="3A8DEDA3" w14:textId="4228E079" w:rsidR="00CB752D" w:rsidRPr="00CD4D4B" w:rsidRDefault="00CB752D" w:rsidP="00CD4D4B">
            <w:pPr>
              <w:jc w:val="center"/>
              <w:rPr>
                <w:b/>
                <w:lang w:val="en-AU"/>
              </w:rPr>
            </w:pPr>
            <w:r w:rsidRPr="00CD4D4B">
              <w:rPr>
                <w:b/>
                <w:lang w:val="en-AU"/>
              </w:rPr>
              <w:t>Location</w:t>
            </w:r>
          </w:p>
        </w:tc>
        <w:tc>
          <w:tcPr>
            <w:tcW w:w="1417" w:type="dxa"/>
            <w:tcBorders>
              <w:top w:val="single" w:sz="12" w:space="0" w:color="auto"/>
              <w:left w:val="single" w:sz="8" w:space="0" w:color="auto"/>
              <w:bottom w:val="single" w:sz="12" w:space="0" w:color="auto"/>
              <w:right w:val="single" w:sz="8" w:space="0" w:color="auto"/>
            </w:tcBorders>
          </w:tcPr>
          <w:p w14:paraId="71E24DC5" w14:textId="4EE4E0F6" w:rsidR="00CB752D" w:rsidRPr="00CD4D4B" w:rsidRDefault="00CB752D" w:rsidP="00CD4D4B">
            <w:pPr>
              <w:jc w:val="center"/>
              <w:rPr>
                <w:b/>
                <w:lang w:val="en-AU"/>
              </w:rPr>
            </w:pPr>
            <w:r>
              <w:rPr>
                <w:b/>
                <w:lang w:val="en-AU"/>
              </w:rPr>
              <w:t>Start Chainage</w:t>
            </w:r>
          </w:p>
        </w:tc>
        <w:tc>
          <w:tcPr>
            <w:tcW w:w="1418" w:type="dxa"/>
            <w:tcBorders>
              <w:top w:val="single" w:sz="12" w:space="0" w:color="auto"/>
              <w:left w:val="single" w:sz="8" w:space="0" w:color="auto"/>
              <w:bottom w:val="single" w:sz="12" w:space="0" w:color="auto"/>
              <w:right w:val="single" w:sz="12" w:space="0" w:color="auto"/>
            </w:tcBorders>
          </w:tcPr>
          <w:p w14:paraId="2BE4B3EA" w14:textId="533694C2" w:rsidR="00CB752D" w:rsidRPr="00CD4D4B" w:rsidRDefault="00CB752D" w:rsidP="00CD4D4B">
            <w:pPr>
              <w:jc w:val="center"/>
              <w:rPr>
                <w:b/>
                <w:lang w:val="en-AU"/>
              </w:rPr>
            </w:pPr>
            <w:r>
              <w:rPr>
                <w:b/>
                <w:lang w:val="en-AU"/>
              </w:rPr>
              <w:t>End Chainage</w:t>
            </w:r>
          </w:p>
        </w:tc>
      </w:tr>
      <w:tr w:rsidR="00CB752D" w14:paraId="19ECA230" w14:textId="77777777" w:rsidTr="001B6D89">
        <w:tc>
          <w:tcPr>
            <w:tcW w:w="1056" w:type="dxa"/>
            <w:tcBorders>
              <w:top w:val="single" w:sz="12" w:space="0" w:color="auto"/>
              <w:left w:val="single" w:sz="12" w:space="0" w:color="auto"/>
              <w:bottom w:val="single" w:sz="8" w:space="0" w:color="auto"/>
              <w:right w:val="single" w:sz="8" w:space="0" w:color="auto"/>
            </w:tcBorders>
          </w:tcPr>
          <w:p w14:paraId="7453A023" w14:textId="77777777" w:rsidR="00CB752D" w:rsidRDefault="00CB752D" w:rsidP="00706AFA">
            <w:pPr>
              <w:jc w:val="center"/>
              <w:rPr>
                <w:lang w:val="en-AU"/>
              </w:rPr>
            </w:pPr>
            <w:r>
              <w:rPr>
                <w:lang w:val="en-AU"/>
              </w:rPr>
              <w:t>##:</w:t>
            </w:r>
          </w:p>
        </w:tc>
        <w:tc>
          <w:tcPr>
            <w:tcW w:w="5080" w:type="dxa"/>
            <w:tcBorders>
              <w:top w:val="single" w:sz="12" w:space="0" w:color="auto"/>
              <w:left w:val="single" w:sz="8" w:space="0" w:color="auto"/>
              <w:bottom w:val="single" w:sz="8" w:space="0" w:color="auto"/>
              <w:right w:val="single" w:sz="8" w:space="0" w:color="auto"/>
            </w:tcBorders>
          </w:tcPr>
          <w:p w14:paraId="05BA52AB" w14:textId="166A89B1" w:rsidR="00CB752D" w:rsidRDefault="00CB752D" w:rsidP="00706AFA">
            <w:pPr>
              <w:rPr>
                <w:lang w:val="en-AU"/>
              </w:rPr>
            </w:pPr>
            <w:r>
              <w:rPr>
                <w:lang w:val="en-AU"/>
              </w:rPr>
              <w:t>##intersections:</w:t>
            </w:r>
          </w:p>
        </w:tc>
        <w:tc>
          <w:tcPr>
            <w:tcW w:w="1417" w:type="dxa"/>
            <w:tcBorders>
              <w:top w:val="single" w:sz="12" w:space="0" w:color="auto"/>
              <w:left w:val="single" w:sz="8" w:space="0" w:color="auto"/>
              <w:bottom w:val="single" w:sz="8" w:space="0" w:color="auto"/>
              <w:right w:val="single" w:sz="8" w:space="0" w:color="auto"/>
            </w:tcBorders>
          </w:tcPr>
          <w:p w14:paraId="58021521" w14:textId="77777777" w:rsidR="00CB752D" w:rsidRDefault="00CB752D" w:rsidP="00706AFA">
            <w:pPr>
              <w:rPr>
                <w:lang w:val="en-AU"/>
              </w:rPr>
            </w:pPr>
          </w:p>
        </w:tc>
        <w:tc>
          <w:tcPr>
            <w:tcW w:w="1418" w:type="dxa"/>
            <w:tcBorders>
              <w:top w:val="single" w:sz="12" w:space="0" w:color="auto"/>
              <w:left w:val="single" w:sz="8" w:space="0" w:color="auto"/>
              <w:bottom w:val="single" w:sz="8" w:space="0" w:color="auto"/>
              <w:right w:val="single" w:sz="12" w:space="0" w:color="auto"/>
            </w:tcBorders>
          </w:tcPr>
          <w:p w14:paraId="47336669" w14:textId="671E0533" w:rsidR="00CB752D" w:rsidRDefault="00CB752D" w:rsidP="00706AFA">
            <w:pPr>
              <w:rPr>
                <w:lang w:val="en-AU"/>
              </w:rPr>
            </w:pPr>
          </w:p>
        </w:tc>
      </w:tr>
      <w:tr w:rsidR="00CB752D" w14:paraId="6175CAA7" w14:textId="77777777" w:rsidTr="001B6D89">
        <w:tc>
          <w:tcPr>
            <w:tcW w:w="1056" w:type="dxa"/>
            <w:tcBorders>
              <w:top w:val="single" w:sz="8" w:space="0" w:color="auto"/>
              <w:left w:val="single" w:sz="12" w:space="0" w:color="auto"/>
              <w:bottom w:val="single" w:sz="8" w:space="0" w:color="auto"/>
              <w:right w:val="single" w:sz="8" w:space="0" w:color="auto"/>
            </w:tcBorders>
          </w:tcPr>
          <w:p w14:paraId="2616CF53" w14:textId="02303A52" w:rsidR="00CB752D" w:rsidRDefault="00991FE1" w:rsidP="00706AFA">
            <w:pPr>
              <w:jc w:val="center"/>
              <w:rPr>
                <w:lang w:val="en-AU"/>
              </w:rPr>
            </w:pPr>
            <w:r>
              <w:rPr>
                <w:lang w:val="en-AU"/>
              </w:rPr>
              <w:t>##:</w:t>
            </w:r>
          </w:p>
        </w:tc>
        <w:tc>
          <w:tcPr>
            <w:tcW w:w="5080" w:type="dxa"/>
            <w:tcBorders>
              <w:top w:val="single" w:sz="8" w:space="0" w:color="auto"/>
              <w:left w:val="single" w:sz="8" w:space="0" w:color="auto"/>
              <w:bottom w:val="single" w:sz="8" w:space="0" w:color="auto"/>
              <w:right w:val="single" w:sz="8" w:space="0" w:color="auto"/>
            </w:tcBorders>
          </w:tcPr>
          <w:p w14:paraId="7A53F0F1" w14:textId="4C57E7FF" w:rsidR="00CB752D" w:rsidRDefault="00991FE1" w:rsidP="00706AFA">
            <w:pPr>
              <w:rPr>
                <w:lang w:val="en-AU"/>
              </w:rPr>
            </w:pPr>
            <w:r>
              <w:rPr>
                <w:lang w:val="en-AU"/>
              </w:rPr>
              <w:t>##side streets deemed to affect pavement ride quality:</w:t>
            </w:r>
          </w:p>
        </w:tc>
        <w:tc>
          <w:tcPr>
            <w:tcW w:w="1417" w:type="dxa"/>
            <w:tcBorders>
              <w:top w:val="single" w:sz="8" w:space="0" w:color="auto"/>
              <w:left w:val="single" w:sz="8" w:space="0" w:color="auto"/>
              <w:bottom w:val="single" w:sz="8" w:space="0" w:color="auto"/>
              <w:right w:val="single" w:sz="8" w:space="0" w:color="auto"/>
            </w:tcBorders>
          </w:tcPr>
          <w:p w14:paraId="014F5433" w14:textId="77777777" w:rsidR="00CB752D" w:rsidRDefault="00CB752D" w:rsidP="00706AFA">
            <w:pPr>
              <w:rPr>
                <w:lang w:val="en-AU"/>
              </w:rPr>
            </w:pPr>
          </w:p>
        </w:tc>
        <w:tc>
          <w:tcPr>
            <w:tcW w:w="1418" w:type="dxa"/>
            <w:tcBorders>
              <w:top w:val="single" w:sz="8" w:space="0" w:color="auto"/>
              <w:left w:val="single" w:sz="8" w:space="0" w:color="auto"/>
              <w:bottom w:val="single" w:sz="8" w:space="0" w:color="auto"/>
              <w:right w:val="single" w:sz="12" w:space="0" w:color="auto"/>
            </w:tcBorders>
          </w:tcPr>
          <w:p w14:paraId="541C6C5B" w14:textId="66A8F1DF" w:rsidR="00CB752D" w:rsidRDefault="00CB752D" w:rsidP="00706AFA">
            <w:pPr>
              <w:rPr>
                <w:lang w:val="en-AU"/>
              </w:rPr>
            </w:pPr>
          </w:p>
        </w:tc>
      </w:tr>
      <w:tr w:rsidR="00991FE1" w14:paraId="48E25DF2" w14:textId="77777777" w:rsidTr="001B6D89">
        <w:tc>
          <w:tcPr>
            <w:tcW w:w="1056" w:type="dxa"/>
            <w:tcBorders>
              <w:top w:val="single" w:sz="8" w:space="0" w:color="auto"/>
              <w:left w:val="single" w:sz="12" w:space="0" w:color="auto"/>
              <w:bottom w:val="single" w:sz="8" w:space="0" w:color="auto"/>
              <w:right w:val="single" w:sz="8" w:space="0" w:color="auto"/>
            </w:tcBorders>
          </w:tcPr>
          <w:p w14:paraId="4D815803" w14:textId="5DC32A6A" w:rsidR="00991FE1" w:rsidRDefault="00991FE1" w:rsidP="00706AFA">
            <w:pPr>
              <w:jc w:val="center"/>
              <w:rPr>
                <w:lang w:val="en-AU"/>
              </w:rPr>
            </w:pPr>
            <w:r>
              <w:rPr>
                <w:lang w:val="en-AU"/>
              </w:rPr>
              <w:t>##:</w:t>
            </w:r>
          </w:p>
        </w:tc>
        <w:tc>
          <w:tcPr>
            <w:tcW w:w="5080" w:type="dxa"/>
            <w:tcBorders>
              <w:top w:val="single" w:sz="8" w:space="0" w:color="auto"/>
              <w:left w:val="single" w:sz="8" w:space="0" w:color="auto"/>
              <w:bottom w:val="single" w:sz="8" w:space="0" w:color="auto"/>
              <w:right w:val="single" w:sz="8" w:space="0" w:color="auto"/>
            </w:tcBorders>
          </w:tcPr>
          <w:p w14:paraId="761A4E84" w14:textId="5B2CF802" w:rsidR="00991FE1" w:rsidRDefault="00991FE1" w:rsidP="00706AFA">
            <w:pPr>
              <w:rPr>
                <w:lang w:val="en-AU"/>
              </w:rPr>
            </w:pPr>
            <w:r>
              <w:rPr>
                <w:lang w:val="en-AU"/>
              </w:rPr>
              <w:t>##start join in the direction of travel:</w:t>
            </w:r>
          </w:p>
        </w:tc>
        <w:tc>
          <w:tcPr>
            <w:tcW w:w="1417" w:type="dxa"/>
            <w:tcBorders>
              <w:top w:val="single" w:sz="8" w:space="0" w:color="auto"/>
              <w:left w:val="single" w:sz="8" w:space="0" w:color="auto"/>
              <w:bottom w:val="single" w:sz="8" w:space="0" w:color="auto"/>
              <w:right w:val="single" w:sz="8" w:space="0" w:color="auto"/>
            </w:tcBorders>
          </w:tcPr>
          <w:p w14:paraId="6A431F94" w14:textId="77777777" w:rsidR="00991FE1" w:rsidRDefault="00991FE1" w:rsidP="00706AFA">
            <w:pPr>
              <w:rPr>
                <w:lang w:val="en-AU"/>
              </w:rPr>
            </w:pPr>
          </w:p>
        </w:tc>
        <w:tc>
          <w:tcPr>
            <w:tcW w:w="1418" w:type="dxa"/>
            <w:tcBorders>
              <w:top w:val="single" w:sz="8" w:space="0" w:color="auto"/>
              <w:left w:val="single" w:sz="8" w:space="0" w:color="auto"/>
              <w:bottom w:val="single" w:sz="8" w:space="0" w:color="auto"/>
              <w:right w:val="single" w:sz="12" w:space="0" w:color="auto"/>
            </w:tcBorders>
          </w:tcPr>
          <w:p w14:paraId="2C1F53E6" w14:textId="77777777" w:rsidR="00991FE1" w:rsidRDefault="00991FE1" w:rsidP="00706AFA">
            <w:pPr>
              <w:rPr>
                <w:lang w:val="en-AU"/>
              </w:rPr>
            </w:pPr>
          </w:p>
        </w:tc>
      </w:tr>
      <w:tr w:rsidR="00991FE1" w14:paraId="07976515" w14:textId="77777777" w:rsidTr="001B6D89">
        <w:tc>
          <w:tcPr>
            <w:tcW w:w="1056" w:type="dxa"/>
            <w:tcBorders>
              <w:top w:val="single" w:sz="8" w:space="0" w:color="auto"/>
              <w:left w:val="single" w:sz="12" w:space="0" w:color="auto"/>
              <w:bottom w:val="single" w:sz="8" w:space="0" w:color="auto"/>
              <w:right w:val="single" w:sz="8" w:space="0" w:color="auto"/>
            </w:tcBorders>
          </w:tcPr>
          <w:p w14:paraId="4C163468" w14:textId="3FBED2BD" w:rsidR="00991FE1" w:rsidRDefault="00991FE1" w:rsidP="00706AFA">
            <w:pPr>
              <w:jc w:val="center"/>
              <w:rPr>
                <w:lang w:val="en-AU"/>
              </w:rPr>
            </w:pPr>
            <w:r>
              <w:rPr>
                <w:lang w:val="en-AU"/>
              </w:rPr>
              <w:t>##:</w:t>
            </w:r>
          </w:p>
        </w:tc>
        <w:tc>
          <w:tcPr>
            <w:tcW w:w="5080" w:type="dxa"/>
            <w:tcBorders>
              <w:top w:val="single" w:sz="8" w:space="0" w:color="auto"/>
              <w:left w:val="single" w:sz="8" w:space="0" w:color="auto"/>
              <w:bottom w:val="single" w:sz="8" w:space="0" w:color="auto"/>
              <w:right w:val="single" w:sz="8" w:space="0" w:color="auto"/>
            </w:tcBorders>
          </w:tcPr>
          <w:p w14:paraId="0AE54D7B" w14:textId="39E07126" w:rsidR="00991FE1" w:rsidRDefault="00F629C4" w:rsidP="00706AFA">
            <w:pPr>
              <w:rPr>
                <w:lang w:val="en-AU"/>
              </w:rPr>
            </w:pPr>
            <w:r>
              <w:rPr>
                <w:lang w:val="en-AU"/>
              </w:rPr>
              <w:t>##roundabouts:</w:t>
            </w:r>
          </w:p>
        </w:tc>
        <w:tc>
          <w:tcPr>
            <w:tcW w:w="1417" w:type="dxa"/>
            <w:tcBorders>
              <w:top w:val="single" w:sz="8" w:space="0" w:color="auto"/>
              <w:left w:val="single" w:sz="8" w:space="0" w:color="auto"/>
              <w:bottom w:val="single" w:sz="8" w:space="0" w:color="auto"/>
              <w:right w:val="single" w:sz="8" w:space="0" w:color="auto"/>
            </w:tcBorders>
          </w:tcPr>
          <w:p w14:paraId="19DA170A" w14:textId="77777777" w:rsidR="00991FE1" w:rsidRDefault="00991FE1" w:rsidP="00706AFA">
            <w:pPr>
              <w:rPr>
                <w:lang w:val="en-AU"/>
              </w:rPr>
            </w:pPr>
          </w:p>
        </w:tc>
        <w:tc>
          <w:tcPr>
            <w:tcW w:w="1418" w:type="dxa"/>
            <w:tcBorders>
              <w:top w:val="single" w:sz="8" w:space="0" w:color="auto"/>
              <w:left w:val="single" w:sz="8" w:space="0" w:color="auto"/>
              <w:bottom w:val="single" w:sz="8" w:space="0" w:color="auto"/>
              <w:right w:val="single" w:sz="12" w:space="0" w:color="auto"/>
            </w:tcBorders>
          </w:tcPr>
          <w:p w14:paraId="5EB2ACAE" w14:textId="77777777" w:rsidR="00991FE1" w:rsidRDefault="00991FE1" w:rsidP="00706AFA">
            <w:pPr>
              <w:rPr>
                <w:lang w:val="en-AU"/>
              </w:rPr>
            </w:pPr>
          </w:p>
        </w:tc>
      </w:tr>
      <w:tr w:rsidR="00CB752D" w14:paraId="7125C84C" w14:textId="77777777" w:rsidTr="001B6D89">
        <w:tc>
          <w:tcPr>
            <w:tcW w:w="1056" w:type="dxa"/>
            <w:tcBorders>
              <w:top w:val="single" w:sz="8" w:space="0" w:color="auto"/>
              <w:left w:val="single" w:sz="12" w:space="0" w:color="auto"/>
              <w:bottom w:val="single" w:sz="12" w:space="0" w:color="auto"/>
              <w:right w:val="single" w:sz="8" w:space="0" w:color="auto"/>
            </w:tcBorders>
          </w:tcPr>
          <w:p w14:paraId="7EEC6293" w14:textId="56B92B2B" w:rsidR="00CB752D" w:rsidRDefault="00991FE1" w:rsidP="00706AFA">
            <w:pPr>
              <w:jc w:val="center"/>
              <w:rPr>
                <w:lang w:val="en-AU"/>
              </w:rPr>
            </w:pPr>
            <w:r>
              <w:rPr>
                <w:lang w:val="en-AU"/>
              </w:rPr>
              <w:t>##:</w:t>
            </w:r>
          </w:p>
        </w:tc>
        <w:tc>
          <w:tcPr>
            <w:tcW w:w="5080" w:type="dxa"/>
            <w:tcBorders>
              <w:top w:val="single" w:sz="8" w:space="0" w:color="auto"/>
              <w:left w:val="single" w:sz="8" w:space="0" w:color="auto"/>
              <w:bottom w:val="single" w:sz="12" w:space="0" w:color="auto"/>
              <w:right w:val="single" w:sz="8" w:space="0" w:color="auto"/>
            </w:tcBorders>
          </w:tcPr>
          <w:p w14:paraId="74686ABB" w14:textId="27C3A47C" w:rsidR="00CB752D" w:rsidRDefault="00824432" w:rsidP="00706AFA">
            <w:pPr>
              <w:rPr>
                <w:lang w:val="en-AU"/>
              </w:rPr>
            </w:pPr>
            <w:r>
              <w:rPr>
                <w:lang w:val="en-AU"/>
              </w:rPr>
              <w:t>##other identified areas:</w:t>
            </w:r>
          </w:p>
        </w:tc>
        <w:tc>
          <w:tcPr>
            <w:tcW w:w="1417" w:type="dxa"/>
            <w:tcBorders>
              <w:top w:val="single" w:sz="8" w:space="0" w:color="auto"/>
              <w:left w:val="single" w:sz="8" w:space="0" w:color="auto"/>
              <w:bottom w:val="single" w:sz="12" w:space="0" w:color="auto"/>
              <w:right w:val="single" w:sz="8" w:space="0" w:color="auto"/>
            </w:tcBorders>
          </w:tcPr>
          <w:p w14:paraId="64D37DA5" w14:textId="77777777" w:rsidR="00CB752D" w:rsidRDefault="00CB752D" w:rsidP="00706AFA">
            <w:pPr>
              <w:rPr>
                <w:lang w:val="en-AU"/>
              </w:rPr>
            </w:pPr>
          </w:p>
        </w:tc>
        <w:tc>
          <w:tcPr>
            <w:tcW w:w="1418" w:type="dxa"/>
            <w:tcBorders>
              <w:top w:val="single" w:sz="8" w:space="0" w:color="auto"/>
              <w:left w:val="single" w:sz="8" w:space="0" w:color="auto"/>
              <w:bottom w:val="single" w:sz="12" w:space="0" w:color="auto"/>
              <w:right w:val="single" w:sz="12" w:space="0" w:color="auto"/>
            </w:tcBorders>
          </w:tcPr>
          <w:p w14:paraId="4D8E8F8C" w14:textId="66E82F38" w:rsidR="00CB752D" w:rsidRDefault="00CB752D" w:rsidP="00706AFA">
            <w:pPr>
              <w:rPr>
                <w:lang w:val="en-AU"/>
              </w:rPr>
            </w:pPr>
          </w:p>
        </w:tc>
      </w:tr>
    </w:tbl>
    <w:p w14:paraId="5181EEAA" w14:textId="721786FC" w:rsidR="009717D4" w:rsidRDefault="009717D4" w:rsidP="00CD4D4B">
      <w:pPr>
        <w:rPr>
          <w:lang w:val="en-AU"/>
        </w:rPr>
      </w:pPr>
    </w:p>
    <w:p w14:paraId="3EF2579A" w14:textId="5417D486" w:rsidR="00F7246C" w:rsidRDefault="00793AC5" w:rsidP="002E6C62">
      <w:pPr>
        <w:rPr>
          <w:lang w:val="en-AU"/>
        </w:rPr>
      </w:pPr>
      <w:r>
        <w:rPr>
          <w:noProof/>
          <w:snapToGrid/>
          <w:lang w:val="en-AU"/>
        </w:rPr>
        <w:pict w14:anchorId="6C7679A3">
          <v:shape id="_x0000_s1042" type="#_x0000_t202" style="position:absolute;margin-left:0;margin-top:779.65pt;width:481.9pt;height:36.85pt;z-index:-251656704;mso-wrap-distance-top:5.65pt;mso-position-horizontal:center;mso-position-horizontal-relative:page;mso-position-vertical:absolute;mso-position-vertical-relative:page" stroked="f">
            <v:textbox style="mso-next-textbox:#_x0000_s1042" inset="0,,0">
              <w:txbxContent>
                <w:p w14:paraId="2426042C" w14:textId="77777777" w:rsidR="009717D4" w:rsidRDefault="009717D4" w:rsidP="009717D4">
                  <w:pPr>
                    <w:pBdr>
                      <w:top w:val="single" w:sz="6" w:space="1" w:color="000000"/>
                    </w:pBdr>
                    <w:spacing w:line="60" w:lineRule="exact"/>
                    <w:jc w:val="right"/>
                    <w:rPr>
                      <w:b/>
                    </w:rPr>
                  </w:pPr>
                </w:p>
                <w:p w14:paraId="6208DF5C" w14:textId="6E4470FE" w:rsidR="008E6F0A" w:rsidRDefault="008E6F0A" w:rsidP="008E6F0A">
                  <w:pPr>
                    <w:pBdr>
                      <w:top w:val="single" w:sz="6" w:space="1" w:color="000000"/>
                    </w:pBdr>
                    <w:jc w:val="right"/>
                  </w:pPr>
                  <w:r>
                    <w:t xml:space="preserve">Department of State Growth  </w:t>
                  </w:r>
                  <w:r w:rsidR="00793AC5">
                    <w:t>June</w:t>
                  </w:r>
                  <w:r>
                    <w:t xml:space="preserve"> 2022</w:t>
                  </w:r>
                </w:p>
                <w:p w14:paraId="3DF2F953" w14:textId="681AA6B6" w:rsidR="009717D4" w:rsidRDefault="009717D4" w:rsidP="009717D4">
                  <w:pPr>
                    <w:jc w:val="right"/>
                  </w:pPr>
                  <w:r>
                    <w:t>Section 180 (Page 4 of 5)</w:t>
                  </w:r>
                </w:p>
                <w:p w14:paraId="2D53ABE3" w14:textId="77777777" w:rsidR="009717D4" w:rsidRDefault="009717D4" w:rsidP="009717D4">
                  <w:pPr>
                    <w:jc w:val="right"/>
                  </w:pPr>
                </w:p>
              </w:txbxContent>
            </v:textbox>
            <w10:wrap anchorx="page" anchory="page"/>
            <w10:anchorlock/>
          </v:shape>
        </w:pict>
      </w:r>
      <w:r w:rsidR="009717D4">
        <w:rPr>
          <w:lang w:val="en-AU"/>
        </w:rPr>
        <w:br w:type="page"/>
      </w:r>
    </w:p>
    <w:p w14:paraId="00ADCEB2" w14:textId="3F74CCAD" w:rsidR="00F7246C" w:rsidRDefault="00F7246C" w:rsidP="00706AFA">
      <w:pPr>
        <w:tabs>
          <w:tab w:val="left" w:pos="454"/>
        </w:tabs>
        <w:ind w:left="454" w:hanging="454"/>
        <w:rPr>
          <w:lang w:val="en-AU"/>
        </w:rPr>
      </w:pPr>
      <w:r>
        <w:rPr>
          <w:lang w:val="en-AU"/>
        </w:rPr>
        <w:t>(b)</w:t>
      </w:r>
      <w:r>
        <w:rPr>
          <w:lang w:val="en-AU"/>
        </w:rPr>
        <w:tab/>
        <w:t>The ride quality to be achieved at each location is to be in accordance with Table 180.</w:t>
      </w:r>
      <w:r w:rsidR="00240C27">
        <w:rPr>
          <w:lang w:val="en-AU"/>
        </w:rPr>
        <w:t>1</w:t>
      </w:r>
      <w:r>
        <w:rPr>
          <w:lang w:val="en-AU"/>
        </w:rPr>
        <w:t>02.</w:t>
      </w:r>
    </w:p>
    <w:p w14:paraId="26DF3B76" w14:textId="7CDCD57E" w:rsidR="00F7246C" w:rsidRPr="002F6D3C" w:rsidRDefault="00F7246C" w:rsidP="002F6D3C">
      <w:pPr>
        <w:spacing w:before="120" w:after="60"/>
        <w:ind w:left="454"/>
        <w:rPr>
          <w:b/>
        </w:rPr>
      </w:pPr>
      <w:r w:rsidRPr="002F6D3C">
        <w:rPr>
          <w:b/>
        </w:rPr>
        <w:t>Table 180.</w:t>
      </w:r>
      <w:r w:rsidR="00240C27">
        <w:rPr>
          <w:b/>
        </w:rPr>
        <w:t>1</w:t>
      </w:r>
      <w:r w:rsidRPr="002F6D3C">
        <w:rPr>
          <w:b/>
        </w:rPr>
        <w:t>02  Standard of Ride Quality</w:t>
      </w:r>
    </w:p>
    <w:tbl>
      <w:tblPr>
        <w:tblW w:w="0" w:type="auto"/>
        <w:tblInd w:w="589" w:type="dxa"/>
        <w:tblLayout w:type="fixed"/>
        <w:tblCellMar>
          <w:top w:w="102" w:type="dxa"/>
          <w:left w:w="85" w:type="dxa"/>
          <w:bottom w:w="57" w:type="dxa"/>
          <w:right w:w="85" w:type="dxa"/>
        </w:tblCellMar>
        <w:tblLook w:val="0000" w:firstRow="0" w:lastRow="0" w:firstColumn="0" w:lastColumn="0" w:noHBand="0" w:noVBand="0"/>
      </w:tblPr>
      <w:tblGrid>
        <w:gridCol w:w="5376"/>
        <w:gridCol w:w="1775"/>
        <w:gridCol w:w="1681"/>
      </w:tblGrid>
      <w:tr w:rsidR="00F7246C" w:rsidRPr="00E21E80" w14:paraId="57AAC791" w14:textId="77777777" w:rsidTr="008E34AE">
        <w:tc>
          <w:tcPr>
            <w:tcW w:w="5376" w:type="dxa"/>
            <w:tcBorders>
              <w:top w:val="single" w:sz="12" w:space="0" w:color="auto"/>
              <w:left w:val="single" w:sz="12" w:space="0" w:color="auto"/>
              <w:bottom w:val="single" w:sz="12" w:space="0" w:color="auto"/>
              <w:right w:val="single" w:sz="7" w:space="0" w:color="000000"/>
            </w:tcBorders>
            <w:vAlign w:val="center"/>
          </w:tcPr>
          <w:p w14:paraId="5CF8EB91" w14:textId="77777777" w:rsidR="00F7246C" w:rsidRPr="00E21E80" w:rsidRDefault="00F7246C" w:rsidP="00E21E80">
            <w:pPr>
              <w:jc w:val="center"/>
              <w:rPr>
                <w:b/>
                <w:lang w:val="en-AU"/>
              </w:rPr>
            </w:pPr>
            <w:r w:rsidRPr="00E21E80">
              <w:rPr>
                <w:b/>
                <w:lang w:val="en-AU"/>
              </w:rPr>
              <w:t>Location</w:t>
            </w:r>
          </w:p>
        </w:tc>
        <w:tc>
          <w:tcPr>
            <w:tcW w:w="1775" w:type="dxa"/>
            <w:tcBorders>
              <w:top w:val="single" w:sz="12" w:space="0" w:color="auto"/>
              <w:left w:val="single" w:sz="7" w:space="0" w:color="000000"/>
              <w:bottom w:val="single" w:sz="12" w:space="0" w:color="auto"/>
              <w:right w:val="single" w:sz="7" w:space="0" w:color="000000"/>
            </w:tcBorders>
            <w:vAlign w:val="bottom"/>
          </w:tcPr>
          <w:p w14:paraId="54720CE1" w14:textId="77777777" w:rsidR="00F7246C" w:rsidRPr="00E21E80" w:rsidRDefault="00F7246C" w:rsidP="00E21E80">
            <w:pPr>
              <w:jc w:val="center"/>
              <w:rPr>
                <w:b/>
                <w:lang w:val="en-AU"/>
              </w:rPr>
            </w:pPr>
            <w:r w:rsidRPr="00E21E80">
              <w:rPr>
                <w:b/>
                <w:lang w:val="en-AU"/>
              </w:rPr>
              <w:t>Maximum Individual Lane Roughness Value for any 100 m Subsection</w:t>
            </w:r>
          </w:p>
        </w:tc>
        <w:tc>
          <w:tcPr>
            <w:tcW w:w="1681" w:type="dxa"/>
            <w:tcBorders>
              <w:top w:val="single" w:sz="12" w:space="0" w:color="auto"/>
              <w:left w:val="single" w:sz="7" w:space="0" w:color="000000"/>
              <w:bottom w:val="single" w:sz="12" w:space="0" w:color="auto"/>
              <w:right w:val="single" w:sz="12" w:space="0" w:color="auto"/>
            </w:tcBorders>
            <w:vAlign w:val="center"/>
          </w:tcPr>
          <w:p w14:paraId="3664E4D0" w14:textId="77777777" w:rsidR="00F7246C" w:rsidRPr="00E21E80" w:rsidRDefault="00F7246C" w:rsidP="00E21E80">
            <w:pPr>
              <w:jc w:val="center"/>
              <w:rPr>
                <w:b/>
                <w:lang w:val="en-AU"/>
              </w:rPr>
            </w:pPr>
            <w:r w:rsidRPr="00E21E80">
              <w:rPr>
                <w:b/>
                <w:lang w:val="en-AU"/>
              </w:rPr>
              <w:t>Maximum Mean Lane Roughness Value for Lot</w:t>
            </w:r>
          </w:p>
        </w:tc>
      </w:tr>
      <w:tr w:rsidR="00F7246C" w14:paraId="4F20031E" w14:textId="77777777" w:rsidTr="008E34AE">
        <w:tc>
          <w:tcPr>
            <w:tcW w:w="5376" w:type="dxa"/>
            <w:tcBorders>
              <w:top w:val="single" w:sz="12" w:space="0" w:color="auto"/>
              <w:left w:val="single" w:sz="12" w:space="0" w:color="auto"/>
              <w:bottom w:val="single" w:sz="7" w:space="0" w:color="000000"/>
              <w:right w:val="single" w:sz="7" w:space="0" w:color="000000"/>
            </w:tcBorders>
          </w:tcPr>
          <w:p w14:paraId="4DB6F4DE" w14:textId="77777777" w:rsidR="00F7246C" w:rsidRDefault="00F7246C" w:rsidP="00E21E80">
            <w:pPr>
              <w:rPr>
                <w:lang w:val="en-AU"/>
              </w:rPr>
            </w:pPr>
            <w:r>
              <w:rPr>
                <w:lang w:val="en-AU"/>
              </w:rPr>
              <w:t>##insert location:</w:t>
            </w:r>
          </w:p>
        </w:tc>
        <w:tc>
          <w:tcPr>
            <w:tcW w:w="1775" w:type="dxa"/>
            <w:tcBorders>
              <w:top w:val="single" w:sz="12" w:space="0" w:color="auto"/>
              <w:left w:val="single" w:sz="7" w:space="0" w:color="000000"/>
              <w:bottom w:val="single" w:sz="7" w:space="0" w:color="000000"/>
              <w:right w:val="single" w:sz="7" w:space="0" w:color="000000"/>
            </w:tcBorders>
          </w:tcPr>
          <w:p w14:paraId="7EDCD7C3" w14:textId="77777777" w:rsidR="00F7246C" w:rsidRDefault="00F7246C" w:rsidP="00E21E80">
            <w:pPr>
              <w:jc w:val="center"/>
              <w:rPr>
                <w:lang w:val="en-AU"/>
              </w:rPr>
            </w:pPr>
            <w:r>
              <w:rPr>
                <w:lang w:val="en-AU"/>
              </w:rPr>
              <w:t>##refer to Table A of Guide Notes:</w:t>
            </w:r>
          </w:p>
        </w:tc>
        <w:tc>
          <w:tcPr>
            <w:tcW w:w="1681" w:type="dxa"/>
            <w:tcBorders>
              <w:top w:val="single" w:sz="12" w:space="0" w:color="auto"/>
              <w:left w:val="single" w:sz="7" w:space="0" w:color="000000"/>
              <w:bottom w:val="single" w:sz="7" w:space="0" w:color="000000"/>
              <w:right w:val="single" w:sz="12" w:space="0" w:color="auto"/>
            </w:tcBorders>
          </w:tcPr>
          <w:p w14:paraId="794E625A" w14:textId="77777777" w:rsidR="00F7246C" w:rsidRDefault="00F7246C" w:rsidP="00E21E80">
            <w:pPr>
              <w:jc w:val="center"/>
              <w:rPr>
                <w:lang w:val="en-AU"/>
              </w:rPr>
            </w:pPr>
            <w:r>
              <w:rPr>
                <w:lang w:val="en-AU"/>
              </w:rPr>
              <w:t>##refer to Table A of Guide Notes:</w:t>
            </w:r>
          </w:p>
        </w:tc>
      </w:tr>
      <w:tr w:rsidR="00F7246C" w14:paraId="2FEBC143" w14:textId="77777777" w:rsidTr="008E34AE">
        <w:tc>
          <w:tcPr>
            <w:tcW w:w="5376" w:type="dxa"/>
            <w:tcBorders>
              <w:top w:val="single" w:sz="7" w:space="0" w:color="000000"/>
              <w:left w:val="single" w:sz="12" w:space="0" w:color="auto"/>
              <w:bottom w:val="single" w:sz="7" w:space="0" w:color="000000"/>
              <w:right w:val="single" w:sz="7" w:space="0" w:color="000000"/>
            </w:tcBorders>
          </w:tcPr>
          <w:p w14:paraId="1A246972" w14:textId="77777777" w:rsidR="00F7246C" w:rsidRDefault="00F7246C" w:rsidP="00E21E80">
            <w:pPr>
              <w:rPr>
                <w:lang w:val="en-AU"/>
              </w:rPr>
            </w:pPr>
          </w:p>
        </w:tc>
        <w:tc>
          <w:tcPr>
            <w:tcW w:w="1775" w:type="dxa"/>
            <w:tcBorders>
              <w:top w:val="single" w:sz="7" w:space="0" w:color="000000"/>
              <w:left w:val="single" w:sz="7" w:space="0" w:color="000000"/>
              <w:bottom w:val="single" w:sz="7" w:space="0" w:color="000000"/>
              <w:right w:val="single" w:sz="7" w:space="0" w:color="000000"/>
            </w:tcBorders>
          </w:tcPr>
          <w:p w14:paraId="01EE0233" w14:textId="77777777" w:rsidR="00F7246C" w:rsidRDefault="00F7246C" w:rsidP="00E21E80">
            <w:pPr>
              <w:jc w:val="center"/>
              <w:rPr>
                <w:lang w:val="en-AU"/>
              </w:rPr>
            </w:pPr>
          </w:p>
        </w:tc>
        <w:tc>
          <w:tcPr>
            <w:tcW w:w="1681" w:type="dxa"/>
            <w:tcBorders>
              <w:top w:val="single" w:sz="7" w:space="0" w:color="000000"/>
              <w:left w:val="single" w:sz="7" w:space="0" w:color="000000"/>
              <w:bottom w:val="single" w:sz="7" w:space="0" w:color="000000"/>
              <w:right w:val="single" w:sz="12" w:space="0" w:color="auto"/>
            </w:tcBorders>
          </w:tcPr>
          <w:p w14:paraId="22D71274" w14:textId="77777777" w:rsidR="00F7246C" w:rsidRDefault="00F7246C" w:rsidP="00E21E80">
            <w:pPr>
              <w:jc w:val="center"/>
              <w:rPr>
                <w:lang w:val="en-AU"/>
              </w:rPr>
            </w:pPr>
          </w:p>
        </w:tc>
      </w:tr>
      <w:tr w:rsidR="00F7246C" w14:paraId="3448329D" w14:textId="77777777" w:rsidTr="008E34AE">
        <w:tc>
          <w:tcPr>
            <w:tcW w:w="5376" w:type="dxa"/>
            <w:tcBorders>
              <w:top w:val="single" w:sz="7" w:space="0" w:color="000000"/>
              <w:left w:val="single" w:sz="12" w:space="0" w:color="auto"/>
              <w:bottom w:val="single" w:sz="12" w:space="0" w:color="auto"/>
              <w:right w:val="single" w:sz="7" w:space="0" w:color="000000"/>
            </w:tcBorders>
          </w:tcPr>
          <w:p w14:paraId="0261FF03" w14:textId="77777777" w:rsidR="00F7246C" w:rsidRDefault="00F7246C" w:rsidP="00E21E80">
            <w:pPr>
              <w:rPr>
                <w:lang w:val="en-AU"/>
              </w:rPr>
            </w:pPr>
          </w:p>
        </w:tc>
        <w:tc>
          <w:tcPr>
            <w:tcW w:w="1775" w:type="dxa"/>
            <w:tcBorders>
              <w:top w:val="single" w:sz="7" w:space="0" w:color="000000"/>
              <w:left w:val="single" w:sz="7" w:space="0" w:color="000000"/>
              <w:bottom w:val="single" w:sz="12" w:space="0" w:color="auto"/>
              <w:right w:val="single" w:sz="7" w:space="0" w:color="000000"/>
            </w:tcBorders>
          </w:tcPr>
          <w:p w14:paraId="0480B723" w14:textId="77777777" w:rsidR="00F7246C" w:rsidRDefault="00F7246C" w:rsidP="00E21E80">
            <w:pPr>
              <w:jc w:val="center"/>
              <w:rPr>
                <w:lang w:val="en-AU"/>
              </w:rPr>
            </w:pPr>
          </w:p>
        </w:tc>
        <w:tc>
          <w:tcPr>
            <w:tcW w:w="1681" w:type="dxa"/>
            <w:tcBorders>
              <w:top w:val="single" w:sz="7" w:space="0" w:color="000000"/>
              <w:left w:val="single" w:sz="7" w:space="0" w:color="000000"/>
              <w:bottom w:val="single" w:sz="12" w:space="0" w:color="auto"/>
              <w:right w:val="single" w:sz="12" w:space="0" w:color="auto"/>
            </w:tcBorders>
          </w:tcPr>
          <w:p w14:paraId="58FE712A" w14:textId="77777777" w:rsidR="00F7246C" w:rsidRDefault="00F7246C" w:rsidP="00E21E80">
            <w:pPr>
              <w:jc w:val="center"/>
              <w:rPr>
                <w:lang w:val="en-AU"/>
              </w:rPr>
            </w:pPr>
          </w:p>
        </w:tc>
      </w:tr>
    </w:tbl>
    <w:p w14:paraId="50CA7DD6" w14:textId="4125ECDB" w:rsidR="00F7246C" w:rsidRDefault="00F7246C" w:rsidP="002E6C62">
      <w:pPr>
        <w:rPr>
          <w:lang w:val="en-AU"/>
        </w:rPr>
      </w:pPr>
    </w:p>
    <w:p w14:paraId="66FC5710" w14:textId="77777777" w:rsidR="002E6C62" w:rsidRDefault="002E6C62" w:rsidP="002E6C62">
      <w:pPr>
        <w:rPr>
          <w:lang w:val="en-AU"/>
        </w:rPr>
      </w:pPr>
    </w:p>
    <w:p w14:paraId="034A5B8E" w14:textId="4CCA3C67" w:rsidR="00F7246C" w:rsidRDefault="00F7246C" w:rsidP="00706AFA">
      <w:pPr>
        <w:tabs>
          <w:tab w:val="left" w:pos="454"/>
        </w:tabs>
        <w:ind w:left="454" w:hanging="454"/>
        <w:rPr>
          <w:lang w:val="en-AU"/>
        </w:rPr>
      </w:pPr>
      <w:r>
        <w:rPr>
          <w:lang w:val="en-AU"/>
        </w:rPr>
        <w:t>(c)</w:t>
      </w:r>
      <w:r>
        <w:rPr>
          <w:lang w:val="en-AU"/>
        </w:rPr>
        <w:tab/>
        <w:t xml:space="preserve">The unit cost (C) to be used for calculation of any payment deduction made in accordance with the deduction provision specified in </w:t>
      </w:r>
      <w:r w:rsidR="00D522F6">
        <w:rPr>
          <w:lang w:val="en-AU"/>
        </w:rPr>
        <w:t>clause</w:t>
      </w:r>
      <w:r>
        <w:rPr>
          <w:lang w:val="en-AU"/>
        </w:rPr>
        <w:t> 180.0</w:t>
      </w:r>
      <w:r w:rsidR="002E6C62">
        <w:rPr>
          <w:lang w:val="en-AU"/>
        </w:rPr>
        <w:t>7</w:t>
      </w:r>
      <w:r>
        <w:rPr>
          <w:lang w:val="en-AU"/>
        </w:rPr>
        <w:t xml:space="preserve"> shall be in accordance with Table 180.</w:t>
      </w:r>
      <w:r w:rsidR="002E6C62">
        <w:rPr>
          <w:lang w:val="en-AU"/>
        </w:rPr>
        <w:t>1</w:t>
      </w:r>
      <w:r>
        <w:rPr>
          <w:lang w:val="en-AU"/>
        </w:rPr>
        <w:t>03.</w:t>
      </w:r>
    </w:p>
    <w:p w14:paraId="56A6FDC6" w14:textId="021AAFBE" w:rsidR="00F7246C" w:rsidRPr="002F6D3C" w:rsidRDefault="00F7246C" w:rsidP="002F6D3C">
      <w:pPr>
        <w:spacing w:before="120" w:after="60"/>
        <w:ind w:left="454"/>
        <w:rPr>
          <w:b/>
        </w:rPr>
      </w:pPr>
      <w:r w:rsidRPr="002F6D3C">
        <w:rPr>
          <w:b/>
        </w:rPr>
        <w:t>Table 180.</w:t>
      </w:r>
      <w:r w:rsidR="002E6C62">
        <w:rPr>
          <w:b/>
        </w:rPr>
        <w:t>1</w:t>
      </w:r>
      <w:r w:rsidRPr="002F6D3C">
        <w:rPr>
          <w:b/>
        </w:rPr>
        <w:t>03  Basis of Payment Deduction</w:t>
      </w:r>
    </w:p>
    <w:tbl>
      <w:tblPr>
        <w:tblW w:w="0" w:type="auto"/>
        <w:tblInd w:w="612" w:type="dxa"/>
        <w:tblLayout w:type="fixed"/>
        <w:tblCellMar>
          <w:top w:w="102" w:type="dxa"/>
          <w:left w:w="85" w:type="dxa"/>
          <w:bottom w:w="57" w:type="dxa"/>
          <w:right w:w="85" w:type="dxa"/>
        </w:tblCellMar>
        <w:tblLook w:val="0000" w:firstRow="0" w:lastRow="0" w:firstColumn="0" w:lastColumn="0" w:noHBand="0" w:noVBand="0"/>
      </w:tblPr>
      <w:tblGrid>
        <w:gridCol w:w="7128"/>
        <w:gridCol w:w="1701"/>
      </w:tblGrid>
      <w:tr w:rsidR="00F7246C" w:rsidRPr="00790A84" w14:paraId="5D26F9AD" w14:textId="77777777" w:rsidTr="00687C7B">
        <w:tc>
          <w:tcPr>
            <w:tcW w:w="7128" w:type="dxa"/>
            <w:tcBorders>
              <w:top w:val="single" w:sz="12" w:space="0" w:color="auto"/>
              <w:left w:val="single" w:sz="12" w:space="0" w:color="auto"/>
              <w:bottom w:val="single" w:sz="12" w:space="0" w:color="auto"/>
              <w:right w:val="single" w:sz="7" w:space="0" w:color="000000"/>
            </w:tcBorders>
            <w:vAlign w:val="center"/>
          </w:tcPr>
          <w:p w14:paraId="5F626EB2" w14:textId="77777777" w:rsidR="00F7246C" w:rsidRPr="00790A84" w:rsidRDefault="00F7246C" w:rsidP="00790A84">
            <w:pPr>
              <w:jc w:val="center"/>
              <w:rPr>
                <w:b/>
                <w:lang w:val="en-AU"/>
              </w:rPr>
            </w:pPr>
            <w:r w:rsidRPr="00790A84">
              <w:rPr>
                <w:b/>
                <w:lang w:val="en-AU"/>
              </w:rPr>
              <w:t>Location</w:t>
            </w:r>
          </w:p>
        </w:tc>
        <w:tc>
          <w:tcPr>
            <w:tcW w:w="1701" w:type="dxa"/>
            <w:tcBorders>
              <w:top w:val="single" w:sz="12" w:space="0" w:color="auto"/>
              <w:left w:val="single" w:sz="7" w:space="0" w:color="000000"/>
              <w:bottom w:val="single" w:sz="12" w:space="0" w:color="auto"/>
              <w:right w:val="single" w:sz="12" w:space="0" w:color="auto"/>
            </w:tcBorders>
            <w:vAlign w:val="bottom"/>
          </w:tcPr>
          <w:p w14:paraId="5E3D845E" w14:textId="77777777" w:rsidR="00F7246C" w:rsidRPr="00790A84" w:rsidRDefault="00F7246C" w:rsidP="00790A84">
            <w:pPr>
              <w:jc w:val="center"/>
              <w:rPr>
                <w:b/>
                <w:lang w:val="en-AU"/>
              </w:rPr>
            </w:pPr>
            <w:r w:rsidRPr="00790A84">
              <w:rPr>
                <w:b/>
                <w:lang w:val="en-AU"/>
              </w:rPr>
              <w:t>Unit Cost</w:t>
            </w:r>
          </w:p>
          <w:p w14:paraId="790C04F4" w14:textId="77777777" w:rsidR="00F7246C" w:rsidRPr="00790A84" w:rsidRDefault="00F7246C" w:rsidP="00790A84">
            <w:pPr>
              <w:jc w:val="center"/>
              <w:rPr>
                <w:b/>
                <w:lang w:val="en-AU"/>
              </w:rPr>
            </w:pPr>
            <w:r w:rsidRPr="00790A84">
              <w:rPr>
                <w:b/>
                <w:lang w:val="en-AU"/>
              </w:rPr>
              <w:t>$ per sq m</w:t>
            </w:r>
          </w:p>
        </w:tc>
      </w:tr>
      <w:tr w:rsidR="00F7246C" w14:paraId="32E33964" w14:textId="77777777" w:rsidTr="00687C7B">
        <w:tc>
          <w:tcPr>
            <w:tcW w:w="7128" w:type="dxa"/>
            <w:tcBorders>
              <w:top w:val="single" w:sz="12" w:space="0" w:color="auto"/>
              <w:left w:val="single" w:sz="12" w:space="0" w:color="auto"/>
              <w:bottom w:val="single" w:sz="7" w:space="0" w:color="000000"/>
              <w:right w:val="single" w:sz="7" w:space="0" w:color="000000"/>
            </w:tcBorders>
          </w:tcPr>
          <w:p w14:paraId="3B455790" w14:textId="77777777" w:rsidR="00F7246C" w:rsidRDefault="00F7246C" w:rsidP="00790A84">
            <w:pPr>
              <w:rPr>
                <w:lang w:val="en-AU"/>
              </w:rPr>
            </w:pPr>
            <w:r>
              <w:rPr>
                <w:lang w:val="en-AU"/>
              </w:rPr>
              <w:t>##specify locations by pavement type:</w:t>
            </w:r>
          </w:p>
        </w:tc>
        <w:tc>
          <w:tcPr>
            <w:tcW w:w="1701" w:type="dxa"/>
            <w:tcBorders>
              <w:top w:val="single" w:sz="12" w:space="0" w:color="auto"/>
              <w:left w:val="single" w:sz="7" w:space="0" w:color="000000"/>
              <w:bottom w:val="single" w:sz="7" w:space="0" w:color="000000"/>
              <w:right w:val="single" w:sz="12" w:space="0" w:color="auto"/>
            </w:tcBorders>
          </w:tcPr>
          <w:p w14:paraId="6E3CF07F" w14:textId="77777777" w:rsidR="00F7246C" w:rsidRDefault="00F7246C" w:rsidP="00790A84">
            <w:pPr>
              <w:jc w:val="center"/>
              <w:rPr>
                <w:lang w:val="en-AU"/>
              </w:rPr>
            </w:pPr>
            <w:r>
              <w:rPr>
                <w:lang w:val="en-AU"/>
              </w:rPr>
              <w:t>##refer to Table B of Guide Notes:</w:t>
            </w:r>
          </w:p>
        </w:tc>
      </w:tr>
      <w:tr w:rsidR="00F7246C" w14:paraId="78C91A07" w14:textId="77777777" w:rsidTr="00687C7B">
        <w:tc>
          <w:tcPr>
            <w:tcW w:w="7128" w:type="dxa"/>
            <w:tcBorders>
              <w:top w:val="single" w:sz="7" w:space="0" w:color="000000"/>
              <w:left w:val="single" w:sz="12" w:space="0" w:color="auto"/>
              <w:bottom w:val="single" w:sz="7" w:space="0" w:color="000000"/>
              <w:right w:val="single" w:sz="7" w:space="0" w:color="000000"/>
            </w:tcBorders>
          </w:tcPr>
          <w:p w14:paraId="521D718A" w14:textId="77777777" w:rsidR="00F7246C" w:rsidRDefault="00F7246C" w:rsidP="00790A84">
            <w:pPr>
              <w:rPr>
                <w:lang w:val="en-AU"/>
              </w:rPr>
            </w:pPr>
          </w:p>
        </w:tc>
        <w:tc>
          <w:tcPr>
            <w:tcW w:w="1701" w:type="dxa"/>
            <w:tcBorders>
              <w:top w:val="single" w:sz="7" w:space="0" w:color="000000"/>
              <w:left w:val="single" w:sz="7" w:space="0" w:color="000000"/>
              <w:bottom w:val="single" w:sz="7" w:space="0" w:color="000000"/>
              <w:right w:val="single" w:sz="12" w:space="0" w:color="auto"/>
            </w:tcBorders>
          </w:tcPr>
          <w:p w14:paraId="4E99AE86" w14:textId="77777777" w:rsidR="00F7246C" w:rsidRDefault="00F7246C" w:rsidP="00790A84">
            <w:pPr>
              <w:jc w:val="center"/>
              <w:rPr>
                <w:lang w:val="en-AU"/>
              </w:rPr>
            </w:pPr>
          </w:p>
        </w:tc>
      </w:tr>
      <w:tr w:rsidR="00F7246C" w14:paraId="5E8BBD8D" w14:textId="77777777" w:rsidTr="00687C7B">
        <w:tc>
          <w:tcPr>
            <w:tcW w:w="7128" w:type="dxa"/>
            <w:tcBorders>
              <w:top w:val="single" w:sz="7" w:space="0" w:color="000000"/>
              <w:left w:val="single" w:sz="12" w:space="0" w:color="auto"/>
              <w:bottom w:val="single" w:sz="12" w:space="0" w:color="auto"/>
              <w:right w:val="single" w:sz="7" w:space="0" w:color="000000"/>
            </w:tcBorders>
          </w:tcPr>
          <w:p w14:paraId="55F86618" w14:textId="77777777" w:rsidR="00F7246C" w:rsidRDefault="00F7246C" w:rsidP="00790A84">
            <w:pPr>
              <w:rPr>
                <w:lang w:val="en-AU"/>
              </w:rPr>
            </w:pPr>
          </w:p>
        </w:tc>
        <w:tc>
          <w:tcPr>
            <w:tcW w:w="1701" w:type="dxa"/>
            <w:tcBorders>
              <w:top w:val="single" w:sz="7" w:space="0" w:color="000000"/>
              <w:left w:val="single" w:sz="7" w:space="0" w:color="000000"/>
              <w:bottom w:val="single" w:sz="12" w:space="0" w:color="auto"/>
              <w:right w:val="single" w:sz="12" w:space="0" w:color="auto"/>
            </w:tcBorders>
          </w:tcPr>
          <w:p w14:paraId="357181C2" w14:textId="77777777" w:rsidR="00F7246C" w:rsidRDefault="00F7246C" w:rsidP="00790A84">
            <w:pPr>
              <w:jc w:val="center"/>
              <w:rPr>
                <w:lang w:val="en-AU"/>
              </w:rPr>
            </w:pPr>
          </w:p>
        </w:tc>
      </w:tr>
    </w:tbl>
    <w:p w14:paraId="31F3AE67" w14:textId="77777777" w:rsidR="00F7246C" w:rsidRDefault="00793AC5">
      <w:pPr>
        <w:rPr>
          <w:lang w:val="en-AU"/>
        </w:rPr>
      </w:pPr>
      <w:r>
        <w:rPr>
          <w:noProof/>
          <w:snapToGrid/>
          <w:lang w:val="en-AU" w:eastAsia="en-AU"/>
        </w:rPr>
        <w:pict w14:anchorId="0BF6A88E">
          <v:shape id="_x0000_s1037" type="#_x0000_t202" style="position:absolute;margin-left:0;margin-top:779.65pt;width:481.9pt;height:36.85pt;z-index:-251660800;mso-wrap-distance-top:5.65pt;mso-position-horizontal:center;mso-position-horizontal-relative:page;mso-position-vertical-relative:page" stroked="f">
            <v:textbox style="mso-next-textbox:#_x0000_s1037" inset="0,,0">
              <w:txbxContent>
                <w:p w14:paraId="1641CD17" w14:textId="77777777" w:rsidR="00417FA3" w:rsidRDefault="00417FA3" w:rsidP="00C84791">
                  <w:pPr>
                    <w:pBdr>
                      <w:top w:val="single" w:sz="6" w:space="1" w:color="000000"/>
                    </w:pBdr>
                    <w:spacing w:line="60" w:lineRule="exact"/>
                    <w:jc w:val="right"/>
                    <w:rPr>
                      <w:b/>
                    </w:rPr>
                  </w:pPr>
                </w:p>
                <w:p w14:paraId="096DAE95" w14:textId="5A55398B" w:rsidR="008E6F0A" w:rsidRDefault="008E6F0A" w:rsidP="008E6F0A">
                  <w:pPr>
                    <w:pBdr>
                      <w:top w:val="single" w:sz="6" w:space="1" w:color="000000"/>
                    </w:pBdr>
                    <w:jc w:val="right"/>
                  </w:pPr>
                  <w:r>
                    <w:t xml:space="preserve">Department of State Growth  </w:t>
                  </w:r>
                  <w:r w:rsidR="00793AC5">
                    <w:t>June</w:t>
                  </w:r>
                  <w:r>
                    <w:t xml:space="preserve"> 2022</w:t>
                  </w:r>
                </w:p>
                <w:p w14:paraId="579C36C4" w14:textId="43E60AFD" w:rsidR="00417FA3" w:rsidRDefault="00417FA3" w:rsidP="00C84791">
                  <w:pPr>
                    <w:jc w:val="right"/>
                  </w:pPr>
                  <w:r>
                    <w:t xml:space="preserve">Section 180 (Page </w:t>
                  </w:r>
                  <w:r w:rsidR="00D960BC">
                    <w:t>5</w:t>
                  </w:r>
                  <w:r>
                    <w:t xml:space="preserve"> of </w:t>
                  </w:r>
                  <w:r w:rsidR="00D960BC">
                    <w:t>5</w:t>
                  </w:r>
                  <w:r>
                    <w:t>)</w:t>
                  </w:r>
                </w:p>
                <w:p w14:paraId="1EEDCECD" w14:textId="77777777" w:rsidR="00417FA3" w:rsidRDefault="00417FA3" w:rsidP="00C84791">
                  <w:pPr>
                    <w:jc w:val="right"/>
                  </w:pPr>
                </w:p>
              </w:txbxContent>
            </v:textbox>
            <w10:wrap anchorx="page" anchory="page"/>
            <w10:anchorlock/>
          </v:shape>
        </w:pict>
      </w:r>
    </w:p>
    <w:sectPr w:rsidR="00F7246C" w:rsidSect="00AB47F7">
      <w:headerReference w:type="default" r:id="rId7"/>
      <w:endnotePr>
        <w:numFmt w:val="decimal"/>
      </w:endnotePr>
      <w:pgSz w:w="11908" w:h="16833"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6AE93" w14:textId="77777777" w:rsidR="004E6C59" w:rsidRDefault="004E6C59">
      <w:r>
        <w:separator/>
      </w:r>
    </w:p>
  </w:endnote>
  <w:endnote w:type="continuationSeparator" w:id="0">
    <w:p w14:paraId="7780E128" w14:textId="77777777" w:rsidR="004E6C59" w:rsidRDefault="004E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AB426" w14:textId="77777777" w:rsidR="004E6C59" w:rsidRDefault="004E6C59">
      <w:r>
        <w:separator/>
      </w:r>
    </w:p>
  </w:footnote>
  <w:footnote w:type="continuationSeparator" w:id="0">
    <w:p w14:paraId="63CC3220" w14:textId="77777777" w:rsidR="004E6C59" w:rsidRDefault="004E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B307" w14:textId="13C2BB97" w:rsidR="00417FA3" w:rsidRDefault="00476E14">
    <w:pPr>
      <w:jc w:val="right"/>
      <w:rPr>
        <w:lang w:val="en-AU"/>
      </w:rPr>
    </w:pPr>
    <w:r>
      <w:rPr>
        <w:lang w:val="en-AU"/>
      </w:rPr>
      <w:t xml:space="preserve">Department of </w:t>
    </w:r>
    <w:r w:rsidR="008E6F0A">
      <w:rPr>
        <w:lang w:val="en-AU"/>
      </w:rPr>
      <w:t>State Growth</w:t>
    </w:r>
  </w:p>
  <w:p w14:paraId="74680F52" w14:textId="77777777" w:rsidR="00417FA3" w:rsidRDefault="00417FA3">
    <w:pPr>
      <w:pBdr>
        <w:top w:val="single" w:sz="6" w:space="1" w:color="auto"/>
      </w:pBdr>
      <w:spacing w:line="240" w:lineRule="exact"/>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161"/>
    <w:multiLevelType w:val="hybridMultilevel"/>
    <w:tmpl w:val="E2EE5F00"/>
    <w:lvl w:ilvl="0" w:tplc="0C090001">
      <w:start w:val="1"/>
      <w:numFmt w:val="bullet"/>
      <w:lvlText w:val=""/>
      <w:lvlJc w:val="left"/>
      <w:pPr>
        <w:ind w:left="814" w:hanging="360"/>
      </w:pPr>
      <w:rPr>
        <w:rFonts w:ascii="Symbol" w:hAnsi="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1" w15:restartNumberingAfterBreak="0">
    <w:nsid w:val="28186573"/>
    <w:multiLevelType w:val="hybridMultilevel"/>
    <w:tmpl w:val="2D64D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outline w:val="0"/>
        <w:shadow w:val="0"/>
        <w:emboss w:val="0"/>
        <w:imprint w:val="0"/>
        <w:vanish w:val="0"/>
        <w:color w:val="auto"/>
        <w:spacing w:val="0"/>
        <w:w w:val="100"/>
        <w:position w:val="0"/>
        <w:sz w:val="20"/>
        <w:szCs w:val="20"/>
        <w:vertAlign w:val="base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5359"/>
    <w:rsid w:val="00024BC7"/>
    <w:rsid w:val="00034A64"/>
    <w:rsid w:val="00050E9E"/>
    <w:rsid w:val="00055BE0"/>
    <w:rsid w:val="00071D46"/>
    <w:rsid w:val="000817B7"/>
    <w:rsid w:val="000D53A6"/>
    <w:rsid w:val="0010370D"/>
    <w:rsid w:val="00104320"/>
    <w:rsid w:val="00154710"/>
    <w:rsid w:val="00176523"/>
    <w:rsid w:val="00182F26"/>
    <w:rsid w:val="001A6CF1"/>
    <w:rsid w:val="001B6D89"/>
    <w:rsid w:val="001C7502"/>
    <w:rsid w:val="001E5D56"/>
    <w:rsid w:val="00200BBC"/>
    <w:rsid w:val="002138EC"/>
    <w:rsid w:val="00240C27"/>
    <w:rsid w:val="0026185B"/>
    <w:rsid w:val="002827AE"/>
    <w:rsid w:val="00296D9B"/>
    <w:rsid w:val="002D6963"/>
    <w:rsid w:val="002E6C62"/>
    <w:rsid w:val="002F6D3C"/>
    <w:rsid w:val="00305BAD"/>
    <w:rsid w:val="0033576F"/>
    <w:rsid w:val="003446E8"/>
    <w:rsid w:val="00353C8B"/>
    <w:rsid w:val="00372D12"/>
    <w:rsid w:val="003735DD"/>
    <w:rsid w:val="003A04F6"/>
    <w:rsid w:val="003B2FDB"/>
    <w:rsid w:val="003C4273"/>
    <w:rsid w:val="003E7A68"/>
    <w:rsid w:val="00405927"/>
    <w:rsid w:val="004109BF"/>
    <w:rsid w:val="00412555"/>
    <w:rsid w:val="00417FA3"/>
    <w:rsid w:val="00433C3B"/>
    <w:rsid w:val="00452939"/>
    <w:rsid w:val="004545AB"/>
    <w:rsid w:val="00476E14"/>
    <w:rsid w:val="004B299E"/>
    <w:rsid w:val="004E1254"/>
    <w:rsid w:val="004E6C59"/>
    <w:rsid w:val="004F1032"/>
    <w:rsid w:val="00540A29"/>
    <w:rsid w:val="005527A0"/>
    <w:rsid w:val="00562944"/>
    <w:rsid w:val="00580DD5"/>
    <w:rsid w:val="005B223B"/>
    <w:rsid w:val="005D134E"/>
    <w:rsid w:val="005D2E82"/>
    <w:rsid w:val="00687C7B"/>
    <w:rsid w:val="006C0D95"/>
    <w:rsid w:val="006C2614"/>
    <w:rsid w:val="006D595C"/>
    <w:rsid w:val="006D68A7"/>
    <w:rsid w:val="006F11BE"/>
    <w:rsid w:val="006F21C2"/>
    <w:rsid w:val="0070383C"/>
    <w:rsid w:val="00706AFA"/>
    <w:rsid w:val="00724B28"/>
    <w:rsid w:val="007426EC"/>
    <w:rsid w:val="00753014"/>
    <w:rsid w:val="00754BB5"/>
    <w:rsid w:val="007574FE"/>
    <w:rsid w:val="00765C22"/>
    <w:rsid w:val="00776E65"/>
    <w:rsid w:val="007847AB"/>
    <w:rsid w:val="00790A84"/>
    <w:rsid w:val="00793AC5"/>
    <w:rsid w:val="007B4A1D"/>
    <w:rsid w:val="007D3E9F"/>
    <w:rsid w:val="00806A15"/>
    <w:rsid w:val="00824432"/>
    <w:rsid w:val="00827288"/>
    <w:rsid w:val="00843850"/>
    <w:rsid w:val="0084408F"/>
    <w:rsid w:val="008676D2"/>
    <w:rsid w:val="0088695D"/>
    <w:rsid w:val="008C5933"/>
    <w:rsid w:val="008C5D9E"/>
    <w:rsid w:val="008C661B"/>
    <w:rsid w:val="008D47CC"/>
    <w:rsid w:val="008E34AE"/>
    <w:rsid w:val="008E6F0A"/>
    <w:rsid w:val="008F41CC"/>
    <w:rsid w:val="008F5A6E"/>
    <w:rsid w:val="008F7BC9"/>
    <w:rsid w:val="00913B34"/>
    <w:rsid w:val="009717D4"/>
    <w:rsid w:val="0097213D"/>
    <w:rsid w:val="009778CC"/>
    <w:rsid w:val="00980777"/>
    <w:rsid w:val="00981859"/>
    <w:rsid w:val="009873CC"/>
    <w:rsid w:val="00991FE1"/>
    <w:rsid w:val="009D2951"/>
    <w:rsid w:val="009D50B5"/>
    <w:rsid w:val="00A3040E"/>
    <w:rsid w:val="00A3207F"/>
    <w:rsid w:val="00A37284"/>
    <w:rsid w:val="00AA47C8"/>
    <w:rsid w:val="00AB47F7"/>
    <w:rsid w:val="00AC0A98"/>
    <w:rsid w:val="00AF6D33"/>
    <w:rsid w:val="00B06065"/>
    <w:rsid w:val="00B2032A"/>
    <w:rsid w:val="00B526A0"/>
    <w:rsid w:val="00B64A9A"/>
    <w:rsid w:val="00B96D06"/>
    <w:rsid w:val="00BC6CAB"/>
    <w:rsid w:val="00BE5EB8"/>
    <w:rsid w:val="00BE72A2"/>
    <w:rsid w:val="00C03431"/>
    <w:rsid w:val="00C20317"/>
    <w:rsid w:val="00C2108E"/>
    <w:rsid w:val="00C2571C"/>
    <w:rsid w:val="00C47223"/>
    <w:rsid w:val="00C55359"/>
    <w:rsid w:val="00C84791"/>
    <w:rsid w:val="00C90643"/>
    <w:rsid w:val="00C93172"/>
    <w:rsid w:val="00CA52E2"/>
    <w:rsid w:val="00CB16A4"/>
    <w:rsid w:val="00CB752D"/>
    <w:rsid w:val="00CC488F"/>
    <w:rsid w:val="00CD4D4B"/>
    <w:rsid w:val="00D03553"/>
    <w:rsid w:val="00D035F0"/>
    <w:rsid w:val="00D23A31"/>
    <w:rsid w:val="00D522F6"/>
    <w:rsid w:val="00D6154A"/>
    <w:rsid w:val="00D634BA"/>
    <w:rsid w:val="00D76281"/>
    <w:rsid w:val="00D87890"/>
    <w:rsid w:val="00D9260C"/>
    <w:rsid w:val="00D960BC"/>
    <w:rsid w:val="00DC3C6B"/>
    <w:rsid w:val="00DD6950"/>
    <w:rsid w:val="00DE1ACE"/>
    <w:rsid w:val="00E03D41"/>
    <w:rsid w:val="00E15EA7"/>
    <w:rsid w:val="00E21E80"/>
    <w:rsid w:val="00E60DB4"/>
    <w:rsid w:val="00E6131C"/>
    <w:rsid w:val="00E615E4"/>
    <w:rsid w:val="00E6541D"/>
    <w:rsid w:val="00EC7BCF"/>
    <w:rsid w:val="00F20215"/>
    <w:rsid w:val="00F243B2"/>
    <w:rsid w:val="00F629C4"/>
    <w:rsid w:val="00F7246C"/>
    <w:rsid w:val="00FC7930"/>
    <w:rsid w:val="00FD060D"/>
    <w:rsid w:val="00FD4C02"/>
    <w:rsid w:val="00FD6E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4097"/>
    <o:shapelayout v:ext="edit">
      <o:idmap v:ext="edit" data="1"/>
    </o:shapelayout>
  </w:shapeDefaults>
  <w:decimalSymbol w:val="."/>
  <w:listSeparator w:val=","/>
  <w14:docId w14:val="27C9C13E"/>
  <w15:chartTrackingRefBased/>
  <w15:docId w15:val="{DB33E2BC-6CF7-47BF-AA1C-E534436B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284"/>
    <w:pPr>
      <w:widowControl w:val="0"/>
    </w:pPr>
    <w:rPr>
      <w:rFonts w:ascii="Arial" w:hAnsi="Arial"/>
      <w:snapToGrid w:val="0"/>
      <w:lang w:val="en-US" w:eastAsia="en-US"/>
    </w:rPr>
  </w:style>
  <w:style w:type="paragraph" w:styleId="Heading1">
    <w:name w:val="heading 1"/>
    <w:basedOn w:val="Normal"/>
    <w:next w:val="Normal"/>
    <w:qFormat/>
    <w:rsid w:val="007D3E9F"/>
    <w:pPr>
      <w:keepNext/>
      <w:widowControl/>
      <w:outlineLvl w:val="0"/>
    </w:pPr>
    <w:rPr>
      <w:rFonts w:cs="Arial"/>
      <w:b/>
      <w:bCs/>
      <w:snapToGrid/>
      <w:sz w:val="28"/>
      <w:szCs w:val="32"/>
      <w:lang w:val="en-AU"/>
    </w:rPr>
  </w:style>
  <w:style w:type="paragraph" w:styleId="Heading2">
    <w:name w:val="heading 2"/>
    <w:basedOn w:val="Normal"/>
    <w:next w:val="Normal"/>
    <w:qFormat/>
    <w:rsid w:val="007D3E9F"/>
    <w:pPr>
      <w:keepNext/>
      <w:widowControl/>
      <w:outlineLvl w:val="1"/>
    </w:pPr>
    <w:rPr>
      <w:rFonts w:cs="Arial"/>
      <w:b/>
      <w:bCs/>
      <w:iCs/>
      <w:snapToGrid/>
      <w:color w:val="000000"/>
      <w:sz w:val="28"/>
      <w:szCs w:val="28"/>
      <w:lang w:val="en-AU"/>
    </w:rPr>
  </w:style>
  <w:style w:type="paragraph" w:styleId="Heading3">
    <w:name w:val="heading 3"/>
    <w:basedOn w:val="Normal"/>
    <w:next w:val="Normal"/>
    <w:qFormat/>
    <w:rsid w:val="007D3E9F"/>
    <w:pPr>
      <w:keepNext/>
      <w:widowControl/>
      <w:numPr>
        <w:ilvl w:val="2"/>
        <w:numId w:val="12"/>
      </w:numPr>
      <w:outlineLvl w:val="2"/>
    </w:pPr>
    <w:rPr>
      <w:rFonts w:cs="Arial"/>
      <w:b/>
      <w:bCs/>
      <w:snapToGrid/>
      <w:szCs w:val="26"/>
      <w:lang w:val="en-AU"/>
    </w:rPr>
  </w:style>
  <w:style w:type="paragraph" w:styleId="Heading4">
    <w:name w:val="heading 4"/>
    <w:basedOn w:val="Normal"/>
    <w:next w:val="Normal"/>
    <w:link w:val="Heading4Char"/>
    <w:qFormat/>
    <w:rsid w:val="007D3E9F"/>
    <w:pPr>
      <w:keepNext/>
      <w:widowControl/>
      <w:numPr>
        <w:ilvl w:val="3"/>
        <w:numId w:val="12"/>
      </w:numPr>
      <w:spacing w:after="200"/>
      <w:outlineLvl w:val="3"/>
    </w:pPr>
    <w:rPr>
      <w:b/>
      <w:bCs/>
      <w:snapToGrid/>
      <w:szCs w:val="28"/>
      <w:lang w:val="en-AU"/>
    </w:rPr>
  </w:style>
  <w:style w:type="paragraph" w:styleId="Heading5">
    <w:name w:val="heading 5"/>
    <w:basedOn w:val="Heading4"/>
    <w:next w:val="Normal"/>
    <w:qFormat/>
    <w:rsid w:val="007D3E9F"/>
    <w:pPr>
      <w:numPr>
        <w:ilvl w:val="4"/>
      </w:numPr>
      <w:outlineLvl w:val="4"/>
    </w:pPr>
    <w:rPr>
      <w:b w:val="0"/>
      <w:bCs w:val="0"/>
      <w:szCs w:val="22"/>
    </w:rPr>
  </w:style>
  <w:style w:type="paragraph" w:styleId="Heading6">
    <w:name w:val="heading 6"/>
    <w:basedOn w:val="Normal"/>
    <w:next w:val="Normal"/>
    <w:link w:val="Heading6Char"/>
    <w:qFormat/>
    <w:rsid w:val="007D3E9F"/>
    <w:pPr>
      <w:widowControl/>
      <w:numPr>
        <w:ilvl w:val="5"/>
        <w:numId w:val="12"/>
      </w:numPr>
      <w:spacing w:after="200"/>
      <w:outlineLvl w:val="5"/>
    </w:pPr>
    <w:rPr>
      <w:bCs/>
      <w:snapToGrid/>
      <w:szCs w:val="22"/>
      <w:lang w:val="en-AU"/>
    </w:rPr>
  </w:style>
  <w:style w:type="paragraph" w:styleId="Heading7">
    <w:name w:val="heading 7"/>
    <w:basedOn w:val="Normal"/>
    <w:next w:val="Normal"/>
    <w:qFormat/>
    <w:rsid w:val="007D3E9F"/>
    <w:pPr>
      <w:widowControl/>
      <w:tabs>
        <w:tab w:val="left" w:pos="567"/>
      </w:tabs>
      <w:outlineLvl w:val="6"/>
    </w:pPr>
    <w:rPr>
      <w:snapToGrid/>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D3E9F"/>
    <w:rPr>
      <w:b/>
      <w:bCs/>
      <w:szCs w:val="28"/>
      <w:lang w:val="en-AU" w:eastAsia="en-US" w:bidi="ar-SA"/>
    </w:rPr>
  </w:style>
  <w:style w:type="character" w:customStyle="1" w:styleId="Heading6Char">
    <w:name w:val="Heading 6 Char"/>
    <w:link w:val="Heading6"/>
    <w:rsid w:val="007D3E9F"/>
    <w:rPr>
      <w:bCs/>
      <w:szCs w:val="22"/>
      <w:lang w:val="en-AU" w:eastAsia="en-US" w:bidi="ar-SA"/>
    </w:rPr>
  </w:style>
  <w:style w:type="character" w:styleId="FootnoteReference">
    <w:name w:val="footnote reference"/>
    <w:semiHidden/>
  </w:style>
  <w:style w:type="paragraph" w:customStyle="1" w:styleId="Heading2SS">
    <w:name w:val="Heading 2 + SS"/>
    <w:basedOn w:val="Heading2"/>
    <w:rsid w:val="006F21C2"/>
    <w:pPr>
      <w:keepNext w:val="0"/>
      <w:tabs>
        <w:tab w:val="left" w:pos="1985"/>
        <w:tab w:val="left" w:pos="2268"/>
      </w:tabs>
      <w:ind w:left="2268" w:hanging="2268"/>
    </w:pPr>
  </w:style>
  <w:style w:type="paragraph" w:customStyle="1" w:styleId="Heading3SS">
    <w:name w:val="Heading 3 + SS"/>
    <w:basedOn w:val="Heading3"/>
    <w:link w:val="Heading3SSChar"/>
    <w:rsid w:val="006F21C2"/>
    <w:pPr>
      <w:keepNext w:val="0"/>
      <w:numPr>
        <w:ilvl w:val="0"/>
        <w:numId w:val="0"/>
      </w:numPr>
      <w:tabs>
        <w:tab w:val="left" w:pos="851"/>
      </w:tabs>
      <w:ind w:left="851" w:hanging="851"/>
    </w:pPr>
  </w:style>
  <w:style w:type="paragraph" w:styleId="BodyTextIndent">
    <w:name w:val="Body Text Indent"/>
    <w:basedOn w:val="Normal"/>
    <w:pPr>
      <w:tabs>
        <w:tab w:val="left" w:pos="567"/>
      </w:tabs>
      <w:ind w:left="567" w:hanging="567"/>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rsid w:val="007D3E9F"/>
    <w:pPr>
      <w:widowControl/>
      <w:shd w:val="clear" w:color="auto" w:fill="000080"/>
    </w:pPr>
    <w:rPr>
      <w:rFonts w:ascii="Comic Sans MS" w:hAnsi="Comic Sans MS" w:cs="Tahoma"/>
      <w:snapToGrid/>
      <w:lang w:val="en-AU"/>
    </w:rPr>
  </w:style>
  <w:style w:type="paragraph" w:customStyle="1" w:styleId="Heading5SS">
    <w:name w:val="Heading 5 +SS"/>
    <w:basedOn w:val="Heading5"/>
    <w:rsid w:val="002F6D3C"/>
    <w:pPr>
      <w:keepNext w:val="0"/>
      <w:numPr>
        <w:ilvl w:val="0"/>
        <w:numId w:val="0"/>
      </w:numPr>
      <w:tabs>
        <w:tab w:val="left" w:pos="454"/>
      </w:tabs>
      <w:spacing w:after="0"/>
      <w:ind w:left="425" w:hanging="425"/>
      <w:outlineLvl w:val="9"/>
    </w:pPr>
  </w:style>
  <w:style w:type="character" w:customStyle="1" w:styleId="Heading3SSChar">
    <w:name w:val="Heading 3 + SS Char"/>
    <w:link w:val="Heading3SS"/>
    <w:rsid w:val="002138EC"/>
    <w:rPr>
      <w:rFonts w:ascii="Arial" w:hAnsi="Arial" w:cs="Arial"/>
      <w:b/>
      <w:bCs/>
      <w:szCs w:val="26"/>
      <w:lang w:eastAsia="en-US"/>
    </w:rPr>
  </w:style>
  <w:style w:type="paragraph" w:customStyle="1" w:styleId="TableFigureLeft">
    <w:name w:val="Table / Figure Left"/>
    <w:basedOn w:val="Normal"/>
    <w:rsid w:val="002138EC"/>
    <w:pPr>
      <w:widowControl/>
      <w:spacing w:before="40" w:after="40"/>
    </w:pPr>
    <w:rPr>
      <w:rFonts w:eastAsia="Calibri" w:cs="Arial"/>
      <w:snapToGrid/>
      <w:sz w:val="18"/>
      <w:lang w:val="en-AU"/>
    </w:rPr>
  </w:style>
  <w:style w:type="paragraph" w:customStyle="1" w:styleId="TableHeadingLeft">
    <w:name w:val="Table Heading Left"/>
    <w:basedOn w:val="BodyText"/>
    <w:qFormat/>
    <w:rsid w:val="002138EC"/>
    <w:pPr>
      <w:keepNext/>
      <w:keepLines/>
      <w:widowControl/>
      <w:spacing w:before="80" w:after="80" w:line="240" w:lineRule="atLeast"/>
    </w:pPr>
    <w:rPr>
      <w:rFonts w:eastAsia="Calibri" w:cs="Arial"/>
      <w:b/>
      <w:snapToGrid/>
      <w:sz w:val="18"/>
      <w:szCs w:val="18"/>
      <w:lang w:val="en-AU"/>
    </w:rPr>
  </w:style>
  <w:style w:type="paragraph" w:styleId="BodyText">
    <w:name w:val="Body Text"/>
    <w:basedOn w:val="Normal"/>
    <w:link w:val="BodyTextChar"/>
    <w:rsid w:val="002138EC"/>
    <w:pPr>
      <w:spacing w:after="120"/>
    </w:pPr>
  </w:style>
  <w:style w:type="character" w:customStyle="1" w:styleId="BodyTextChar">
    <w:name w:val="Body Text Char"/>
    <w:link w:val="BodyText"/>
    <w:rsid w:val="002138EC"/>
    <w:rPr>
      <w:rFonts w:ascii="Arial" w:hAnsi="Arial"/>
      <w:snapToGrid w:val="0"/>
      <w:lang w:val="en-US" w:eastAsia="en-US"/>
    </w:rPr>
  </w:style>
  <w:style w:type="paragraph" w:styleId="ListParagraph">
    <w:name w:val="List Paragraph"/>
    <w:basedOn w:val="Normal"/>
    <w:uiPriority w:val="34"/>
    <w:qFormat/>
    <w:rsid w:val="00E6131C"/>
    <w:pPr>
      <w:ind w:left="720"/>
      <w:contextualSpacing/>
    </w:pPr>
  </w:style>
  <w:style w:type="character" w:styleId="CommentReference">
    <w:name w:val="annotation reference"/>
    <w:rsid w:val="0084408F"/>
    <w:rPr>
      <w:sz w:val="16"/>
      <w:szCs w:val="16"/>
    </w:rPr>
  </w:style>
  <w:style w:type="paragraph" w:styleId="CommentText">
    <w:name w:val="annotation text"/>
    <w:basedOn w:val="Normal"/>
    <w:link w:val="CommentTextChar"/>
    <w:rsid w:val="0084408F"/>
  </w:style>
  <w:style w:type="character" w:customStyle="1" w:styleId="CommentTextChar">
    <w:name w:val="Comment Text Char"/>
    <w:link w:val="CommentText"/>
    <w:rsid w:val="0084408F"/>
    <w:rPr>
      <w:rFonts w:ascii="Arial" w:hAnsi="Arial"/>
      <w:snapToGrid w:val="0"/>
      <w:lang w:val="en-US" w:eastAsia="en-US"/>
    </w:rPr>
  </w:style>
  <w:style w:type="paragraph" w:styleId="CommentSubject">
    <w:name w:val="annotation subject"/>
    <w:basedOn w:val="CommentText"/>
    <w:next w:val="CommentText"/>
    <w:link w:val="CommentSubjectChar"/>
    <w:rsid w:val="0084408F"/>
    <w:rPr>
      <w:b/>
      <w:bCs/>
    </w:rPr>
  </w:style>
  <w:style w:type="character" w:customStyle="1" w:styleId="CommentSubjectChar">
    <w:name w:val="Comment Subject Char"/>
    <w:link w:val="CommentSubject"/>
    <w:rsid w:val="0084408F"/>
    <w:rPr>
      <w:rFonts w:ascii="Arial" w:hAnsi="Arial"/>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Section 180</vt:lpstr>
    </vt:vector>
  </TitlesOfParts>
  <Company>VicRoads</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Ride Quality for Pavements</dc:subject>
  <dc:creator>VicRoads</dc:creator>
  <cp:keywords/>
  <dc:description/>
  <cp:lastModifiedBy>Walker, Barry</cp:lastModifiedBy>
  <cp:revision>5</cp:revision>
  <cp:lastPrinted>2022-01-17T03:17:00Z</cp:lastPrinted>
  <dcterms:created xsi:type="dcterms:W3CDTF">2022-01-20T01:03:00Z</dcterms:created>
  <dcterms:modified xsi:type="dcterms:W3CDTF">2022-06-03T00:27:00Z</dcterms:modified>
</cp:coreProperties>
</file>