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83" w:rsidRPr="00525328" w:rsidRDefault="00C523CE" w:rsidP="003662F3">
      <w:pPr>
        <w:spacing w:line="360" w:lineRule="auto"/>
        <w:rPr>
          <w:rFonts w:ascii="Arial" w:hAnsi="Arial" w:cs="Arial"/>
        </w:rPr>
        <w:sectPr w:rsidR="00A66683" w:rsidRPr="00525328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C523CE">
        <w:rPr>
          <w:rFonts w:ascii="Arial" w:hAnsi="Arial" w:cs="Arial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8.75pt;margin-top:195pt;width:528.15pt;height:516.9pt;z-index:251653632;mso-position-vertical-relative:page" filled="f" stroked="f">
            <v:textbox style="mso-next-textbox:#_x0000_s1028">
              <w:txbxContent>
                <w:p w:rsidR="003227F5" w:rsidRPr="002B28DB" w:rsidRDefault="003227F5" w:rsidP="001F45C2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2B28DB">
                    <w:rPr>
                      <w:rFonts w:ascii="Arial" w:hAnsi="Arial" w:cs="Arial"/>
                    </w:rPr>
                    <w:t xml:space="preserve">This information sheet provides a summary </w:t>
                  </w:r>
                  <w:r w:rsidR="00A7290F">
                    <w:rPr>
                      <w:rFonts w:ascii="Arial" w:hAnsi="Arial" w:cs="Arial"/>
                    </w:rPr>
                    <w:t>of</w:t>
                  </w:r>
                  <w:r w:rsidRPr="002B28DB">
                    <w:rPr>
                      <w:rFonts w:ascii="Arial" w:hAnsi="Arial" w:cs="Arial"/>
                    </w:rPr>
                    <w:t xml:space="preserve"> the changes</w:t>
                  </w:r>
                  <w:r>
                    <w:rPr>
                      <w:rFonts w:ascii="Arial" w:hAnsi="Arial" w:cs="Arial"/>
                    </w:rPr>
                    <w:t xml:space="preserve"> / inclusions</w:t>
                  </w:r>
                  <w:r w:rsidRPr="002B28DB">
                    <w:rPr>
                      <w:rFonts w:ascii="Arial" w:hAnsi="Arial" w:cs="Arial"/>
                    </w:rPr>
                    <w:t xml:space="preserve"> in the suite of updated and new standard drawings prepared and published in July 2013 by DIER Transport Infrastructure Services Division relating to road markings and typical intersection arrangements.</w:t>
                  </w:r>
                </w:p>
                <w:p w:rsidR="003227F5" w:rsidRPr="002B28DB" w:rsidRDefault="003227F5" w:rsidP="001F45C2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:rsidR="003227F5" w:rsidRPr="002B28DB" w:rsidRDefault="003227F5" w:rsidP="001F45C2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2B28DB">
                    <w:rPr>
                      <w:rFonts w:ascii="Arial" w:hAnsi="Arial" w:cs="Arial"/>
                    </w:rPr>
                    <w:t xml:space="preserve">The drawings are intended to provide details of specific DIER requirements and expand on certain aspects of Australian Standards and </w:t>
                  </w:r>
                  <w:proofErr w:type="spellStart"/>
                  <w:r w:rsidRPr="002B28DB">
                    <w:rPr>
                      <w:rFonts w:ascii="Arial" w:hAnsi="Arial" w:cs="Arial"/>
                    </w:rPr>
                    <w:t>Austroads</w:t>
                  </w:r>
                  <w:proofErr w:type="spellEnd"/>
                  <w:r w:rsidRPr="002B28DB">
                    <w:rPr>
                      <w:rFonts w:ascii="Arial" w:hAnsi="Arial" w:cs="Arial"/>
                    </w:rPr>
                    <w:t xml:space="preserve"> Guidelines with respect to application </w:t>
                  </w:r>
                  <w:proofErr w:type="gramStart"/>
                  <w:r w:rsidRPr="002B28DB">
                    <w:rPr>
                      <w:rFonts w:ascii="Arial" w:hAnsi="Arial" w:cs="Arial"/>
                    </w:rPr>
                    <w:t xml:space="preserve">of </w:t>
                  </w:r>
                  <w:r w:rsidR="00861054">
                    <w:rPr>
                      <w:rFonts w:ascii="Arial" w:hAnsi="Arial" w:cs="Arial"/>
                    </w:rPr>
                    <w:t xml:space="preserve"> these</w:t>
                  </w:r>
                  <w:proofErr w:type="gramEnd"/>
                  <w:r w:rsidR="00861054">
                    <w:rPr>
                      <w:rFonts w:ascii="Arial" w:hAnsi="Arial" w:cs="Arial"/>
                    </w:rPr>
                    <w:t xml:space="preserve"> </w:t>
                  </w:r>
                  <w:r w:rsidRPr="002B28DB">
                    <w:rPr>
                      <w:rFonts w:ascii="Arial" w:hAnsi="Arial" w:cs="Arial"/>
                    </w:rPr>
                    <w:t>facilities on Tasmanian roads.</w:t>
                  </w:r>
                </w:p>
                <w:p w:rsidR="003227F5" w:rsidRPr="002B28DB" w:rsidRDefault="003227F5" w:rsidP="001F45C2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:rsidR="003227F5" w:rsidRPr="002B28DB" w:rsidRDefault="003227F5" w:rsidP="001F45C2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2B28DB">
                    <w:rPr>
                      <w:rFonts w:ascii="Arial" w:hAnsi="Arial" w:cs="Arial"/>
                    </w:rPr>
                    <w:t xml:space="preserve">While the drawings indicate most typical arrangements and details, they shall be read in conjunction with relevant DIER Specifications, </w:t>
                  </w:r>
                  <w:proofErr w:type="spellStart"/>
                  <w:r w:rsidRPr="002B28DB">
                    <w:rPr>
                      <w:rFonts w:ascii="Arial" w:hAnsi="Arial" w:cs="Arial"/>
                    </w:rPr>
                    <w:t>Austroads</w:t>
                  </w:r>
                  <w:proofErr w:type="spellEnd"/>
                  <w:r w:rsidRPr="002B28DB">
                    <w:rPr>
                      <w:rFonts w:ascii="Arial" w:hAnsi="Arial" w:cs="Arial"/>
                    </w:rPr>
                    <w:t xml:space="preserve"> Guidelines and Australian Standards</w:t>
                  </w:r>
                  <w:r w:rsidR="00861054">
                    <w:rPr>
                      <w:rFonts w:ascii="Arial" w:hAnsi="Arial" w:cs="Arial"/>
                    </w:rPr>
                    <w:t>, p</w:t>
                  </w:r>
                  <w:r w:rsidRPr="002B28DB">
                    <w:rPr>
                      <w:rFonts w:ascii="Arial" w:hAnsi="Arial" w:cs="Arial"/>
                    </w:rPr>
                    <w:t>articularly where site specific conditions and constraints exist that may not be covered by the Standard Drawings.</w:t>
                  </w:r>
                </w:p>
                <w:p w:rsidR="003227F5" w:rsidRPr="002B28DB" w:rsidRDefault="003227F5" w:rsidP="001F45C2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:rsidR="003227F5" w:rsidRPr="002B28DB" w:rsidRDefault="003227F5" w:rsidP="002B28DB">
                  <w:pPr>
                    <w:spacing w:after="120" w:line="288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Relevant</w:t>
                  </w:r>
                  <w:r w:rsidRPr="002B28DB">
                    <w:rPr>
                      <w:rFonts w:ascii="Arial" w:hAnsi="Arial" w:cs="Arial"/>
                    </w:rPr>
                    <w:t xml:space="preserve"> documents include but are not limited to;</w:t>
                  </w:r>
                </w:p>
                <w:p w:rsidR="003227F5" w:rsidRPr="002B28DB" w:rsidRDefault="003227F5" w:rsidP="002B28DB">
                  <w:pPr>
                    <w:pStyle w:val="ListParagraph"/>
                    <w:numPr>
                      <w:ilvl w:val="0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</w:rPr>
                  </w:pPr>
                  <w:r w:rsidRPr="002B28DB">
                    <w:rPr>
                      <w:rFonts w:ascii="Arial" w:hAnsi="Arial" w:cs="Arial"/>
                    </w:rPr>
                    <w:t>DIER Specifications;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R63 – Signs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R64 – Pavement Markings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T3 – Road Design Standards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T10 – Traffic Signs and Pavement Marking</w:t>
                  </w:r>
                </w:p>
                <w:p w:rsidR="003227F5" w:rsidRPr="002B28DB" w:rsidRDefault="003227F5" w:rsidP="002B28DB">
                  <w:pPr>
                    <w:pStyle w:val="ListParagraph"/>
                    <w:numPr>
                      <w:ilvl w:val="0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</w:rPr>
                  </w:pPr>
                  <w:proofErr w:type="spellStart"/>
                  <w:r w:rsidRPr="002B28DB">
                    <w:rPr>
                      <w:rFonts w:ascii="Arial" w:hAnsi="Arial" w:cs="Arial"/>
                    </w:rPr>
                    <w:t>Austroads</w:t>
                  </w:r>
                  <w:proofErr w:type="spellEnd"/>
                  <w:r w:rsidRPr="002B28DB">
                    <w:rPr>
                      <w:rFonts w:ascii="Arial" w:hAnsi="Arial" w:cs="Arial"/>
                    </w:rPr>
                    <w:t xml:space="preserve"> Guidelines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Guide to Road Design Series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 xml:space="preserve">(in particular, GRD Part 4A: </w:t>
                  </w:r>
                  <w:proofErr w:type="spellStart"/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Unsignalised</w:t>
                  </w:r>
                  <w:proofErr w:type="spellEnd"/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 xml:space="preserve"> and Signalised Intersections)</w:t>
                  </w:r>
                </w:p>
                <w:p w:rsidR="003227F5" w:rsidRPr="002B28DB" w:rsidRDefault="003227F5" w:rsidP="002B28DB">
                  <w:pPr>
                    <w:pStyle w:val="ListParagraph"/>
                    <w:numPr>
                      <w:ilvl w:val="0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</w:rPr>
                  </w:pPr>
                  <w:r w:rsidRPr="002B28DB">
                    <w:rPr>
                      <w:rFonts w:ascii="Arial" w:hAnsi="Arial" w:cs="Arial"/>
                    </w:rPr>
                    <w:t>Australian Standards</w:t>
                  </w:r>
                </w:p>
                <w:p w:rsidR="003227F5" w:rsidRPr="003B23A5" w:rsidRDefault="003227F5" w:rsidP="002B28DB">
                  <w:pPr>
                    <w:pStyle w:val="ListParagraph"/>
                    <w:numPr>
                      <w:ilvl w:val="1"/>
                      <w:numId w:val="3"/>
                    </w:numPr>
                    <w:spacing w:line="312" w:lineRule="auto"/>
                    <w:ind w:hanging="35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B23A5">
                    <w:rPr>
                      <w:rFonts w:ascii="Arial" w:hAnsi="Arial" w:cs="Arial"/>
                      <w:sz w:val="22"/>
                      <w:szCs w:val="22"/>
                    </w:rPr>
                    <w:t>AS 1742</w:t>
                  </w:r>
                </w:p>
                <w:p w:rsidR="003227F5" w:rsidRPr="002B28DB" w:rsidRDefault="003227F5" w:rsidP="00652B89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:rsidR="003227F5" w:rsidRDefault="003227F5" w:rsidP="00652B89">
                  <w:pPr>
                    <w:spacing w:line="288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Superseded drawing numbers are indicated in </w:t>
                  </w:r>
                  <w:r w:rsidRPr="003B23A5">
                    <w:rPr>
                      <w:rFonts w:ascii="Arial" w:hAnsi="Arial" w:cs="Arial"/>
                      <w:color w:val="0070C0"/>
                    </w:rPr>
                    <w:t>blue</w:t>
                  </w:r>
                  <w:r>
                    <w:rPr>
                      <w:rFonts w:ascii="Arial" w:hAnsi="Arial" w:cs="Arial"/>
                    </w:rPr>
                    <w:t xml:space="preserve"> in this document.</w:t>
                  </w:r>
                </w:p>
                <w:p w:rsidR="003227F5" w:rsidRDefault="003227F5" w:rsidP="00652B89">
                  <w:pPr>
                    <w:spacing w:line="288" w:lineRule="auto"/>
                    <w:rPr>
                      <w:rFonts w:ascii="Arial" w:hAnsi="Arial" w:cs="Arial"/>
                    </w:rPr>
                  </w:pPr>
                </w:p>
                <w:p w:rsidR="003227F5" w:rsidRPr="002B28DB" w:rsidRDefault="003227F5" w:rsidP="00652B89">
                  <w:pPr>
                    <w:spacing w:line="288" w:lineRule="auto"/>
                    <w:rPr>
                      <w:rFonts w:ascii="Arial" w:hAnsi="Arial" w:cs="Arial"/>
                    </w:rPr>
                  </w:pPr>
                  <w:r w:rsidRPr="002B28DB">
                    <w:rPr>
                      <w:rFonts w:ascii="Arial" w:hAnsi="Arial" w:cs="Arial"/>
                    </w:rPr>
                    <w:t>Please do not hesitate to contact Senior Traffic Engineering Officer, Garr</w:t>
                  </w:r>
                  <w:r>
                    <w:rPr>
                      <w:rFonts w:ascii="Arial" w:hAnsi="Arial" w:cs="Arial"/>
                    </w:rPr>
                    <w:t xml:space="preserve">y Hills, by email </w:t>
                  </w:r>
                  <w:hyperlink r:id="rId10" w:history="1">
                    <w:r w:rsidRPr="000158F9">
                      <w:rPr>
                        <w:rStyle w:val="Hyperlink"/>
                        <w:rFonts w:ascii="Arial" w:hAnsi="Arial" w:cs="Arial"/>
                      </w:rPr>
                      <w:t>garry.hills@dier.tas.gov.au</w:t>
                    </w:r>
                  </w:hyperlink>
                  <w:r>
                    <w:rPr>
                      <w:rFonts w:ascii="Arial" w:hAnsi="Arial" w:cs="Arial"/>
                    </w:rPr>
                    <w:t xml:space="preserve"> or phone </w:t>
                  </w:r>
                  <w:r w:rsidRPr="002B28DB">
                    <w:rPr>
                      <w:rFonts w:ascii="Arial" w:hAnsi="Arial" w:cs="Arial"/>
                    </w:rPr>
                    <w:t>(03) 6336 2833 with any questions regarding these Standard Drawings.</w:t>
                  </w:r>
                </w:p>
              </w:txbxContent>
            </v:textbox>
            <w10:wrap anchory="page"/>
          </v:shape>
        </w:pict>
      </w:r>
      <w:r w:rsidRPr="00C523CE">
        <w:rPr>
          <w:rFonts w:ascii="Arial" w:hAnsi="Arial" w:cs="Arial"/>
          <w:sz w:val="20"/>
          <w:szCs w:val="20"/>
          <w:lang w:eastAsia="en-AU"/>
        </w:rPr>
        <w:pict>
          <v:shape id="_x0000_s1038" type="#_x0000_t202" style="position:absolute;margin-left:-43.8pt;margin-top:774pt;width:387.3pt;height:52.2pt;z-index:251662848;mso-position-vertical-relative:page" filled="f" stroked="f">
            <v:textbox style="mso-next-textbox:#_x0000_s1038">
              <w:txbxContent>
                <w:p w:rsidR="003227F5" w:rsidRPr="00F32561" w:rsidRDefault="003227F5">
                  <w:pPr>
                    <w:pStyle w:val="Noparagraphstyle"/>
                    <w:rPr>
                      <w:rFonts w:ascii="Gill Sans MT" w:hAnsi="Gill Sans MT"/>
                      <w:spacing w:val="31"/>
                      <w:sz w:val="20"/>
                      <w:szCs w:val="20"/>
                    </w:rPr>
                  </w:pPr>
                  <w:r w:rsidRPr="00F32561">
                    <w:rPr>
                      <w:rFonts w:ascii="Gill Sans MT" w:hAnsi="Gill Sans MT"/>
                      <w:spacing w:val="31"/>
                      <w:sz w:val="20"/>
                      <w:szCs w:val="20"/>
                    </w:rPr>
                    <w:t>Department of Infrastructure, Energy and Resources</w:t>
                  </w:r>
                </w:p>
                <w:p w:rsidR="003227F5" w:rsidRPr="00F32561" w:rsidRDefault="003227F5">
                  <w:pPr>
                    <w:pStyle w:val="Noparagraphstyle"/>
                    <w:rPr>
                      <w:rFonts w:ascii="Gill Sans MT" w:hAnsi="Gill Sans MT"/>
                      <w:spacing w:val="31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pacing w:val="31"/>
                      <w:sz w:val="20"/>
                      <w:szCs w:val="20"/>
                    </w:rPr>
                    <w:t>Transport Infrastructure Services Division</w:t>
                  </w:r>
                </w:p>
              </w:txbxContent>
            </v:textbox>
            <w10:wrap anchory="page"/>
          </v:shape>
        </w:pict>
      </w:r>
      <w:r w:rsidRPr="00C523CE">
        <w:rPr>
          <w:rFonts w:ascii="Arial" w:hAnsi="Arial" w:cs="Arial"/>
          <w:noProof/>
          <w:sz w:val="20"/>
          <w:lang w:val="en-US"/>
        </w:rPr>
        <w:pict>
          <v:shape id="_x0000_s1030" type="#_x0000_t202" style="position:absolute;margin-left:165.9pt;margin-top:144.9pt;width:296.95pt;height:27.6pt;z-index:251655680;mso-position-horizontal-relative:text;mso-position-vertical-relative:page" filled="f" stroked="f">
            <v:textbox style="mso-next-textbox:#_x0000_s1030">
              <w:txbxContent>
                <w:p w:rsidR="003227F5" w:rsidRPr="00C06875" w:rsidRDefault="00C06875" w:rsidP="00C06875">
                  <w:pPr>
                    <w:jc w:val="right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C06875">
                    <w:rPr>
                      <w:rFonts w:ascii="Arial" w:hAnsi="Arial" w:cs="Arial"/>
                      <w:sz w:val="36"/>
                      <w:szCs w:val="36"/>
                    </w:rPr>
                    <w:t>12 September 2013</w:t>
                  </w:r>
                </w:p>
              </w:txbxContent>
            </v:textbox>
            <w10:wrap anchory="page"/>
          </v:shape>
        </w:pict>
      </w:r>
      <w:r w:rsidR="00A04C1D" w:rsidRPr="00525328"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ge">
              <wp:posOffset>-165100</wp:posOffset>
            </wp:positionV>
            <wp:extent cx="7620000" cy="10744200"/>
            <wp:effectExtent l="19050" t="0" r="0" b="0"/>
            <wp:wrapNone/>
            <wp:docPr id="7" name="Picture 7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Sh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3CE">
        <w:rPr>
          <w:rFonts w:ascii="Arial" w:hAnsi="Arial" w:cs="Arial"/>
          <w:noProof/>
          <w:sz w:val="20"/>
          <w:lang w:val="en-US"/>
        </w:rPr>
        <w:pict>
          <v:shape id="_x0000_s1026" type="#_x0000_t202" style="position:absolute;margin-left:-32.1pt;margin-top:-53.1pt;width:440.9pt;height:97.9pt;z-index:251652608;mso-position-horizontal-relative:text;mso-position-vertical-relative:text" filled="f" stroked="f">
            <v:textbox style="mso-next-textbox:#_x0000_s1026">
              <w:txbxContent>
                <w:p w:rsidR="003227F5" w:rsidRDefault="003227F5">
                  <w:pPr>
                    <w:pStyle w:val="text"/>
                    <w:tabs>
                      <w:tab w:val="clear" w:pos="4320"/>
                      <w:tab w:val="clear" w:pos="8640"/>
                      <w:tab w:val="center" w:pos="13875"/>
                      <w:tab w:val="right" w:pos="27750"/>
                    </w:tabs>
                    <w:spacing w:before="0"/>
                    <w:rPr>
                      <w:rFonts w:ascii="Gill Sans MT" w:hAnsi="Gill Sans MT"/>
                      <w:color w:val="FFFFFF"/>
                      <w:sz w:val="56"/>
                      <w:szCs w:val="56"/>
                    </w:rPr>
                  </w:pPr>
                  <w:r w:rsidRPr="000E1BFD">
                    <w:rPr>
                      <w:rFonts w:ascii="Gill Sans MT" w:hAnsi="Gill Sans MT"/>
                      <w:color w:val="FFFFFF"/>
                      <w:sz w:val="56"/>
                      <w:szCs w:val="56"/>
                    </w:rPr>
                    <w:t>Standard Drawing</w:t>
                  </w:r>
                  <w:r>
                    <w:rPr>
                      <w:rFonts w:ascii="Gill Sans MT" w:hAnsi="Gill Sans MT"/>
                      <w:color w:val="FFFFFF"/>
                      <w:sz w:val="56"/>
                      <w:szCs w:val="56"/>
                    </w:rPr>
                    <w:t xml:space="preserve"> Updates</w:t>
                  </w:r>
                </w:p>
                <w:p w:rsidR="00045FBA" w:rsidRPr="00045FBA" w:rsidRDefault="00045FBA">
                  <w:pPr>
                    <w:pStyle w:val="text"/>
                    <w:tabs>
                      <w:tab w:val="clear" w:pos="4320"/>
                      <w:tab w:val="clear" w:pos="8640"/>
                      <w:tab w:val="center" w:pos="13875"/>
                      <w:tab w:val="right" w:pos="27750"/>
                    </w:tabs>
                    <w:spacing w:before="0"/>
                    <w:rPr>
                      <w:rFonts w:ascii="Gill Sans MT" w:hAnsi="Gill Sans MT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Gill Sans MT" w:hAnsi="Gill Sans MT"/>
                      <w:color w:val="FFFFFF"/>
                      <w:sz w:val="36"/>
                      <w:szCs w:val="36"/>
                    </w:rPr>
                    <w:t xml:space="preserve">      </w:t>
                  </w:r>
                  <w:r w:rsidRPr="00045FBA">
                    <w:rPr>
                      <w:rFonts w:ascii="Gill Sans MT" w:hAnsi="Gill Sans MT"/>
                      <w:color w:val="FFFFFF"/>
                      <w:sz w:val="36"/>
                      <w:szCs w:val="36"/>
                    </w:rPr>
                    <w:t>Traffic Facilities</w:t>
                  </w:r>
                </w:p>
              </w:txbxContent>
            </v:textbox>
          </v:shape>
        </w:pict>
      </w: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  <w:b/>
          <w:u w:val="single"/>
        </w:rPr>
        <w:lastRenderedPageBreak/>
        <w:t>SD-81.001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Pavement Markings – Standard Line Types and Codes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Replaces previous versions of the pavement marking code shown on various drawings indicated below;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3403-14/P48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G-8-183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G-8-286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Roadwork Specification R64 – Appendix B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Line type code ‘EI’ changed to ‘EC’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Line type code ‘E2’ (previously Audible Edge line) changed so that it now specifies a 150mm wide edge line regardless of material type.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Line type code ‘EC2’ introduced – 150mm wide edge continuity line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Junction Continuity line type ‘JC’ width reduced to 150mm and spacing altered to 600mm line / 1800mm gap.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New codes introduced to specify ‘Audio-Tactile’ markings – namely standard code supplemented with a lower case ‘a’.</w:t>
      </w:r>
    </w:p>
    <w:p w:rsidR="000809A2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Notes relating to ‘Type A’ Audio-Tactile markings amended to ensure placement of standard painted line after placement of thermoplastic strips.</w:t>
      </w:r>
    </w:p>
    <w:p w:rsidR="003B23A5" w:rsidRPr="00525328" w:rsidRDefault="003B23A5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3227F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Placing a copy or extract of the previous ‘Pavement Markings Code’ (</w:t>
      </w:r>
      <w:r w:rsidR="003227F5">
        <w:rPr>
          <w:rFonts w:ascii="Arial" w:hAnsi="Arial" w:cs="Arial"/>
        </w:rPr>
        <w:t>shown on</w:t>
      </w:r>
      <w:r>
        <w:rPr>
          <w:rFonts w:ascii="Arial" w:hAnsi="Arial" w:cs="Arial"/>
        </w:rPr>
        <w:t xml:space="preserve"> abovementioned drawing numbers) on traffic facility design drawings is no longer appropriate. A suitable note indicating ‘</w:t>
      </w:r>
      <w:r w:rsidRPr="003227F5">
        <w:rPr>
          <w:rFonts w:ascii="Arial" w:hAnsi="Arial" w:cs="Arial"/>
          <w:i/>
        </w:rPr>
        <w:t>Refer to DIER Standard Drawing SD-81.001 for pavement marking line type details</w:t>
      </w:r>
      <w:r>
        <w:rPr>
          <w:rFonts w:ascii="Arial" w:hAnsi="Arial" w:cs="Arial"/>
        </w:rPr>
        <w:t>’ may be used</w:t>
      </w:r>
      <w:r w:rsidR="003227F5">
        <w:rPr>
          <w:rFonts w:ascii="Arial" w:hAnsi="Arial" w:cs="Arial"/>
        </w:rPr>
        <w:t xml:space="preserve"> if desired</w:t>
      </w:r>
      <w:r>
        <w:rPr>
          <w:rFonts w:ascii="Arial" w:hAnsi="Arial" w:cs="Arial"/>
        </w:rPr>
        <w:t>.</w:t>
      </w:r>
    </w:p>
    <w:p w:rsidR="00525328" w:rsidRDefault="00525328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  <w:b/>
          <w:u w:val="single"/>
        </w:rPr>
        <w:t>SD-81.002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Pavement Markings – Raised Pavement Markers</w:t>
      </w:r>
    </w:p>
    <w:p w:rsidR="000809A2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New drawing showing typical placement and spacing requirements for RRPM’s in relation to each standard line type.</w:t>
      </w:r>
    </w:p>
    <w:p w:rsidR="008F2073" w:rsidRPr="00525328" w:rsidRDefault="008F2073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This drawing is intended to provide clarity of the requirements of AS 1742.2 and cover other situations not detailed in this standard.</w:t>
      </w:r>
    </w:p>
    <w:p w:rsidR="00525328" w:rsidRPr="003227F5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  <w:b/>
          <w:u w:val="single"/>
        </w:rPr>
      </w:pPr>
      <w:r w:rsidRPr="003227F5">
        <w:rPr>
          <w:rFonts w:ascii="Arial" w:hAnsi="Arial" w:cs="Arial"/>
        </w:rPr>
        <w:t>Additional RRPM placement details are also given on subsequent typical arrangement drawings.</w:t>
      </w:r>
    </w:p>
    <w:p w:rsidR="003B23A5" w:rsidRDefault="003B23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lastRenderedPageBreak/>
        <w:t>SD-81.003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Pavement Markings – Chevron Markings (Operating Speeds 70km/h and below)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New drawing showing typical details for painted chevrons in lower speed (typically urban) environments.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Chevron width of 500mm with gap of 3m</w:t>
      </w:r>
    </w:p>
    <w:p w:rsidR="00304E2F" w:rsidRDefault="00304E2F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SD-81.004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Pavement Markings – Chevron Markings (Operating Speeds above 70km/h)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 xml:space="preserve">Replaces previous drawing </w:t>
      </w:r>
      <w:r w:rsidRPr="008F2073">
        <w:rPr>
          <w:rFonts w:ascii="Arial" w:hAnsi="Arial" w:cs="Arial"/>
          <w:color w:val="0070C0"/>
        </w:rPr>
        <w:t>3403-14/P51</w:t>
      </w:r>
      <w:r w:rsidRPr="00525328">
        <w:rPr>
          <w:rFonts w:ascii="Arial" w:hAnsi="Arial" w:cs="Arial"/>
        </w:rPr>
        <w:t xml:space="preserve"> and shows typical details for painted chevrons in higher speed (typically rural) environments.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Chevron width of 1m with gap of 5m</w:t>
      </w:r>
    </w:p>
    <w:p w:rsidR="00304E2F" w:rsidRDefault="00304E2F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SD-81.005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Pavement Markings – Traffic Island Approach Markings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 xml:space="preserve">Replaces previous drawing </w:t>
      </w:r>
      <w:r w:rsidRPr="008F2073">
        <w:rPr>
          <w:rFonts w:ascii="Arial" w:hAnsi="Arial" w:cs="Arial"/>
          <w:color w:val="0070C0"/>
        </w:rPr>
        <w:t>G-8-132</w:t>
      </w:r>
      <w:r w:rsidRPr="00525328">
        <w:rPr>
          <w:rFonts w:ascii="Arial" w:hAnsi="Arial" w:cs="Arial"/>
        </w:rPr>
        <w:t xml:space="preserve"> and shows typical details for approach markings to traffic islands.</w:t>
      </w:r>
    </w:p>
    <w:p w:rsidR="000809A2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 xml:space="preserve">Note that </w:t>
      </w:r>
      <w:r w:rsidR="003227F5">
        <w:rPr>
          <w:rFonts w:ascii="Arial" w:hAnsi="Arial" w:cs="Arial"/>
        </w:rPr>
        <w:t xml:space="preserve">the </w:t>
      </w:r>
      <w:r w:rsidRPr="00525328">
        <w:rPr>
          <w:rFonts w:ascii="Arial" w:hAnsi="Arial" w:cs="Arial"/>
        </w:rPr>
        <w:t>21m length is measured from end of island nose and may not necessarily equal the total length of the line required.</w:t>
      </w:r>
    </w:p>
    <w:p w:rsidR="003227F5" w:rsidRPr="00525328" w:rsidRDefault="003227F5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Gives some guidance with respect to ensuring a smooth approach transition to the traffic island.</w:t>
      </w:r>
    </w:p>
    <w:p w:rsidR="00525328" w:rsidRDefault="00525328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  <w:b/>
          <w:u w:val="single"/>
        </w:rPr>
        <w:t>SD-81.006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Pavement Markings – Safety Bar Islands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Replaces previous drawings for standard safety bar islands;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G-10-422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G-10-425</w:t>
      </w:r>
    </w:p>
    <w:p w:rsidR="000809A2" w:rsidRPr="008F2073" w:rsidRDefault="000809A2" w:rsidP="003662F3">
      <w:pPr>
        <w:pStyle w:val="ListParagraph"/>
        <w:numPr>
          <w:ilvl w:val="1"/>
          <w:numId w:val="1"/>
        </w:numPr>
        <w:spacing w:after="120" w:line="360" w:lineRule="auto"/>
        <w:ind w:hanging="357"/>
        <w:rPr>
          <w:rFonts w:ascii="Arial" w:hAnsi="Arial" w:cs="Arial"/>
          <w:color w:val="0070C0"/>
        </w:rPr>
      </w:pPr>
      <w:r w:rsidRPr="008F2073">
        <w:rPr>
          <w:rFonts w:ascii="Arial" w:hAnsi="Arial" w:cs="Arial"/>
          <w:color w:val="0070C0"/>
        </w:rPr>
        <w:t>G-10-442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Labels for island type references changed</w:t>
      </w:r>
    </w:p>
    <w:p w:rsidR="000809A2" w:rsidRPr="00525328" w:rsidRDefault="000809A2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SSB1 now LSB (Long Safety Bar Island)</w:t>
      </w:r>
    </w:p>
    <w:p w:rsidR="000809A2" w:rsidRPr="00525328" w:rsidRDefault="000809A2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SSB2 now RSB (Roundabout Safety Bar Island)</w:t>
      </w:r>
    </w:p>
    <w:p w:rsidR="000809A2" w:rsidRPr="00525328" w:rsidRDefault="000809A2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SSB3 now SSB (Short Safety Bar Island)</w:t>
      </w:r>
    </w:p>
    <w:p w:rsidR="003B23A5" w:rsidRPr="00304E2F" w:rsidRDefault="000809A2" w:rsidP="00304E2F">
      <w:pPr>
        <w:pStyle w:val="ListParagraph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u w:val="single"/>
        </w:rPr>
      </w:pPr>
      <w:r w:rsidRPr="00304E2F">
        <w:rPr>
          <w:rFonts w:ascii="Arial" w:hAnsi="Arial" w:cs="Arial"/>
        </w:rPr>
        <w:t>Provision to adjust safety bar spacing to allow for pedestrian walkways included.</w:t>
      </w:r>
      <w:r w:rsidR="003B23A5" w:rsidRPr="00304E2F">
        <w:rPr>
          <w:rFonts w:ascii="Arial" w:hAnsi="Arial" w:cs="Arial"/>
          <w:b/>
          <w:u w:val="single"/>
        </w:rPr>
        <w:br w:type="page"/>
      </w:r>
    </w:p>
    <w:p w:rsidR="000809A2" w:rsidRPr="00525328" w:rsidRDefault="000809A2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lastRenderedPageBreak/>
        <w:t>SD-84.001</w:t>
      </w:r>
      <w:r w:rsidR="008F2073">
        <w:rPr>
          <w:rFonts w:ascii="Arial" w:hAnsi="Arial" w:cs="Arial"/>
          <w:b/>
          <w:u w:val="single"/>
        </w:rPr>
        <w:t xml:space="preserve"> &amp; SD-84.002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Intersections &amp; Interchanges – Urban Junction without Traffic Island</w:t>
      </w:r>
      <w:r w:rsidR="008F2073">
        <w:rPr>
          <w:rFonts w:ascii="Arial" w:hAnsi="Arial" w:cs="Arial"/>
          <w:sz w:val="22"/>
          <w:szCs w:val="22"/>
        </w:rPr>
        <w:t xml:space="preserve"> &amp; </w:t>
      </w:r>
      <w:r w:rsidR="008F2073" w:rsidRPr="00525328">
        <w:rPr>
          <w:rFonts w:ascii="Arial" w:hAnsi="Arial" w:cs="Arial"/>
          <w:sz w:val="22"/>
          <w:szCs w:val="22"/>
        </w:rPr>
        <w:t>Urban Junction with Traffic Island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 xml:space="preserve">Replaces previous drawing </w:t>
      </w:r>
      <w:r w:rsidRPr="008F2073">
        <w:rPr>
          <w:rFonts w:ascii="Arial" w:hAnsi="Arial" w:cs="Arial"/>
          <w:color w:val="0070C0"/>
        </w:rPr>
        <w:t>G-8-2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‘JC’ Junction continuity lines are now typically not required unless specific site conditions exist</w:t>
      </w:r>
      <w:r w:rsidR="003227F5">
        <w:rPr>
          <w:rFonts w:ascii="Arial" w:hAnsi="Arial" w:cs="Arial"/>
        </w:rPr>
        <w:t xml:space="preserve"> where they can be considered</w:t>
      </w:r>
      <w:r w:rsidRPr="00525328">
        <w:rPr>
          <w:rFonts w:ascii="Arial" w:hAnsi="Arial" w:cs="Arial"/>
        </w:rPr>
        <w:t>.</w:t>
      </w:r>
    </w:p>
    <w:p w:rsidR="000809A2" w:rsidRPr="00525328" w:rsidRDefault="000809A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Typical ‘B3’ barrier line length extended with allowance for shorter lengths as required by site conditions.</w:t>
      </w:r>
    </w:p>
    <w:p w:rsidR="00304E2F" w:rsidRDefault="00304E2F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641E7E" w:rsidRPr="00525328" w:rsidRDefault="00641E7E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SD-84.00</w:t>
      </w:r>
      <w:r w:rsidR="008F2073">
        <w:rPr>
          <w:rFonts w:ascii="Arial" w:hAnsi="Arial" w:cs="Arial"/>
          <w:b/>
          <w:u w:val="single"/>
        </w:rPr>
        <w:t>3</w:t>
      </w:r>
      <w:r w:rsidRPr="00525328">
        <w:rPr>
          <w:rFonts w:ascii="Arial" w:hAnsi="Arial" w:cs="Arial"/>
          <w:b/>
          <w:u w:val="single"/>
        </w:rPr>
        <w:t xml:space="preserve"> to SD-84.009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Intersections &amp; Interchanges – Various Urban Junction Layouts and Typical Arrangements</w:t>
      </w:r>
    </w:p>
    <w:p w:rsidR="00641E7E" w:rsidRPr="00525328" w:rsidRDefault="00641E7E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New Standard Drawings showing pavement marking and signage requirements for the various</w:t>
      </w:r>
      <w:r w:rsidR="008F2073">
        <w:rPr>
          <w:rFonts w:ascii="Arial" w:hAnsi="Arial" w:cs="Arial"/>
        </w:rPr>
        <w:t xml:space="preserve"> urban</w:t>
      </w:r>
      <w:r w:rsidRPr="00525328">
        <w:rPr>
          <w:rFonts w:ascii="Arial" w:hAnsi="Arial" w:cs="Arial"/>
        </w:rPr>
        <w:t xml:space="preserve"> junction treatments defined in </w:t>
      </w:r>
      <w:proofErr w:type="spellStart"/>
      <w:r w:rsidRPr="00525328">
        <w:rPr>
          <w:rFonts w:ascii="Arial" w:hAnsi="Arial" w:cs="Arial"/>
        </w:rPr>
        <w:t>Austroads</w:t>
      </w:r>
      <w:proofErr w:type="spellEnd"/>
      <w:r w:rsidRPr="00525328">
        <w:rPr>
          <w:rFonts w:ascii="Arial" w:hAnsi="Arial" w:cs="Arial"/>
        </w:rPr>
        <w:t xml:space="preserve"> G</w:t>
      </w:r>
      <w:r w:rsidR="003227F5">
        <w:rPr>
          <w:rFonts w:ascii="Arial" w:hAnsi="Arial" w:cs="Arial"/>
        </w:rPr>
        <w:t>RD</w:t>
      </w:r>
      <w:r w:rsidRPr="00525328">
        <w:rPr>
          <w:rFonts w:ascii="Arial" w:hAnsi="Arial" w:cs="Arial"/>
        </w:rPr>
        <w:t xml:space="preserve"> </w:t>
      </w:r>
      <w:r w:rsidR="003227F5">
        <w:rPr>
          <w:rFonts w:ascii="Arial" w:hAnsi="Arial" w:cs="Arial"/>
        </w:rPr>
        <w:t xml:space="preserve">- </w:t>
      </w:r>
      <w:r w:rsidRPr="00525328">
        <w:rPr>
          <w:rFonts w:ascii="Arial" w:hAnsi="Arial" w:cs="Arial"/>
        </w:rPr>
        <w:t>Part 4A</w:t>
      </w:r>
      <w:r w:rsidR="003227F5">
        <w:rPr>
          <w:rFonts w:ascii="Arial" w:hAnsi="Arial" w:cs="Arial"/>
        </w:rPr>
        <w:t>.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BAR - Basic Right Turn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CHR(S) – Short Lane Channelised Right Turn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CHR – Fully Channelised Right Turn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BAL – Basic Left Turn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AUL(S) – Short Lane Auxiliary Left Turn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AUL – Full Length Auxiliary Left Turn</w:t>
      </w:r>
    </w:p>
    <w:p w:rsidR="00641E7E" w:rsidRPr="00525328" w:rsidRDefault="00641E7E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CHL – Channelised Left Turn</w:t>
      </w:r>
    </w:p>
    <w:p w:rsidR="00304E2F" w:rsidRDefault="00304E2F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641E7E" w:rsidRPr="00525328" w:rsidRDefault="00641E7E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SD-84.011 &amp; SD-84.012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>Intersections &amp; Interchanges – Rural Junction without Traffic Island &amp; Rural Junction with Traffic Island</w:t>
      </w:r>
    </w:p>
    <w:p w:rsidR="00641E7E" w:rsidRPr="00525328" w:rsidRDefault="00641E7E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 xml:space="preserve">Replaces previous drawing </w:t>
      </w:r>
      <w:r w:rsidRPr="008F2073">
        <w:rPr>
          <w:rFonts w:ascii="Arial" w:hAnsi="Arial" w:cs="Arial"/>
          <w:color w:val="0070C0"/>
        </w:rPr>
        <w:t>3403-14/P60</w:t>
      </w:r>
      <w:r w:rsidRPr="00525328">
        <w:rPr>
          <w:rFonts w:ascii="Arial" w:hAnsi="Arial" w:cs="Arial"/>
        </w:rPr>
        <w:t xml:space="preserve"> (Type A &amp; B Junctions)</w:t>
      </w:r>
    </w:p>
    <w:p w:rsidR="00641E7E" w:rsidRPr="00525328" w:rsidRDefault="00641E7E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‘JC’ Junction continuity lines are no</w:t>
      </w:r>
      <w:r w:rsidR="003227F5">
        <w:rPr>
          <w:rFonts w:ascii="Arial" w:hAnsi="Arial" w:cs="Arial"/>
        </w:rPr>
        <w:t xml:space="preserve"> longer</w:t>
      </w:r>
      <w:r w:rsidRPr="00525328">
        <w:rPr>
          <w:rFonts w:ascii="Arial" w:hAnsi="Arial" w:cs="Arial"/>
        </w:rPr>
        <w:t xml:space="preserve"> required for rural junctions.</w:t>
      </w:r>
    </w:p>
    <w:p w:rsidR="00641E7E" w:rsidRDefault="00641E7E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Typical ‘B3’ barrier line length extended with allowance for shorter lengths as required by site conditions.</w:t>
      </w:r>
    </w:p>
    <w:p w:rsidR="003662F3" w:rsidRDefault="003662F3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Edge continuity line </w:t>
      </w:r>
      <w:r w:rsidR="008F2073">
        <w:rPr>
          <w:rFonts w:ascii="Arial" w:hAnsi="Arial" w:cs="Arial"/>
        </w:rPr>
        <w:t xml:space="preserve">across width of junction </w:t>
      </w:r>
      <w:r>
        <w:rPr>
          <w:rFonts w:ascii="Arial" w:hAnsi="Arial" w:cs="Arial"/>
        </w:rPr>
        <w:t>introduced.</w:t>
      </w:r>
    </w:p>
    <w:p w:rsidR="003662F3" w:rsidRPr="00304E2F" w:rsidRDefault="003662F3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304E2F">
        <w:rPr>
          <w:rFonts w:ascii="Arial" w:hAnsi="Arial" w:cs="Arial"/>
        </w:rPr>
        <w:t>Details of edge line returns provided for locations where sealed shoulders 1m or greater in width exist.</w:t>
      </w:r>
    </w:p>
    <w:p w:rsidR="003B23A5" w:rsidRDefault="003B23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662F3" w:rsidRPr="00525328" w:rsidRDefault="003662F3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lastRenderedPageBreak/>
        <w:t>SD-84.01</w:t>
      </w:r>
      <w:r>
        <w:rPr>
          <w:rFonts w:ascii="Arial" w:hAnsi="Arial" w:cs="Arial"/>
          <w:b/>
          <w:u w:val="single"/>
        </w:rPr>
        <w:t>3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 xml:space="preserve">Intersections &amp; Interchanges – Rural </w:t>
      </w:r>
      <w:r>
        <w:rPr>
          <w:rFonts w:ascii="Arial" w:hAnsi="Arial" w:cs="Arial"/>
          <w:sz w:val="22"/>
          <w:szCs w:val="22"/>
        </w:rPr>
        <w:t>Basic Right Turn Facility</w:t>
      </w:r>
    </w:p>
    <w:p w:rsidR="003662F3" w:rsidRDefault="003662F3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>New Standard Drawing showing pavement marking and signage requirements for the BAR - Basic Right Turn</w:t>
      </w:r>
      <w:r>
        <w:rPr>
          <w:rFonts w:ascii="Arial" w:hAnsi="Arial" w:cs="Arial"/>
        </w:rPr>
        <w:t xml:space="preserve"> </w:t>
      </w:r>
      <w:r w:rsidR="008F2073">
        <w:rPr>
          <w:rFonts w:ascii="Arial" w:hAnsi="Arial" w:cs="Arial"/>
        </w:rPr>
        <w:t xml:space="preserve">rural </w:t>
      </w:r>
      <w:r>
        <w:rPr>
          <w:rFonts w:ascii="Arial" w:hAnsi="Arial" w:cs="Arial"/>
        </w:rPr>
        <w:t xml:space="preserve">junction treatment </w:t>
      </w:r>
      <w:r w:rsidRPr="00525328">
        <w:rPr>
          <w:rFonts w:ascii="Arial" w:hAnsi="Arial" w:cs="Arial"/>
        </w:rPr>
        <w:t xml:space="preserve">defined in </w:t>
      </w:r>
      <w:proofErr w:type="spellStart"/>
      <w:r w:rsidRPr="00525328">
        <w:rPr>
          <w:rFonts w:ascii="Arial" w:hAnsi="Arial" w:cs="Arial"/>
        </w:rPr>
        <w:t>Austroads</w:t>
      </w:r>
      <w:proofErr w:type="spellEnd"/>
      <w:r w:rsidRPr="00525328">
        <w:rPr>
          <w:rFonts w:ascii="Arial" w:hAnsi="Arial" w:cs="Arial"/>
        </w:rPr>
        <w:t xml:space="preserve"> </w:t>
      </w:r>
      <w:r w:rsidR="00B33DE1" w:rsidRPr="00525328">
        <w:rPr>
          <w:rFonts w:ascii="Arial" w:hAnsi="Arial" w:cs="Arial"/>
        </w:rPr>
        <w:t>G</w:t>
      </w:r>
      <w:r w:rsidR="00B33DE1">
        <w:rPr>
          <w:rFonts w:ascii="Arial" w:hAnsi="Arial" w:cs="Arial"/>
        </w:rPr>
        <w:t>RD</w:t>
      </w:r>
      <w:r w:rsidR="00B33DE1" w:rsidRPr="00525328">
        <w:rPr>
          <w:rFonts w:ascii="Arial" w:hAnsi="Arial" w:cs="Arial"/>
        </w:rPr>
        <w:t xml:space="preserve"> </w:t>
      </w:r>
      <w:r w:rsidR="00B33DE1">
        <w:rPr>
          <w:rFonts w:ascii="Arial" w:hAnsi="Arial" w:cs="Arial"/>
        </w:rPr>
        <w:t xml:space="preserve">- </w:t>
      </w:r>
      <w:r w:rsidR="00B33DE1" w:rsidRPr="00525328">
        <w:rPr>
          <w:rFonts w:ascii="Arial" w:hAnsi="Arial" w:cs="Arial"/>
        </w:rPr>
        <w:t>Part 4A</w:t>
      </w:r>
      <w:r w:rsidRPr="00525328">
        <w:rPr>
          <w:rFonts w:ascii="Arial" w:hAnsi="Arial" w:cs="Arial"/>
        </w:rPr>
        <w:t>.</w:t>
      </w:r>
    </w:p>
    <w:p w:rsidR="003662F3" w:rsidRDefault="003662F3">
      <w:pPr>
        <w:rPr>
          <w:rFonts w:ascii="Arial" w:hAnsi="Arial" w:cs="Arial"/>
          <w:b/>
          <w:u w:val="single"/>
        </w:rPr>
      </w:pPr>
    </w:p>
    <w:p w:rsidR="003662F3" w:rsidRPr="00525328" w:rsidRDefault="003662F3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SD-84.01</w:t>
      </w:r>
      <w:r>
        <w:rPr>
          <w:rFonts w:ascii="Arial" w:hAnsi="Arial" w:cs="Arial"/>
          <w:b/>
          <w:u w:val="single"/>
        </w:rPr>
        <w:t>4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 xml:space="preserve">Intersections &amp; Interchanges – </w:t>
      </w:r>
      <w:r>
        <w:rPr>
          <w:rFonts w:ascii="Arial" w:hAnsi="Arial" w:cs="Arial"/>
          <w:sz w:val="22"/>
          <w:szCs w:val="22"/>
        </w:rPr>
        <w:t>Channelised Short Lane Right Turn Facility</w:t>
      </w:r>
    </w:p>
    <w:p w:rsidR="003662F3" w:rsidRDefault="003662F3" w:rsidP="003662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662F3">
        <w:rPr>
          <w:rFonts w:ascii="Arial" w:hAnsi="Arial" w:cs="Arial"/>
        </w:rPr>
        <w:t xml:space="preserve">Replaces previous drawing </w:t>
      </w:r>
      <w:r w:rsidRPr="008F2073">
        <w:rPr>
          <w:rFonts w:ascii="Arial" w:hAnsi="Arial" w:cs="Arial"/>
          <w:color w:val="0070C0"/>
        </w:rPr>
        <w:t>3403-14/P61</w:t>
      </w:r>
      <w:r w:rsidRPr="003662F3">
        <w:rPr>
          <w:rFonts w:ascii="Arial" w:hAnsi="Arial" w:cs="Arial"/>
        </w:rPr>
        <w:t xml:space="preserve"> (Type B Junction)</w:t>
      </w:r>
    </w:p>
    <w:p w:rsidR="003662F3" w:rsidRPr="003662F3" w:rsidRDefault="003662F3" w:rsidP="003662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25328">
        <w:rPr>
          <w:rFonts w:ascii="Arial" w:hAnsi="Arial" w:cs="Arial"/>
        </w:rPr>
        <w:t>how</w:t>
      </w:r>
      <w:r>
        <w:rPr>
          <w:rFonts w:ascii="Arial" w:hAnsi="Arial" w:cs="Arial"/>
        </w:rPr>
        <w:t>s</w:t>
      </w:r>
      <w:r w:rsidRPr="00525328">
        <w:rPr>
          <w:rFonts w:ascii="Arial" w:hAnsi="Arial" w:cs="Arial"/>
        </w:rPr>
        <w:t xml:space="preserve"> pavement marking and signage requirements for the </w:t>
      </w:r>
      <w:r>
        <w:rPr>
          <w:rFonts w:ascii="Arial" w:hAnsi="Arial" w:cs="Arial"/>
        </w:rPr>
        <w:t>CHR(S) – Channelised Short Lane Right Turn</w:t>
      </w:r>
      <w:r w:rsidRPr="00525328">
        <w:rPr>
          <w:rFonts w:ascii="Arial" w:hAnsi="Arial" w:cs="Arial"/>
        </w:rPr>
        <w:t xml:space="preserve"> </w:t>
      </w:r>
      <w:r w:rsidR="008F2073">
        <w:rPr>
          <w:rFonts w:ascii="Arial" w:hAnsi="Arial" w:cs="Arial"/>
        </w:rPr>
        <w:t xml:space="preserve">rural </w:t>
      </w:r>
      <w:r w:rsidRPr="00525328">
        <w:rPr>
          <w:rFonts w:ascii="Arial" w:hAnsi="Arial" w:cs="Arial"/>
        </w:rPr>
        <w:t xml:space="preserve">junction treatment defined in </w:t>
      </w:r>
      <w:proofErr w:type="spellStart"/>
      <w:r w:rsidRPr="00525328">
        <w:rPr>
          <w:rFonts w:ascii="Arial" w:hAnsi="Arial" w:cs="Arial"/>
        </w:rPr>
        <w:t>Austroads</w:t>
      </w:r>
      <w:proofErr w:type="spellEnd"/>
      <w:r w:rsidRPr="00525328">
        <w:rPr>
          <w:rFonts w:ascii="Arial" w:hAnsi="Arial" w:cs="Arial"/>
        </w:rPr>
        <w:t xml:space="preserve"> </w:t>
      </w:r>
      <w:r w:rsidR="00B33DE1" w:rsidRPr="00525328">
        <w:rPr>
          <w:rFonts w:ascii="Arial" w:hAnsi="Arial" w:cs="Arial"/>
        </w:rPr>
        <w:t>G</w:t>
      </w:r>
      <w:r w:rsidR="00B33DE1">
        <w:rPr>
          <w:rFonts w:ascii="Arial" w:hAnsi="Arial" w:cs="Arial"/>
        </w:rPr>
        <w:t>RD</w:t>
      </w:r>
      <w:r w:rsidR="00B33DE1" w:rsidRPr="00525328">
        <w:rPr>
          <w:rFonts w:ascii="Arial" w:hAnsi="Arial" w:cs="Arial"/>
        </w:rPr>
        <w:t xml:space="preserve"> </w:t>
      </w:r>
      <w:r w:rsidR="00B33DE1">
        <w:rPr>
          <w:rFonts w:ascii="Arial" w:hAnsi="Arial" w:cs="Arial"/>
        </w:rPr>
        <w:t xml:space="preserve">- </w:t>
      </w:r>
      <w:r w:rsidR="00B33DE1" w:rsidRPr="00525328">
        <w:rPr>
          <w:rFonts w:ascii="Arial" w:hAnsi="Arial" w:cs="Arial"/>
        </w:rPr>
        <w:t>Part 4A</w:t>
      </w:r>
      <w:r>
        <w:rPr>
          <w:rFonts w:ascii="Arial" w:hAnsi="Arial" w:cs="Arial"/>
        </w:rPr>
        <w:t>.</w:t>
      </w:r>
    </w:p>
    <w:p w:rsidR="003662F3" w:rsidRDefault="003662F3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3662F3" w:rsidRPr="00525328" w:rsidRDefault="003662F3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SD-84.01</w:t>
      </w:r>
      <w:r>
        <w:rPr>
          <w:rFonts w:ascii="Arial" w:hAnsi="Arial" w:cs="Arial"/>
          <w:b/>
          <w:u w:val="single"/>
        </w:rPr>
        <w:t>5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 xml:space="preserve">Intersections &amp; Interchanges – </w:t>
      </w:r>
      <w:r w:rsidR="00847142">
        <w:rPr>
          <w:rFonts w:ascii="Arial" w:hAnsi="Arial" w:cs="Arial"/>
          <w:sz w:val="22"/>
          <w:szCs w:val="22"/>
        </w:rPr>
        <w:t xml:space="preserve">Fully </w:t>
      </w:r>
      <w:r>
        <w:rPr>
          <w:rFonts w:ascii="Arial" w:hAnsi="Arial" w:cs="Arial"/>
          <w:sz w:val="22"/>
          <w:szCs w:val="22"/>
        </w:rPr>
        <w:t>Channelised Right Turn Facility</w:t>
      </w:r>
    </w:p>
    <w:p w:rsidR="003662F3" w:rsidRDefault="003662F3" w:rsidP="003662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662F3">
        <w:rPr>
          <w:rFonts w:ascii="Arial" w:hAnsi="Arial" w:cs="Arial"/>
        </w:rPr>
        <w:t xml:space="preserve">Replaces previous drawing </w:t>
      </w:r>
      <w:r w:rsidRPr="008F2073">
        <w:rPr>
          <w:rFonts w:ascii="Arial" w:hAnsi="Arial" w:cs="Arial"/>
          <w:color w:val="0070C0"/>
        </w:rPr>
        <w:t>3403-14/P62</w:t>
      </w:r>
      <w:r w:rsidRPr="003662F3">
        <w:rPr>
          <w:rFonts w:ascii="Arial" w:hAnsi="Arial" w:cs="Arial"/>
        </w:rPr>
        <w:t xml:space="preserve"> (Type </w:t>
      </w:r>
      <w:r>
        <w:rPr>
          <w:rFonts w:ascii="Arial" w:hAnsi="Arial" w:cs="Arial"/>
        </w:rPr>
        <w:t>C</w:t>
      </w:r>
      <w:r w:rsidRPr="003662F3">
        <w:rPr>
          <w:rFonts w:ascii="Arial" w:hAnsi="Arial" w:cs="Arial"/>
        </w:rPr>
        <w:t xml:space="preserve"> Junction)</w:t>
      </w:r>
    </w:p>
    <w:p w:rsidR="003662F3" w:rsidRDefault="003662F3" w:rsidP="003662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25328">
        <w:rPr>
          <w:rFonts w:ascii="Arial" w:hAnsi="Arial" w:cs="Arial"/>
        </w:rPr>
        <w:t>how</w:t>
      </w:r>
      <w:r>
        <w:rPr>
          <w:rFonts w:ascii="Arial" w:hAnsi="Arial" w:cs="Arial"/>
        </w:rPr>
        <w:t>s</w:t>
      </w:r>
      <w:r w:rsidRPr="00525328">
        <w:rPr>
          <w:rFonts w:ascii="Arial" w:hAnsi="Arial" w:cs="Arial"/>
        </w:rPr>
        <w:t xml:space="preserve"> pavement marking and signage requirements for the </w:t>
      </w:r>
      <w:r>
        <w:rPr>
          <w:rFonts w:ascii="Arial" w:hAnsi="Arial" w:cs="Arial"/>
        </w:rPr>
        <w:t>CHR – Full Channelised Right Turn</w:t>
      </w:r>
      <w:r w:rsidRPr="00525328">
        <w:rPr>
          <w:rFonts w:ascii="Arial" w:hAnsi="Arial" w:cs="Arial"/>
        </w:rPr>
        <w:t xml:space="preserve"> </w:t>
      </w:r>
      <w:r w:rsidR="008F2073">
        <w:rPr>
          <w:rFonts w:ascii="Arial" w:hAnsi="Arial" w:cs="Arial"/>
        </w:rPr>
        <w:t xml:space="preserve">rural </w:t>
      </w:r>
      <w:r w:rsidRPr="00525328">
        <w:rPr>
          <w:rFonts w:ascii="Arial" w:hAnsi="Arial" w:cs="Arial"/>
        </w:rPr>
        <w:t xml:space="preserve">junction treatment defined in </w:t>
      </w:r>
      <w:proofErr w:type="spellStart"/>
      <w:r w:rsidRPr="00525328">
        <w:rPr>
          <w:rFonts w:ascii="Arial" w:hAnsi="Arial" w:cs="Arial"/>
        </w:rPr>
        <w:t>Austroads</w:t>
      </w:r>
      <w:proofErr w:type="spellEnd"/>
      <w:r w:rsidRPr="00525328">
        <w:rPr>
          <w:rFonts w:ascii="Arial" w:hAnsi="Arial" w:cs="Arial"/>
        </w:rPr>
        <w:t xml:space="preserve"> </w:t>
      </w:r>
      <w:r w:rsidR="00B33DE1" w:rsidRPr="00525328">
        <w:rPr>
          <w:rFonts w:ascii="Arial" w:hAnsi="Arial" w:cs="Arial"/>
        </w:rPr>
        <w:t>G</w:t>
      </w:r>
      <w:r w:rsidR="00B33DE1">
        <w:rPr>
          <w:rFonts w:ascii="Arial" w:hAnsi="Arial" w:cs="Arial"/>
        </w:rPr>
        <w:t>RD</w:t>
      </w:r>
      <w:r w:rsidR="00B33DE1" w:rsidRPr="00525328">
        <w:rPr>
          <w:rFonts w:ascii="Arial" w:hAnsi="Arial" w:cs="Arial"/>
        </w:rPr>
        <w:t xml:space="preserve"> </w:t>
      </w:r>
      <w:r w:rsidR="00B33DE1">
        <w:rPr>
          <w:rFonts w:ascii="Arial" w:hAnsi="Arial" w:cs="Arial"/>
        </w:rPr>
        <w:t xml:space="preserve">- </w:t>
      </w:r>
      <w:r w:rsidR="00B33DE1" w:rsidRPr="00525328">
        <w:rPr>
          <w:rFonts w:ascii="Arial" w:hAnsi="Arial" w:cs="Arial"/>
        </w:rPr>
        <w:t>Part 4A</w:t>
      </w:r>
      <w:r>
        <w:rPr>
          <w:rFonts w:ascii="Arial" w:hAnsi="Arial" w:cs="Arial"/>
        </w:rPr>
        <w:t>.</w:t>
      </w:r>
    </w:p>
    <w:p w:rsidR="002A3E6B" w:rsidRDefault="002A3E6B" w:rsidP="003662F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227F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B2</w:t>
      </w:r>
      <w:r w:rsidR="008C723F">
        <w:rPr>
          <w:rFonts w:ascii="Arial" w:hAnsi="Arial" w:cs="Arial"/>
        </w:rPr>
        <w:t xml:space="preserve"> lines previously used on the approach and departure tapers of painted chevron areas are now marked as CC lines. B2 lines are still used for the road centre line.</w:t>
      </w:r>
    </w:p>
    <w:p w:rsidR="003662F3" w:rsidRDefault="003662F3" w:rsidP="003662F3">
      <w:pPr>
        <w:spacing w:after="120" w:line="360" w:lineRule="auto"/>
        <w:rPr>
          <w:rFonts w:ascii="Arial" w:hAnsi="Arial" w:cs="Arial"/>
          <w:b/>
          <w:u w:val="single"/>
        </w:rPr>
      </w:pPr>
    </w:p>
    <w:p w:rsidR="003662F3" w:rsidRPr="00525328" w:rsidRDefault="003662F3" w:rsidP="003662F3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525328">
        <w:rPr>
          <w:rFonts w:ascii="Arial" w:hAnsi="Arial" w:cs="Arial"/>
          <w:b/>
          <w:u w:val="single"/>
        </w:rPr>
        <w:t>SD-84.0</w:t>
      </w:r>
      <w:r>
        <w:rPr>
          <w:rFonts w:ascii="Arial" w:hAnsi="Arial" w:cs="Arial"/>
          <w:b/>
          <w:u w:val="single"/>
        </w:rPr>
        <w:t>16</w:t>
      </w:r>
      <w:r w:rsidRPr="00525328">
        <w:rPr>
          <w:rFonts w:ascii="Arial" w:hAnsi="Arial" w:cs="Arial"/>
          <w:b/>
          <w:u w:val="single"/>
        </w:rPr>
        <w:t xml:space="preserve"> to SD-84.0</w:t>
      </w:r>
      <w:r>
        <w:rPr>
          <w:rFonts w:ascii="Arial" w:hAnsi="Arial" w:cs="Arial"/>
          <w:b/>
          <w:u w:val="single"/>
        </w:rPr>
        <w:t>1</w:t>
      </w:r>
      <w:r w:rsidRPr="00525328">
        <w:rPr>
          <w:rFonts w:ascii="Arial" w:hAnsi="Arial" w:cs="Arial"/>
          <w:b/>
          <w:u w:val="single"/>
        </w:rPr>
        <w:t>9</w:t>
      </w:r>
      <w:r w:rsidRPr="00525328">
        <w:rPr>
          <w:rFonts w:ascii="Arial" w:hAnsi="Arial" w:cs="Arial"/>
        </w:rPr>
        <w:t xml:space="preserve"> – </w:t>
      </w:r>
      <w:r w:rsidRPr="00525328">
        <w:rPr>
          <w:rFonts w:ascii="Arial" w:hAnsi="Arial" w:cs="Arial"/>
          <w:sz w:val="22"/>
          <w:szCs w:val="22"/>
        </w:rPr>
        <w:t xml:space="preserve">Intersections &amp; Interchanges – Various </w:t>
      </w:r>
      <w:r>
        <w:rPr>
          <w:rFonts w:ascii="Arial" w:hAnsi="Arial" w:cs="Arial"/>
          <w:sz w:val="22"/>
          <w:szCs w:val="22"/>
        </w:rPr>
        <w:t>Rural</w:t>
      </w:r>
      <w:r w:rsidRPr="00525328">
        <w:rPr>
          <w:rFonts w:ascii="Arial" w:hAnsi="Arial" w:cs="Arial"/>
          <w:sz w:val="22"/>
          <w:szCs w:val="22"/>
        </w:rPr>
        <w:t xml:space="preserve"> Junction Layouts and Typical Arrangements</w:t>
      </w:r>
    </w:p>
    <w:p w:rsidR="00242022" w:rsidRDefault="00242022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3662F3">
        <w:rPr>
          <w:rFonts w:ascii="Arial" w:hAnsi="Arial" w:cs="Arial"/>
        </w:rPr>
        <w:t xml:space="preserve">Replaces </w:t>
      </w:r>
      <w:r>
        <w:rPr>
          <w:rFonts w:ascii="Arial" w:hAnsi="Arial" w:cs="Arial"/>
        </w:rPr>
        <w:t xml:space="preserve">in part </w:t>
      </w:r>
      <w:r w:rsidRPr="003662F3">
        <w:rPr>
          <w:rFonts w:ascii="Arial" w:hAnsi="Arial" w:cs="Arial"/>
        </w:rPr>
        <w:t xml:space="preserve">previous drawing </w:t>
      </w:r>
      <w:r w:rsidRPr="008F2073">
        <w:rPr>
          <w:rFonts w:ascii="Arial" w:hAnsi="Arial" w:cs="Arial"/>
          <w:color w:val="0070C0"/>
        </w:rPr>
        <w:t>3403-14/P62</w:t>
      </w:r>
      <w:r>
        <w:rPr>
          <w:rFonts w:ascii="Arial" w:hAnsi="Arial" w:cs="Arial"/>
        </w:rPr>
        <w:t xml:space="preserve"> (Type C Junction)</w:t>
      </w:r>
    </w:p>
    <w:p w:rsidR="003662F3" w:rsidRPr="00525328" w:rsidRDefault="003662F3" w:rsidP="003662F3">
      <w:pPr>
        <w:pStyle w:val="ListParagraph"/>
        <w:numPr>
          <w:ilvl w:val="0"/>
          <w:numId w:val="1"/>
        </w:numPr>
        <w:spacing w:after="120" w:line="360" w:lineRule="auto"/>
        <w:ind w:hanging="357"/>
        <w:rPr>
          <w:rFonts w:ascii="Arial" w:hAnsi="Arial" w:cs="Arial"/>
        </w:rPr>
      </w:pPr>
      <w:r w:rsidRPr="00525328">
        <w:rPr>
          <w:rFonts w:ascii="Arial" w:hAnsi="Arial" w:cs="Arial"/>
        </w:rPr>
        <w:t xml:space="preserve">New Standard Drawings showing pavement marking and signage requirements for the various </w:t>
      </w:r>
      <w:r w:rsidR="008F2073">
        <w:rPr>
          <w:rFonts w:ascii="Arial" w:hAnsi="Arial" w:cs="Arial"/>
        </w:rPr>
        <w:t xml:space="preserve">rural </w:t>
      </w:r>
      <w:r w:rsidRPr="00525328">
        <w:rPr>
          <w:rFonts w:ascii="Arial" w:hAnsi="Arial" w:cs="Arial"/>
        </w:rPr>
        <w:t xml:space="preserve">junction </w:t>
      </w:r>
      <w:r>
        <w:rPr>
          <w:rFonts w:ascii="Arial" w:hAnsi="Arial" w:cs="Arial"/>
        </w:rPr>
        <w:t xml:space="preserve">left turn </w:t>
      </w:r>
      <w:r w:rsidRPr="00525328">
        <w:rPr>
          <w:rFonts w:ascii="Arial" w:hAnsi="Arial" w:cs="Arial"/>
        </w:rPr>
        <w:t xml:space="preserve">treatments defined in </w:t>
      </w:r>
      <w:proofErr w:type="spellStart"/>
      <w:r w:rsidRPr="00525328">
        <w:rPr>
          <w:rFonts w:ascii="Arial" w:hAnsi="Arial" w:cs="Arial"/>
        </w:rPr>
        <w:t>Austroads</w:t>
      </w:r>
      <w:proofErr w:type="spellEnd"/>
      <w:r w:rsidRPr="00525328">
        <w:rPr>
          <w:rFonts w:ascii="Arial" w:hAnsi="Arial" w:cs="Arial"/>
        </w:rPr>
        <w:t xml:space="preserve"> </w:t>
      </w:r>
      <w:r w:rsidR="00B33DE1" w:rsidRPr="00525328">
        <w:rPr>
          <w:rFonts w:ascii="Arial" w:hAnsi="Arial" w:cs="Arial"/>
        </w:rPr>
        <w:t>G</w:t>
      </w:r>
      <w:r w:rsidR="00B33DE1">
        <w:rPr>
          <w:rFonts w:ascii="Arial" w:hAnsi="Arial" w:cs="Arial"/>
        </w:rPr>
        <w:t>RD</w:t>
      </w:r>
      <w:r w:rsidR="00B33DE1" w:rsidRPr="00525328">
        <w:rPr>
          <w:rFonts w:ascii="Arial" w:hAnsi="Arial" w:cs="Arial"/>
        </w:rPr>
        <w:t xml:space="preserve"> </w:t>
      </w:r>
      <w:r w:rsidR="00B33DE1">
        <w:rPr>
          <w:rFonts w:ascii="Arial" w:hAnsi="Arial" w:cs="Arial"/>
        </w:rPr>
        <w:t xml:space="preserve">- </w:t>
      </w:r>
      <w:r w:rsidR="00B33DE1" w:rsidRPr="00525328">
        <w:rPr>
          <w:rFonts w:ascii="Arial" w:hAnsi="Arial" w:cs="Arial"/>
        </w:rPr>
        <w:t>Part 4A</w:t>
      </w:r>
      <w:r w:rsidRPr="00525328">
        <w:rPr>
          <w:rFonts w:ascii="Arial" w:hAnsi="Arial" w:cs="Arial"/>
        </w:rPr>
        <w:t>.</w:t>
      </w:r>
    </w:p>
    <w:p w:rsidR="003662F3" w:rsidRPr="00525328" w:rsidRDefault="003662F3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BAL – Basic Left Turn</w:t>
      </w:r>
    </w:p>
    <w:p w:rsidR="003662F3" w:rsidRPr="00525328" w:rsidRDefault="003662F3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AUL(S) – Short Lane Auxiliary Left Turn</w:t>
      </w:r>
    </w:p>
    <w:p w:rsidR="003662F3" w:rsidRDefault="003662F3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525328">
        <w:rPr>
          <w:rFonts w:ascii="Arial" w:hAnsi="Arial" w:cs="Arial"/>
        </w:rPr>
        <w:t>AUL – Full Length Auxiliary Left Turn</w:t>
      </w:r>
    </w:p>
    <w:p w:rsidR="003662F3" w:rsidRPr="00525328" w:rsidRDefault="003662F3" w:rsidP="003662F3">
      <w:pPr>
        <w:pStyle w:val="ListParagraph"/>
        <w:numPr>
          <w:ilvl w:val="1"/>
          <w:numId w:val="1"/>
        </w:numPr>
        <w:spacing w:after="120" w:line="360" w:lineRule="auto"/>
        <w:rPr>
          <w:rFonts w:ascii="Arial" w:hAnsi="Arial" w:cs="Arial"/>
        </w:rPr>
      </w:pPr>
      <w:r w:rsidRPr="003662F3">
        <w:rPr>
          <w:rFonts w:ascii="Arial" w:hAnsi="Arial" w:cs="Arial"/>
        </w:rPr>
        <w:t>CHL – Channelised Left Turn</w:t>
      </w:r>
    </w:p>
    <w:sectPr w:rsidR="003662F3" w:rsidRPr="00525328" w:rsidSect="0052532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F5" w:rsidRDefault="003227F5" w:rsidP="00525328">
      <w:r>
        <w:separator/>
      </w:r>
    </w:p>
  </w:endnote>
  <w:endnote w:type="continuationSeparator" w:id="0">
    <w:p w:rsidR="003227F5" w:rsidRDefault="003227F5" w:rsidP="0052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-Light">
    <w:altName w:val="GillSans Ligh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9404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3227F5" w:rsidRPr="00525328" w:rsidRDefault="003227F5">
        <w:pPr>
          <w:pStyle w:val="Footer"/>
          <w:jc w:val="right"/>
          <w:rPr>
            <w:rFonts w:ascii="Arial" w:hAnsi="Arial"/>
          </w:rPr>
        </w:pPr>
        <w:r w:rsidRPr="00525328">
          <w:rPr>
            <w:rFonts w:ascii="Arial" w:hAnsi="Arial"/>
          </w:rPr>
          <w:t xml:space="preserve">Page | </w:t>
        </w:r>
        <w:r w:rsidR="00C523CE" w:rsidRPr="00525328">
          <w:rPr>
            <w:rFonts w:ascii="Arial" w:hAnsi="Arial"/>
          </w:rPr>
          <w:fldChar w:fldCharType="begin"/>
        </w:r>
        <w:r w:rsidRPr="00525328">
          <w:rPr>
            <w:rFonts w:ascii="Arial" w:hAnsi="Arial"/>
          </w:rPr>
          <w:instrText xml:space="preserve"> PAGE   \* MERGEFORMAT </w:instrText>
        </w:r>
        <w:r w:rsidR="00C523CE" w:rsidRPr="00525328">
          <w:rPr>
            <w:rFonts w:ascii="Arial" w:hAnsi="Arial"/>
          </w:rPr>
          <w:fldChar w:fldCharType="separate"/>
        </w:r>
        <w:r w:rsidR="00773355">
          <w:rPr>
            <w:rFonts w:ascii="Arial" w:hAnsi="Arial"/>
            <w:noProof/>
          </w:rPr>
          <w:t>1</w:t>
        </w:r>
        <w:r w:rsidR="00C523CE" w:rsidRPr="00525328">
          <w:rPr>
            <w:rFonts w:ascii="Arial" w:hAnsi="Arial"/>
          </w:rPr>
          <w:fldChar w:fldCharType="end"/>
        </w:r>
        <w:r w:rsidRPr="00525328">
          <w:rPr>
            <w:rFonts w:ascii="Arial" w:hAnsi="Arial"/>
          </w:rPr>
          <w:t xml:space="preserve"> </w:t>
        </w:r>
      </w:p>
    </w:sdtContent>
  </w:sdt>
  <w:p w:rsidR="003227F5" w:rsidRDefault="003227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F5" w:rsidRDefault="003227F5" w:rsidP="00525328">
      <w:r>
        <w:separator/>
      </w:r>
    </w:p>
  </w:footnote>
  <w:footnote w:type="continuationSeparator" w:id="0">
    <w:p w:rsidR="003227F5" w:rsidRDefault="003227F5" w:rsidP="0052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F5" w:rsidRPr="00525328" w:rsidRDefault="003227F5" w:rsidP="00525328">
    <w:pPr>
      <w:pStyle w:val="Header"/>
      <w:jc w:val="right"/>
      <w:rPr>
        <w:rFonts w:ascii="Arial" w:hAnsi="Arial"/>
      </w:rPr>
    </w:pPr>
    <w:r w:rsidRPr="00525328">
      <w:rPr>
        <w:rFonts w:ascii="Arial" w:hAnsi="Arial"/>
      </w:rPr>
      <w:t xml:space="preserve">Standard Drawing Updates – </w:t>
    </w:r>
    <w:r w:rsidR="00847496">
      <w:rPr>
        <w:rFonts w:ascii="Arial" w:hAnsi="Arial"/>
      </w:rPr>
      <w:t xml:space="preserve">September </w:t>
    </w:r>
    <w:r w:rsidRPr="00525328">
      <w:rPr>
        <w:rFonts w:ascii="Arial" w:hAnsi="Arial"/>
      </w:rPr>
      <w:t>2013</w:t>
    </w:r>
  </w:p>
  <w:p w:rsidR="003227F5" w:rsidRDefault="00322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D3"/>
    <w:multiLevelType w:val="hybridMultilevel"/>
    <w:tmpl w:val="7A7677E6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4B3F76D3"/>
    <w:multiLevelType w:val="hybridMultilevel"/>
    <w:tmpl w:val="AC7A5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2447"/>
    <w:multiLevelType w:val="hybridMultilevel"/>
    <w:tmpl w:val="F6C8F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39+8vAY4dA3wRHuRYZohEjVaXs=" w:salt="FaPYFOldVOUYcHodhC1wX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1D"/>
    <w:rsid w:val="00045FBA"/>
    <w:rsid w:val="000809A2"/>
    <w:rsid w:val="000E1BFD"/>
    <w:rsid w:val="00172369"/>
    <w:rsid w:val="001F45C2"/>
    <w:rsid w:val="00205E59"/>
    <w:rsid w:val="00242022"/>
    <w:rsid w:val="002A3E6B"/>
    <w:rsid w:val="002B28DB"/>
    <w:rsid w:val="00304E2F"/>
    <w:rsid w:val="003227F5"/>
    <w:rsid w:val="003662F3"/>
    <w:rsid w:val="003B23A5"/>
    <w:rsid w:val="00433085"/>
    <w:rsid w:val="004C2FC3"/>
    <w:rsid w:val="004D000A"/>
    <w:rsid w:val="00525328"/>
    <w:rsid w:val="005456E0"/>
    <w:rsid w:val="00640F75"/>
    <w:rsid w:val="00641E7E"/>
    <w:rsid w:val="006520BA"/>
    <w:rsid w:val="00652B89"/>
    <w:rsid w:val="006C231C"/>
    <w:rsid w:val="006D0380"/>
    <w:rsid w:val="00773355"/>
    <w:rsid w:val="007F14CA"/>
    <w:rsid w:val="00847142"/>
    <w:rsid w:val="00847496"/>
    <w:rsid w:val="00861054"/>
    <w:rsid w:val="008C723F"/>
    <w:rsid w:val="008F2073"/>
    <w:rsid w:val="00911B79"/>
    <w:rsid w:val="00990134"/>
    <w:rsid w:val="009C7772"/>
    <w:rsid w:val="009E043F"/>
    <w:rsid w:val="00A04C1D"/>
    <w:rsid w:val="00A66683"/>
    <w:rsid w:val="00A7290F"/>
    <w:rsid w:val="00B33DE1"/>
    <w:rsid w:val="00C06875"/>
    <w:rsid w:val="00C523CE"/>
    <w:rsid w:val="00DB59FF"/>
    <w:rsid w:val="00DC315E"/>
    <w:rsid w:val="00DF0D8F"/>
    <w:rsid w:val="00F3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8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Header"/>
    <w:rsid w:val="00A66683"/>
    <w:pPr>
      <w:widowControl w:val="0"/>
      <w:tabs>
        <w:tab w:val="clear" w:pos="4153"/>
        <w:tab w:val="clear" w:pos="8306"/>
        <w:tab w:val="center" w:pos="4320"/>
        <w:tab w:val="right" w:pos="8640"/>
      </w:tabs>
      <w:suppressAutoHyphens/>
      <w:autoSpaceDE w:val="0"/>
      <w:autoSpaceDN w:val="0"/>
      <w:adjustRightInd w:val="0"/>
      <w:spacing w:before="57" w:line="310" w:lineRule="atLeast"/>
      <w:textAlignment w:val="baseline"/>
    </w:pPr>
    <w:rPr>
      <w:rFonts w:ascii="GillSans-Light" w:hAnsi="GillSans-Light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rsid w:val="00A66683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A666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E1B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53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328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532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2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garry.hills@dier.tas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6A1D-DA6E-4CD4-9382-F141E864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888</Words>
  <Characters>4819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G3 Multimedia</Company>
  <LinksUpToDate>false</LinksUpToDate>
  <CharactersWithSpaces>5696</CharactersWithSpaces>
  <SharedDoc>false</SharedDoc>
  <HLinks>
    <vt:vector size="12" baseType="variant">
      <vt:variant>
        <vt:i4>786457</vt:i4>
      </vt:variant>
      <vt:variant>
        <vt:i4>-1</vt:i4>
      </vt:variant>
      <vt:variant>
        <vt:i4>1031</vt:i4>
      </vt:variant>
      <vt:variant>
        <vt:i4>1</vt:i4>
      </vt:variant>
      <vt:variant>
        <vt:lpwstr>InfoSheet</vt:lpwstr>
      </vt:variant>
      <vt:variant>
        <vt:lpwstr/>
      </vt:variant>
      <vt:variant>
        <vt:i4>4522003</vt:i4>
      </vt:variant>
      <vt:variant>
        <vt:i4>-1</vt:i4>
      </vt:variant>
      <vt:variant>
        <vt:i4>1034</vt:i4>
      </vt:variant>
      <vt:variant>
        <vt:i4>1</vt:i4>
      </vt:variant>
      <vt:variant>
        <vt:lpwstr>A3bpf4v2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clhdxw</dc:creator>
  <cp:keywords/>
  <dc:description/>
  <cp:lastModifiedBy>p-blackwell</cp:lastModifiedBy>
  <cp:revision>21</cp:revision>
  <cp:lastPrinted>2013-07-30T22:54:00Z</cp:lastPrinted>
  <dcterms:created xsi:type="dcterms:W3CDTF">2013-07-23T05:28:00Z</dcterms:created>
  <dcterms:modified xsi:type="dcterms:W3CDTF">2013-09-12T23:50:00Z</dcterms:modified>
</cp:coreProperties>
</file>