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478ED" w14:textId="0D0BCF10" w:rsidR="00954531" w:rsidRDefault="001F3D31" w:rsidP="00954531">
      <w:pPr>
        <w:rPr>
          <w:rFonts w:ascii="Gill Sans MT" w:eastAsia="Times New Roman" w:hAnsi="Gill Sans MT" w:cs="Arial"/>
          <w:color w:val="000000"/>
        </w:rPr>
      </w:pPr>
      <w:r>
        <w:rPr>
          <w:rFonts w:ascii="Gill Sans MT" w:eastAsia="Times New Roman" w:hAnsi="Gill Sans MT" w:cs="Arial"/>
          <w:noProof/>
          <w:color w:val="000000"/>
          <w:lang w:eastAsia="en-AU"/>
        </w:rPr>
        <w:drawing>
          <wp:anchor distT="0" distB="0" distL="114300" distR="114300" simplePos="0" relativeHeight="251658240" behindDoc="1" locked="0" layoutInCell="1" allowOverlap="1" wp14:anchorId="77EFCA17" wp14:editId="6C681767">
            <wp:simplePos x="0" y="0"/>
            <wp:positionH relativeFrom="margin">
              <wp:align>center</wp:align>
            </wp:positionH>
            <wp:positionV relativeFrom="paragraph">
              <wp:posOffset>-2969895</wp:posOffset>
            </wp:positionV>
            <wp:extent cx="7540408" cy="10664041"/>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taxi newslet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0408" cy="10664041"/>
                    </a:xfrm>
                    <a:prstGeom prst="rect">
                      <a:avLst/>
                    </a:prstGeom>
                  </pic:spPr>
                </pic:pic>
              </a:graphicData>
            </a:graphic>
            <wp14:sizeRelH relativeFrom="page">
              <wp14:pctWidth>0</wp14:pctWidth>
            </wp14:sizeRelH>
            <wp14:sizeRelV relativeFrom="page">
              <wp14:pctHeight>0</wp14:pctHeight>
            </wp14:sizeRelV>
          </wp:anchor>
        </w:drawing>
      </w:r>
      <w:r w:rsidR="00954531" w:rsidRPr="00394D53">
        <w:rPr>
          <w:rFonts w:ascii="Gill Sans MT" w:eastAsia="Times New Roman" w:hAnsi="Gill Sans MT" w:cs="Arial"/>
          <w:color w:val="000000"/>
        </w:rPr>
        <w:t xml:space="preserve">Welcome to the </w:t>
      </w:r>
      <w:r w:rsidR="009C2526">
        <w:rPr>
          <w:rFonts w:ascii="Gill Sans MT" w:eastAsia="Times New Roman" w:hAnsi="Gill Sans MT" w:cs="Arial"/>
          <w:color w:val="000000"/>
        </w:rPr>
        <w:t>August</w:t>
      </w:r>
      <w:r w:rsidR="00CE1274">
        <w:rPr>
          <w:rFonts w:ascii="Gill Sans MT" w:eastAsia="Times New Roman" w:hAnsi="Gill Sans MT" w:cs="Arial"/>
          <w:color w:val="000000"/>
        </w:rPr>
        <w:t xml:space="preserve"> 2018</w:t>
      </w:r>
      <w:r w:rsidR="00954531" w:rsidRPr="00394D53">
        <w:rPr>
          <w:rFonts w:ascii="Gill Sans MT" w:eastAsia="Times New Roman" w:hAnsi="Gill Sans MT" w:cs="Arial"/>
          <w:color w:val="000000"/>
        </w:rPr>
        <w:t xml:space="preserve"> edition of the Taxi Newsletter.</w:t>
      </w:r>
    </w:p>
    <w:p w14:paraId="63906D7E" w14:textId="084F8EE5" w:rsidR="00590A61" w:rsidRPr="006F2134" w:rsidRDefault="009C2526" w:rsidP="00D533ED">
      <w:pPr>
        <w:spacing w:before="200" w:after="120"/>
        <w:rPr>
          <w:rFonts w:ascii="Gill Sans MT" w:eastAsiaTheme="majorEastAsia" w:hAnsi="Gill Sans MT" w:cstheme="majorBidi"/>
          <w:color w:val="2E74B5" w:themeColor="accent1" w:themeShade="BF"/>
          <w:sz w:val="32"/>
          <w:szCs w:val="32"/>
        </w:rPr>
      </w:pPr>
      <w:r>
        <w:rPr>
          <w:rFonts w:ascii="Gill Sans MT" w:eastAsiaTheme="majorEastAsia" w:hAnsi="Gill Sans MT" w:cstheme="majorBidi"/>
          <w:color w:val="2E74B5" w:themeColor="accent1" w:themeShade="BF"/>
          <w:sz w:val="32"/>
          <w:szCs w:val="32"/>
        </w:rPr>
        <w:t xml:space="preserve">New approved </w:t>
      </w:r>
      <w:r w:rsidR="002D494C">
        <w:rPr>
          <w:rFonts w:ascii="Gill Sans MT" w:eastAsiaTheme="majorEastAsia" w:hAnsi="Gill Sans MT" w:cstheme="majorBidi"/>
          <w:color w:val="2E74B5" w:themeColor="accent1" w:themeShade="BF"/>
          <w:sz w:val="32"/>
          <w:szCs w:val="32"/>
        </w:rPr>
        <w:t>t</w:t>
      </w:r>
      <w:r>
        <w:rPr>
          <w:rFonts w:ascii="Gill Sans MT" w:eastAsiaTheme="majorEastAsia" w:hAnsi="Gill Sans MT" w:cstheme="majorBidi"/>
          <w:color w:val="2E74B5" w:themeColor="accent1" w:themeShade="BF"/>
          <w:sz w:val="32"/>
          <w:szCs w:val="32"/>
        </w:rPr>
        <w:t xml:space="preserve">axi </w:t>
      </w:r>
      <w:r w:rsidR="002D494C">
        <w:rPr>
          <w:rFonts w:ascii="Gill Sans MT" w:eastAsiaTheme="majorEastAsia" w:hAnsi="Gill Sans MT" w:cstheme="majorBidi"/>
          <w:color w:val="2E74B5" w:themeColor="accent1" w:themeShade="BF"/>
          <w:sz w:val="32"/>
          <w:szCs w:val="32"/>
        </w:rPr>
        <w:t>s</w:t>
      </w:r>
      <w:r>
        <w:rPr>
          <w:rFonts w:ascii="Gill Sans MT" w:eastAsiaTheme="majorEastAsia" w:hAnsi="Gill Sans MT" w:cstheme="majorBidi"/>
          <w:color w:val="2E74B5" w:themeColor="accent1" w:themeShade="BF"/>
          <w:sz w:val="32"/>
          <w:szCs w:val="32"/>
        </w:rPr>
        <w:t xml:space="preserve">ecurity </w:t>
      </w:r>
      <w:r w:rsidR="002D494C">
        <w:rPr>
          <w:rFonts w:ascii="Gill Sans MT" w:eastAsiaTheme="majorEastAsia" w:hAnsi="Gill Sans MT" w:cstheme="majorBidi"/>
          <w:color w:val="2E74B5" w:themeColor="accent1" w:themeShade="BF"/>
          <w:sz w:val="32"/>
          <w:szCs w:val="32"/>
        </w:rPr>
        <w:t>c</w:t>
      </w:r>
      <w:r>
        <w:rPr>
          <w:rFonts w:ascii="Gill Sans MT" w:eastAsiaTheme="majorEastAsia" w:hAnsi="Gill Sans MT" w:cstheme="majorBidi"/>
          <w:color w:val="2E74B5" w:themeColor="accent1" w:themeShade="BF"/>
          <w:sz w:val="32"/>
          <w:szCs w:val="32"/>
        </w:rPr>
        <w:t xml:space="preserve">amera </w:t>
      </w:r>
      <w:r w:rsidR="0036418C">
        <w:rPr>
          <w:rFonts w:ascii="Gill Sans MT" w:eastAsiaTheme="majorEastAsia" w:hAnsi="Gill Sans MT" w:cstheme="majorBidi"/>
          <w:color w:val="2E74B5" w:themeColor="accent1" w:themeShade="BF"/>
          <w:sz w:val="32"/>
          <w:szCs w:val="32"/>
        </w:rPr>
        <w:t>s</w:t>
      </w:r>
      <w:r>
        <w:rPr>
          <w:rFonts w:ascii="Gill Sans MT" w:eastAsiaTheme="majorEastAsia" w:hAnsi="Gill Sans MT" w:cstheme="majorBidi"/>
          <w:color w:val="2E74B5" w:themeColor="accent1" w:themeShade="BF"/>
          <w:sz w:val="32"/>
          <w:szCs w:val="32"/>
        </w:rPr>
        <w:t>ystem</w:t>
      </w:r>
    </w:p>
    <w:p w14:paraId="06DF1998" w14:textId="3AC7BBFE" w:rsidR="005B53DD" w:rsidRDefault="005D00DF" w:rsidP="00741D70">
      <w:pPr>
        <w:spacing w:after="0" w:line="240" w:lineRule="auto"/>
        <w:rPr>
          <w:rFonts w:ascii="Gill Sans MT" w:hAnsi="Gill Sans MT"/>
        </w:rPr>
      </w:pPr>
      <w:r>
        <w:rPr>
          <w:rFonts w:ascii="Gill Sans MT" w:hAnsi="Gill Sans MT"/>
        </w:rPr>
        <w:t>T</w:t>
      </w:r>
      <w:r w:rsidR="00741D70">
        <w:rPr>
          <w:rFonts w:ascii="Gill Sans MT" w:hAnsi="Gill Sans MT"/>
        </w:rPr>
        <w:t xml:space="preserve">he 13CABSi </w:t>
      </w:r>
      <w:r w:rsidR="0015216A">
        <w:rPr>
          <w:rFonts w:ascii="Gill Sans MT" w:hAnsi="Gill Sans MT"/>
        </w:rPr>
        <w:t>(</w:t>
      </w:r>
      <w:r w:rsidR="00741D70">
        <w:rPr>
          <w:rFonts w:ascii="Gill Sans MT" w:hAnsi="Gill Sans MT"/>
        </w:rPr>
        <w:t>model number 1</w:t>
      </w:r>
      <w:r w:rsidR="0015216A">
        <w:rPr>
          <w:rFonts w:ascii="Gill Sans MT" w:hAnsi="Gill Sans MT"/>
        </w:rPr>
        <w:t>)</w:t>
      </w:r>
      <w:r w:rsidR="00741D70">
        <w:rPr>
          <w:rFonts w:ascii="Gill Sans MT" w:hAnsi="Gill Sans MT"/>
        </w:rPr>
        <w:t xml:space="preserve"> </w:t>
      </w:r>
      <w:r>
        <w:rPr>
          <w:rFonts w:ascii="Gill Sans MT" w:hAnsi="Gill Sans MT"/>
        </w:rPr>
        <w:t xml:space="preserve">is a new security camera system </w:t>
      </w:r>
      <w:r w:rsidR="00741D70">
        <w:rPr>
          <w:rFonts w:ascii="Gill Sans MT" w:hAnsi="Gill Sans MT"/>
        </w:rPr>
        <w:t xml:space="preserve">supplied by TaxiTech Pty Ltd </w:t>
      </w:r>
      <w:r>
        <w:rPr>
          <w:rFonts w:ascii="Gill Sans MT" w:hAnsi="Gill Sans MT"/>
        </w:rPr>
        <w:t xml:space="preserve">which has been approved for use </w:t>
      </w:r>
      <w:r w:rsidR="0036418C">
        <w:rPr>
          <w:rFonts w:ascii="Gill Sans MT" w:hAnsi="Gill Sans MT"/>
        </w:rPr>
        <w:t xml:space="preserve">in Tasmania </w:t>
      </w:r>
      <w:r>
        <w:rPr>
          <w:rFonts w:ascii="Gill Sans MT" w:hAnsi="Gill Sans MT"/>
        </w:rPr>
        <w:t xml:space="preserve">by the Transport Commission </w:t>
      </w:r>
      <w:r w:rsidR="0036418C">
        <w:rPr>
          <w:rFonts w:ascii="Gill Sans MT" w:hAnsi="Gill Sans MT"/>
        </w:rPr>
        <w:t>o</w:t>
      </w:r>
      <w:r w:rsidR="0036418C" w:rsidRPr="005B53DD">
        <w:rPr>
          <w:rFonts w:ascii="Gill Sans MT" w:hAnsi="Gill Sans MT"/>
        </w:rPr>
        <w:t xml:space="preserve">n </w:t>
      </w:r>
      <w:r w:rsidR="0036418C">
        <w:rPr>
          <w:rFonts w:ascii="Gill Sans MT" w:hAnsi="Gill Sans MT"/>
        </w:rPr>
        <w:t>4 July 2018.</w:t>
      </w:r>
    </w:p>
    <w:p w14:paraId="7B893642" w14:textId="77777777" w:rsidR="0036418C" w:rsidRDefault="0036418C" w:rsidP="00741D70">
      <w:pPr>
        <w:spacing w:after="0" w:line="240" w:lineRule="auto"/>
        <w:rPr>
          <w:rFonts w:ascii="Gill Sans MT" w:hAnsi="Gill Sans MT"/>
        </w:rPr>
      </w:pPr>
    </w:p>
    <w:p w14:paraId="1AD965A6" w14:textId="5B0DE5BE" w:rsidR="00741D70" w:rsidRPr="00EF2959" w:rsidRDefault="00741D70" w:rsidP="00EF2959">
      <w:pPr>
        <w:rPr>
          <w:rStyle w:val="Hyperlink"/>
        </w:rPr>
      </w:pPr>
      <w:r>
        <w:rPr>
          <w:rFonts w:ascii="Gill Sans MT" w:hAnsi="Gill Sans MT"/>
        </w:rPr>
        <w:t>The list of authorised taxi security camera systems agents has been updated to show the approved installer, testers and downloaders</w:t>
      </w:r>
      <w:r w:rsidR="00A00FEF">
        <w:rPr>
          <w:rFonts w:ascii="Gill Sans MT" w:hAnsi="Gill Sans MT"/>
        </w:rPr>
        <w:t xml:space="preserve"> </w:t>
      </w:r>
      <w:r>
        <w:rPr>
          <w:rFonts w:ascii="Gill Sans MT" w:hAnsi="Gill Sans MT"/>
        </w:rPr>
        <w:t>of the new system on the Department of State Growth’s</w:t>
      </w:r>
      <w:r w:rsidR="00C71515">
        <w:rPr>
          <w:rFonts w:ascii="Gill Sans MT" w:hAnsi="Gill Sans MT"/>
        </w:rPr>
        <w:t xml:space="preserve"> (State Growth)</w:t>
      </w:r>
      <w:r>
        <w:rPr>
          <w:rFonts w:ascii="Gill Sans MT" w:hAnsi="Gill Sans MT"/>
        </w:rPr>
        <w:t xml:space="preserve"> website at: </w:t>
      </w:r>
      <w:hyperlink r:id="rId9" w:history="1">
        <w:r w:rsidRPr="00EF2959">
          <w:rPr>
            <w:rStyle w:val="Hyperlink"/>
            <w:rFonts w:ascii="Gill Sans MT" w:hAnsi="Gill Sans MT"/>
          </w:rPr>
          <w:t>https://www.transport.tas.gov.au/passenger/operators/authorised_taxi_security_camera_systems_agents</w:t>
        </w:r>
      </w:hyperlink>
      <w:r w:rsidR="00B51604">
        <w:rPr>
          <w:rStyle w:val="Hyperlink"/>
          <w:rFonts w:ascii="Gill Sans MT" w:hAnsi="Gill Sans MT"/>
        </w:rPr>
        <w:t>.</w:t>
      </w:r>
    </w:p>
    <w:p w14:paraId="2601752D" w14:textId="198CFF2A" w:rsidR="00A00FEF" w:rsidRPr="002D494C" w:rsidRDefault="004F0AE7" w:rsidP="00D533ED">
      <w:pPr>
        <w:spacing w:before="200" w:after="120"/>
        <w:rPr>
          <w:rFonts w:ascii="Gill Sans MT" w:eastAsiaTheme="majorEastAsia" w:hAnsi="Gill Sans MT" w:cstheme="majorBidi"/>
          <w:color w:val="2E74B5" w:themeColor="accent1" w:themeShade="BF"/>
          <w:sz w:val="32"/>
          <w:szCs w:val="32"/>
        </w:rPr>
      </w:pPr>
      <w:r>
        <w:rPr>
          <w:rFonts w:ascii="Gill Sans MT" w:eastAsiaTheme="majorEastAsia" w:hAnsi="Gill Sans MT" w:cstheme="majorBidi"/>
          <w:color w:val="2E74B5" w:themeColor="accent1" w:themeShade="BF"/>
          <w:sz w:val="32"/>
          <w:szCs w:val="32"/>
        </w:rPr>
        <w:t xml:space="preserve">Small Passenger </w:t>
      </w:r>
      <w:r w:rsidR="00FF0AA5">
        <w:rPr>
          <w:rFonts w:ascii="Gill Sans MT" w:eastAsiaTheme="majorEastAsia" w:hAnsi="Gill Sans MT" w:cstheme="majorBidi"/>
          <w:color w:val="2E74B5" w:themeColor="accent1" w:themeShade="BF"/>
          <w:sz w:val="32"/>
          <w:szCs w:val="32"/>
        </w:rPr>
        <w:t xml:space="preserve">Vehicle </w:t>
      </w:r>
      <w:r>
        <w:rPr>
          <w:rFonts w:ascii="Gill Sans MT" w:eastAsiaTheme="majorEastAsia" w:hAnsi="Gill Sans MT" w:cstheme="majorBidi"/>
          <w:color w:val="2E74B5" w:themeColor="accent1" w:themeShade="BF"/>
          <w:sz w:val="32"/>
          <w:szCs w:val="32"/>
        </w:rPr>
        <w:t xml:space="preserve">Review </w:t>
      </w:r>
    </w:p>
    <w:p w14:paraId="66F16B12" w14:textId="6CA78B19" w:rsidR="00A00FEF" w:rsidRPr="00A00FEF" w:rsidRDefault="00A00FEF" w:rsidP="00A00FEF">
      <w:pPr>
        <w:rPr>
          <w:rFonts w:ascii="Gill Sans MT" w:hAnsi="Gill Sans MT"/>
        </w:rPr>
      </w:pPr>
      <w:r w:rsidRPr="00A00FEF">
        <w:rPr>
          <w:rFonts w:ascii="Gill Sans MT" w:hAnsi="Gill Sans MT"/>
        </w:rPr>
        <w:t>As part of its First Year Agenda, the Government has committed to release a draft regulatory framework for on-demand passenger transport for public consultation prior to 30 September 2018. Preparations are underway to deliver on this commitment and further advice regarding the details of the consultation will be provided in due course.</w:t>
      </w:r>
    </w:p>
    <w:p w14:paraId="23C49206" w14:textId="38082071" w:rsidR="00A00FEF" w:rsidRPr="00A00FEF" w:rsidRDefault="00A00FEF" w:rsidP="00A00FEF">
      <w:pPr>
        <w:rPr>
          <w:rFonts w:ascii="Gill Sans MT" w:hAnsi="Gill Sans MT"/>
        </w:rPr>
      </w:pPr>
      <w:r w:rsidRPr="00A00FEF">
        <w:rPr>
          <w:rFonts w:ascii="Gill Sans MT" w:hAnsi="Gill Sans MT"/>
        </w:rPr>
        <w:t>The review of the taxi and hire vehicle industries has so far comprised a review of background and context including the existing regulatory framework, an initial round of consultation, market research, targeted consultation, observation of the development of new regulatory frameworks in other Australian states and territories, and ad</w:t>
      </w:r>
      <w:r w:rsidR="002F074A">
        <w:rPr>
          <w:rFonts w:ascii="Gill Sans MT" w:hAnsi="Gill Sans MT"/>
        </w:rPr>
        <w:t> </w:t>
      </w:r>
      <w:r w:rsidRPr="00A00FEF">
        <w:rPr>
          <w:rFonts w:ascii="Gill Sans MT" w:hAnsi="Gill Sans MT"/>
        </w:rPr>
        <w:t xml:space="preserve">hoc stakeholder engagement. The in-depth and robust review has provided a sound base for the development of an on-demand passenger transport framework that is modern, safe, competitive, accessible and appropriately regulated. </w:t>
      </w:r>
    </w:p>
    <w:p w14:paraId="4722B45D" w14:textId="3F338CA1" w:rsidR="00A00FEF" w:rsidRPr="00A00FEF" w:rsidRDefault="00A00FEF" w:rsidP="00A00FEF">
      <w:pPr>
        <w:rPr>
          <w:rFonts w:ascii="Gill Sans MT" w:hAnsi="Gill Sans MT"/>
          <w:color w:val="1F497D"/>
        </w:rPr>
      </w:pPr>
      <w:r w:rsidRPr="00A00FEF">
        <w:rPr>
          <w:rFonts w:ascii="Gill Sans MT" w:hAnsi="Gill Sans MT"/>
        </w:rPr>
        <w:t>If there are any matters you would like to raise with the taxi and hire vehicle industries review team, please email</w:t>
      </w:r>
      <w:r>
        <w:rPr>
          <w:color w:val="1F497D"/>
        </w:rPr>
        <w:t xml:space="preserve"> </w:t>
      </w:r>
      <w:hyperlink r:id="rId10" w:history="1">
        <w:r w:rsidRPr="00A00FEF">
          <w:rPr>
            <w:rStyle w:val="Hyperlink"/>
            <w:rFonts w:ascii="Gill Sans MT" w:hAnsi="Gill Sans MT"/>
          </w:rPr>
          <w:t>taxireview@stategrowth.tas.gov.au</w:t>
        </w:r>
      </w:hyperlink>
      <w:r w:rsidR="00B51604">
        <w:rPr>
          <w:rStyle w:val="Hyperlink"/>
          <w:rFonts w:ascii="Gill Sans MT" w:hAnsi="Gill Sans MT"/>
        </w:rPr>
        <w:t>.</w:t>
      </w:r>
    </w:p>
    <w:p w14:paraId="5BF2C3BA" w14:textId="77777777" w:rsidR="001A2734" w:rsidRDefault="001A2734" w:rsidP="00D533ED">
      <w:pPr>
        <w:spacing w:before="200" w:after="120"/>
        <w:rPr>
          <w:rFonts w:ascii="Gill Sans MT" w:eastAsiaTheme="majorEastAsia" w:hAnsi="Gill Sans MT" w:cstheme="majorBidi"/>
          <w:color w:val="2E74B5" w:themeColor="accent1" w:themeShade="BF"/>
          <w:sz w:val="32"/>
          <w:szCs w:val="32"/>
        </w:rPr>
      </w:pPr>
      <w:r>
        <w:rPr>
          <w:rFonts w:ascii="Gill Sans MT" w:eastAsiaTheme="majorEastAsia" w:hAnsi="Gill Sans MT" w:cstheme="majorBidi"/>
          <w:color w:val="2E74B5" w:themeColor="accent1" w:themeShade="BF"/>
          <w:sz w:val="32"/>
          <w:szCs w:val="32"/>
        </w:rPr>
        <w:t>Release of owner-operator taxi licences for 2018</w:t>
      </w:r>
    </w:p>
    <w:p w14:paraId="6F52CEC3" w14:textId="44C034A4" w:rsidR="001A2734" w:rsidRDefault="001A2734" w:rsidP="001A2734">
      <w:pPr>
        <w:spacing w:after="240" w:line="240" w:lineRule="auto"/>
        <w:jc w:val="both"/>
        <w:rPr>
          <w:rFonts w:ascii="Gill Sans MT" w:hAnsi="Gill Sans MT"/>
        </w:rPr>
      </w:pPr>
      <w:r>
        <w:rPr>
          <w:rFonts w:ascii="Gill Sans MT" w:hAnsi="Gill Sans MT"/>
        </w:rPr>
        <w:t xml:space="preserve">The release of </w:t>
      </w:r>
      <w:r w:rsidR="00B51604">
        <w:rPr>
          <w:rFonts w:ascii="Gill Sans MT" w:hAnsi="Gill Sans MT"/>
        </w:rPr>
        <w:t>Owner-Operator Taxi Licences (</w:t>
      </w:r>
      <w:r>
        <w:rPr>
          <w:rFonts w:ascii="Gill Sans MT" w:hAnsi="Gill Sans MT"/>
        </w:rPr>
        <w:t>OOTLs</w:t>
      </w:r>
      <w:r w:rsidR="00B51604">
        <w:rPr>
          <w:rFonts w:ascii="Gill Sans MT" w:hAnsi="Gill Sans MT"/>
        </w:rPr>
        <w:t>)</w:t>
      </w:r>
      <w:r>
        <w:rPr>
          <w:rFonts w:ascii="Gill Sans MT" w:hAnsi="Gill Sans MT"/>
        </w:rPr>
        <w:t xml:space="preserve"> was suspended for every Tasmanian taxi area in response to the entry of ride-sourcing services in the Hobart area for 2016, 2017 and 2018. Earlier this year, the Minister determined the suspension would be lifted due to reported demand for additional taxi services in taxi areas where ride-sourcing services had not entered the market.  </w:t>
      </w:r>
    </w:p>
    <w:p w14:paraId="60659BA0" w14:textId="3F1FD256" w:rsidR="00B51604" w:rsidRPr="00B51604" w:rsidRDefault="001A2734" w:rsidP="00B51604">
      <w:pPr>
        <w:spacing w:after="240" w:line="240" w:lineRule="auto"/>
        <w:jc w:val="both"/>
        <w:rPr>
          <w:rFonts w:ascii="Gill Sans MT" w:hAnsi="Gill Sans MT"/>
        </w:rPr>
        <w:sectPr w:rsidR="00B51604" w:rsidRPr="00B51604" w:rsidSect="00B51604">
          <w:pgSz w:w="11906" w:h="16838"/>
          <w:pgMar w:top="4678" w:right="707" w:bottom="1440" w:left="851" w:header="708" w:footer="708" w:gutter="0"/>
          <w:cols w:space="708"/>
          <w:titlePg/>
          <w:docGrid w:linePitch="360"/>
        </w:sectPr>
      </w:pPr>
      <w:r>
        <w:rPr>
          <w:rFonts w:ascii="Gill Sans MT" w:hAnsi="Gill Sans MT"/>
        </w:rPr>
        <w:t xml:space="preserve">Before </w:t>
      </w:r>
      <w:r w:rsidR="006C2558">
        <w:rPr>
          <w:rFonts w:ascii="Gill Sans MT" w:hAnsi="Gill Sans MT"/>
        </w:rPr>
        <w:t>the end of September 2018, a total of</w:t>
      </w:r>
      <w:r>
        <w:rPr>
          <w:rFonts w:ascii="Gill Sans MT" w:hAnsi="Gill Sans MT"/>
        </w:rPr>
        <w:t xml:space="preserve"> 27 </w:t>
      </w:r>
      <w:r w:rsidR="00B51604">
        <w:rPr>
          <w:rFonts w:ascii="Gill Sans MT" w:hAnsi="Gill Sans MT"/>
        </w:rPr>
        <w:t>OOTLs</w:t>
      </w:r>
      <w:r>
        <w:rPr>
          <w:rFonts w:ascii="Gill Sans MT" w:hAnsi="Gill Sans MT"/>
        </w:rPr>
        <w:t xml:space="preserve"> will be made available </w:t>
      </w:r>
      <w:r w:rsidR="006C2558">
        <w:rPr>
          <w:rFonts w:ascii="Gill Sans MT" w:hAnsi="Gill Sans MT"/>
        </w:rPr>
        <w:t>for Tasmanian taxi areas with the</w:t>
      </w:r>
      <w:r>
        <w:rPr>
          <w:rFonts w:ascii="Gill Sans MT" w:hAnsi="Gill Sans MT"/>
        </w:rPr>
        <w:t xml:space="preserve"> except</w:t>
      </w:r>
      <w:r w:rsidR="006C2558">
        <w:rPr>
          <w:rFonts w:ascii="Gill Sans MT" w:hAnsi="Gill Sans MT"/>
        </w:rPr>
        <w:t>ion of</w:t>
      </w:r>
      <w:r>
        <w:rPr>
          <w:rFonts w:ascii="Gill Sans MT" w:hAnsi="Gill Sans MT"/>
        </w:rPr>
        <w:t xml:space="preserve"> the Hobart taxi area.  These will be available by way of tender.  The tender will be advertised in the major Tasmanian newspapers as well as on the State G</w:t>
      </w:r>
      <w:r w:rsidR="00B51604">
        <w:rPr>
          <w:rFonts w:ascii="Gill Sans MT" w:hAnsi="Gill Sans MT"/>
        </w:rPr>
        <w:t>overnment’s procurement website.</w:t>
      </w:r>
    </w:p>
    <w:p w14:paraId="4FE3A636" w14:textId="2C6FF6D1" w:rsidR="00D925EF" w:rsidRPr="006F2134" w:rsidRDefault="0015216A" w:rsidP="00D533ED">
      <w:pPr>
        <w:spacing w:before="200" w:after="120"/>
        <w:rPr>
          <w:rFonts w:ascii="Gill Sans MT" w:eastAsiaTheme="majorEastAsia" w:hAnsi="Gill Sans MT" w:cstheme="majorBidi"/>
          <w:color w:val="2E74B5" w:themeColor="accent1" w:themeShade="BF"/>
          <w:sz w:val="32"/>
          <w:szCs w:val="32"/>
        </w:rPr>
      </w:pPr>
      <w:r>
        <w:rPr>
          <w:rFonts w:ascii="Gill Sans MT" w:eastAsiaTheme="majorEastAsia" w:hAnsi="Gill Sans MT" w:cstheme="majorBidi"/>
          <w:color w:val="2E74B5" w:themeColor="accent1" w:themeShade="BF"/>
          <w:sz w:val="32"/>
          <w:szCs w:val="32"/>
        </w:rPr>
        <w:lastRenderedPageBreak/>
        <w:t>Passengers at taxi ranks</w:t>
      </w:r>
    </w:p>
    <w:p w14:paraId="08F94FDE" w14:textId="29D23797" w:rsidR="0015216A" w:rsidRDefault="0015216A" w:rsidP="00967969">
      <w:pPr>
        <w:rPr>
          <w:rFonts w:ascii="Gill Sans MT" w:hAnsi="Gill Sans MT"/>
        </w:rPr>
      </w:pPr>
      <w:r>
        <w:rPr>
          <w:rFonts w:ascii="Gill Sans MT" w:hAnsi="Gill Sans MT"/>
        </w:rPr>
        <w:t>Passengers may catch a taxi from a taxi rank</w:t>
      </w:r>
      <w:r w:rsidR="00FF0AA5">
        <w:rPr>
          <w:rFonts w:ascii="Gill Sans MT" w:hAnsi="Gill Sans MT"/>
        </w:rPr>
        <w:t xml:space="preserve"> or</w:t>
      </w:r>
      <w:r>
        <w:rPr>
          <w:rFonts w:ascii="Gill Sans MT" w:hAnsi="Gill Sans MT"/>
        </w:rPr>
        <w:t xml:space="preserve"> by hailing a passing taxi or by phoning a taxi company.  </w:t>
      </w:r>
    </w:p>
    <w:p w14:paraId="54A11D96" w14:textId="35F6AD1E" w:rsidR="00412BEC" w:rsidRDefault="0036418C" w:rsidP="0036418C">
      <w:pPr>
        <w:rPr>
          <w:rFonts w:ascii="Gill Sans MT" w:hAnsi="Gill Sans MT"/>
        </w:rPr>
      </w:pPr>
      <w:r>
        <w:rPr>
          <w:rFonts w:ascii="Gill Sans MT" w:hAnsi="Gill Sans MT"/>
        </w:rPr>
        <w:t>A passenger can</w:t>
      </w:r>
      <w:r w:rsidR="0015216A">
        <w:rPr>
          <w:rFonts w:ascii="Gill Sans MT" w:hAnsi="Gill Sans MT"/>
        </w:rPr>
        <w:t xml:space="preserve"> take a</w:t>
      </w:r>
      <w:r>
        <w:rPr>
          <w:rFonts w:ascii="Gill Sans MT" w:hAnsi="Gill Sans MT"/>
        </w:rPr>
        <w:t>ny</w:t>
      </w:r>
      <w:r w:rsidR="0015216A">
        <w:rPr>
          <w:rFonts w:ascii="Gill Sans MT" w:hAnsi="Gill Sans MT"/>
        </w:rPr>
        <w:t xml:space="preserve"> taxi </w:t>
      </w:r>
      <w:r w:rsidR="005D00DF">
        <w:rPr>
          <w:rFonts w:ascii="Gill Sans MT" w:hAnsi="Gill Sans MT"/>
        </w:rPr>
        <w:t xml:space="preserve">they choose </w:t>
      </w:r>
      <w:r w:rsidR="0015216A">
        <w:rPr>
          <w:rFonts w:ascii="Gill Sans MT" w:hAnsi="Gill Sans MT"/>
        </w:rPr>
        <w:t xml:space="preserve">from a </w:t>
      </w:r>
      <w:r>
        <w:rPr>
          <w:rFonts w:ascii="Gill Sans MT" w:hAnsi="Gill Sans MT"/>
        </w:rPr>
        <w:t>taxi rank.</w:t>
      </w:r>
      <w:r w:rsidR="0015216A">
        <w:rPr>
          <w:rFonts w:ascii="Gill Sans MT" w:hAnsi="Gill Sans MT"/>
        </w:rPr>
        <w:t xml:space="preserve"> They </w:t>
      </w:r>
      <w:r w:rsidR="005D00DF">
        <w:rPr>
          <w:rFonts w:ascii="Gill Sans MT" w:hAnsi="Gill Sans MT"/>
        </w:rPr>
        <w:t xml:space="preserve">can choose to take a taxi </w:t>
      </w:r>
      <w:r w:rsidR="002F074A">
        <w:rPr>
          <w:rFonts w:ascii="Gill Sans MT" w:hAnsi="Gill Sans MT"/>
        </w:rPr>
        <w:t>other</w:t>
      </w:r>
      <w:r w:rsidR="005D00DF">
        <w:rPr>
          <w:rFonts w:ascii="Gill Sans MT" w:hAnsi="Gill Sans MT"/>
        </w:rPr>
        <w:t xml:space="preserve"> than t</w:t>
      </w:r>
      <w:r w:rsidR="0015216A">
        <w:rPr>
          <w:rFonts w:ascii="Gill Sans MT" w:hAnsi="Gill Sans MT"/>
        </w:rPr>
        <w:t>he first taxi</w:t>
      </w:r>
      <w:r w:rsidR="00B15B65">
        <w:rPr>
          <w:rFonts w:ascii="Gill Sans MT" w:hAnsi="Gill Sans MT"/>
        </w:rPr>
        <w:t xml:space="preserve"> at the rank</w:t>
      </w:r>
      <w:r w:rsidR="0015216A">
        <w:rPr>
          <w:rFonts w:ascii="Gill Sans MT" w:hAnsi="Gill Sans MT"/>
        </w:rPr>
        <w:t xml:space="preserve">.  </w:t>
      </w:r>
      <w:r>
        <w:rPr>
          <w:rFonts w:ascii="Gill Sans MT" w:hAnsi="Gill Sans MT"/>
        </w:rPr>
        <w:t>A taxi driver who tells</w:t>
      </w:r>
      <w:r w:rsidR="0015216A">
        <w:rPr>
          <w:rFonts w:ascii="Gill Sans MT" w:hAnsi="Gill Sans MT"/>
        </w:rPr>
        <w:t xml:space="preserve"> a passenger to take the first taxi</w:t>
      </w:r>
      <w:r>
        <w:rPr>
          <w:rFonts w:ascii="Gill Sans MT" w:hAnsi="Gill Sans MT"/>
        </w:rPr>
        <w:t xml:space="preserve"> is refusing a</w:t>
      </w:r>
      <w:r w:rsidR="00412BEC">
        <w:rPr>
          <w:rFonts w:ascii="Gill Sans MT" w:hAnsi="Gill Sans MT"/>
        </w:rPr>
        <w:t xml:space="preserve"> fare</w:t>
      </w:r>
      <w:r w:rsidR="0015216A">
        <w:rPr>
          <w:rFonts w:ascii="Gill Sans MT" w:hAnsi="Gill Sans MT"/>
        </w:rPr>
        <w:t xml:space="preserve">.  </w:t>
      </w:r>
      <w:r>
        <w:rPr>
          <w:rFonts w:ascii="Gill Sans MT" w:hAnsi="Gill Sans MT"/>
        </w:rPr>
        <w:t>The</w:t>
      </w:r>
      <w:r w:rsidR="005D00DF">
        <w:rPr>
          <w:rFonts w:ascii="Gill Sans MT" w:hAnsi="Gill Sans MT"/>
        </w:rPr>
        <w:t xml:space="preserve"> driver is</w:t>
      </w:r>
      <w:r>
        <w:rPr>
          <w:rFonts w:ascii="Gill Sans MT" w:hAnsi="Gill Sans MT"/>
        </w:rPr>
        <w:t xml:space="preserve"> committing</w:t>
      </w:r>
      <w:r w:rsidR="00412BEC">
        <w:rPr>
          <w:rFonts w:ascii="Gill Sans MT" w:hAnsi="Gill Sans MT"/>
        </w:rPr>
        <w:t xml:space="preserve"> an offence under </w:t>
      </w:r>
      <w:r>
        <w:rPr>
          <w:rFonts w:ascii="Gill Sans MT" w:hAnsi="Gill Sans MT"/>
        </w:rPr>
        <w:t xml:space="preserve">regulation 15 of </w:t>
      </w:r>
      <w:r w:rsidR="00412BEC">
        <w:rPr>
          <w:rFonts w:ascii="Gill Sans MT" w:hAnsi="Gill Sans MT"/>
        </w:rPr>
        <w:t xml:space="preserve">the </w:t>
      </w:r>
      <w:r w:rsidR="00412BEC" w:rsidRPr="00412BEC">
        <w:rPr>
          <w:rFonts w:ascii="Gill Sans MT" w:hAnsi="Gill Sans MT"/>
          <w:i/>
        </w:rPr>
        <w:t>Taxi Industry Regulations 2008</w:t>
      </w:r>
      <w:r w:rsidR="00412BEC">
        <w:rPr>
          <w:rFonts w:ascii="Gill Sans MT" w:hAnsi="Gill Sans MT"/>
        </w:rPr>
        <w:t xml:space="preserve"> (the Regulations)</w:t>
      </w:r>
      <w:r w:rsidR="002F5DD5">
        <w:rPr>
          <w:rFonts w:ascii="Gill Sans MT" w:hAnsi="Gill Sans MT"/>
        </w:rPr>
        <w:t xml:space="preserve"> and a fine may apply</w:t>
      </w:r>
      <w:r w:rsidR="00412BEC">
        <w:rPr>
          <w:rFonts w:ascii="Gill Sans MT" w:hAnsi="Gill Sans MT"/>
        </w:rPr>
        <w:t xml:space="preserve">.  The Regulations are available online at: </w:t>
      </w:r>
      <w:hyperlink r:id="rId11" w:history="1">
        <w:r w:rsidR="00412BEC" w:rsidRPr="00CE085A">
          <w:rPr>
            <w:rStyle w:val="Hyperlink"/>
            <w:rFonts w:ascii="Gill Sans MT" w:hAnsi="Gill Sans MT"/>
          </w:rPr>
          <w:t>https://www.legislation.tas.gov.au/view/html/inforce/current/sr-2008-111</w:t>
        </w:r>
      </w:hyperlink>
      <w:r w:rsidR="00404A05">
        <w:rPr>
          <w:rStyle w:val="Hyperlink"/>
          <w:rFonts w:ascii="Gill Sans MT" w:hAnsi="Gill Sans MT"/>
        </w:rPr>
        <w:t>.</w:t>
      </w:r>
    </w:p>
    <w:p w14:paraId="22ECDBFE" w14:textId="42D4F420" w:rsidR="00404A05" w:rsidRDefault="005D00DF" w:rsidP="00404A05">
      <w:pPr>
        <w:rPr>
          <w:rFonts w:ascii="Gill Sans MT" w:hAnsi="Gill Sans MT"/>
        </w:rPr>
      </w:pPr>
      <w:r>
        <w:rPr>
          <w:rFonts w:ascii="Gill Sans MT" w:hAnsi="Gill Sans MT"/>
        </w:rPr>
        <w:t>A driver</w:t>
      </w:r>
      <w:r w:rsidR="00B15B65">
        <w:rPr>
          <w:rFonts w:ascii="Gill Sans MT" w:hAnsi="Gill Sans MT"/>
        </w:rPr>
        <w:t xml:space="preserve"> who </w:t>
      </w:r>
      <w:r w:rsidR="0036418C">
        <w:rPr>
          <w:rFonts w:ascii="Gill Sans MT" w:hAnsi="Gill Sans MT"/>
        </w:rPr>
        <w:t>witness</w:t>
      </w:r>
      <w:r w:rsidR="00FB7A73">
        <w:rPr>
          <w:rFonts w:ascii="Gill Sans MT" w:hAnsi="Gill Sans MT"/>
        </w:rPr>
        <w:t>es</w:t>
      </w:r>
      <w:r w:rsidR="00B15B65">
        <w:rPr>
          <w:rFonts w:ascii="Gill Sans MT" w:hAnsi="Gill Sans MT"/>
        </w:rPr>
        <w:t xml:space="preserve"> unacceptable behaviour</w:t>
      </w:r>
      <w:r w:rsidR="002F5DD5">
        <w:rPr>
          <w:rFonts w:ascii="Gill Sans MT" w:hAnsi="Gill Sans MT"/>
        </w:rPr>
        <w:t xml:space="preserve"> </w:t>
      </w:r>
      <w:r w:rsidR="00B15B65">
        <w:rPr>
          <w:rFonts w:ascii="Gill Sans MT" w:hAnsi="Gill Sans MT"/>
        </w:rPr>
        <w:t xml:space="preserve">at a taxi rank should report </w:t>
      </w:r>
      <w:r w:rsidR="0036418C">
        <w:rPr>
          <w:rFonts w:ascii="Gill Sans MT" w:hAnsi="Gill Sans MT"/>
        </w:rPr>
        <w:t>it</w:t>
      </w:r>
      <w:r w:rsidR="00B15B65">
        <w:rPr>
          <w:rFonts w:ascii="Gill Sans MT" w:hAnsi="Gill Sans MT"/>
        </w:rPr>
        <w:t xml:space="preserve"> to Tasmania Police.  </w:t>
      </w:r>
      <w:r w:rsidR="002F5DD5">
        <w:rPr>
          <w:rFonts w:ascii="Gill Sans MT" w:hAnsi="Gill Sans MT"/>
        </w:rPr>
        <w:t>Complaints about fare refusal should be reported to t</w:t>
      </w:r>
      <w:r w:rsidR="00B15B65">
        <w:rPr>
          <w:rFonts w:ascii="Gill Sans MT" w:hAnsi="Gill Sans MT"/>
        </w:rPr>
        <w:t>he Regulations and Concessions Unit</w:t>
      </w:r>
      <w:r w:rsidR="00FB7A73">
        <w:rPr>
          <w:rFonts w:ascii="Gill Sans MT" w:hAnsi="Gill Sans MT"/>
        </w:rPr>
        <w:t>.</w:t>
      </w:r>
    </w:p>
    <w:p w14:paraId="2C17F877" w14:textId="73C05E83" w:rsidR="00A00FEF" w:rsidRPr="002D494C" w:rsidRDefault="00A00FEF" w:rsidP="00EE4472">
      <w:pPr>
        <w:spacing w:before="200" w:after="120"/>
        <w:rPr>
          <w:rFonts w:ascii="Gill Sans MT" w:eastAsiaTheme="majorEastAsia" w:hAnsi="Gill Sans MT" w:cstheme="majorBidi"/>
          <w:color w:val="2E74B5" w:themeColor="accent1" w:themeShade="BF"/>
          <w:sz w:val="32"/>
          <w:szCs w:val="32"/>
        </w:rPr>
      </w:pPr>
      <w:r>
        <w:rPr>
          <w:rFonts w:ascii="Gill Sans MT" w:eastAsiaTheme="majorEastAsia" w:hAnsi="Gill Sans MT" w:cstheme="majorBidi"/>
          <w:color w:val="2E74B5" w:themeColor="accent1" w:themeShade="BF"/>
          <w:sz w:val="32"/>
          <w:szCs w:val="32"/>
        </w:rPr>
        <w:t xml:space="preserve">Transport Access Scheme (TAS) – Taxi </w:t>
      </w:r>
      <w:r w:rsidR="00297FAE">
        <w:rPr>
          <w:rFonts w:ascii="Gill Sans MT" w:eastAsiaTheme="majorEastAsia" w:hAnsi="Gill Sans MT" w:cstheme="majorBidi"/>
          <w:color w:val="2E74B5" w:themeColor="accent1" w:themeShade="BF"/>
          <w:sz w:val="32"/>
          <w:szCs w:val="32"/>
        </w:rPr>
        <w:t xml:space="preserve">Subsidy Program </w:t>
      </w:r>
      <w:r>
        <w:rPr>
          <w:rFonts w:ascii="Gill Sans MT" w:eastAsiaTheme="majorEastAsia" w:hAnsi="Gill Sans MT" w:cstheme="majorBidi"/>
          <w:color w:val="2E74B5" w:themeColor="accent1" w:themeShade="BF"/>
          <w:sz w:val="32"/>
          <w:szCs w:val="32"/>
        </w:rPr>
        <w:t>fraud</w:t>
      </w:r>
    </w:p>
    <w:p w14:paraId="2EA3A9B3" w14:textId="5E5145E9" w:rsidR="00A00FEF" w:rsidRPr="00CF10C3" w:rsidRDefault="00A00FEF" w:rsidP="00A00FEF">
      <w:pPr>
        <w:rPr>
          <w:rFonts w:ascii="Gill Sans MT" w:hAnsi="Gill Sans MT"/>
        </w:rPr>
      </w:pPr>
      <w:r w:rsidRPr="00CF10C3">
        <w:rPr>
          <w:rFonts w:ascii="Gill Sans MT" w:hAnsi="Gill Sans MT"/>
        </w:rPr>
        <w:t xml:space="preserve">The Taxi Subsidy Program is administered by State Growth and </w:t>
      </w:r>
      <w:r w:rsidR="00FE2A1A">
        <w:rPr>
          <w:rFonts w:ascii="Gill Sans MT" w:hAnsi="Gill Sans MT"/>
        </w:rPr>
        <w:t xml:space="preserve">is </w:t>
      </w:r>
      <w:r w:rsidRPr="00CF10C3">
        <w:rPr>
          <w:rFonts w:ascii="Gill Sans MT" w:hAnsi="Gill Sans MT"/>
        </w:rPr>
        <w:t xml:space="preserve">intended to provide assistance to members of the Tasmanian community who live with a disability that affects their mobility. </w:t>
      </w:r>
    </w:p>
    <w:p w14:paraId="57B201E8" w14:textId="1B508413" w:rsidR="00A00FEF" w:rsidRPr="00CF10C3" w:rsidRDefault="00A00FEF" w:rsidP="00A00FEF">
      <w:pPr>
        <w:rPr>
          <w:rFonts w:ascii="Gill Sans MT" w:hAnsi="Gill Sans MT"/>
        </w:rPr>
      </w:pPr>
      <w:r w:rsidRPr="00CF10C3">
        <w:rPr>
          <w:rFonts w:ascii="Gill Sans MT" w:hAnsi="Gill Sans MT"/>
        </w:rPr>
        <w:t>By most accounts the program works well, in no small part thanks to the drivers and operators who deliver the service</w:t>
      </w:r>
      <w:r w:rsidR="005D00DF">
        <w:rPr>
          <w:rFonts w:ascii="Gill Sans MT" w:hAnsi="Gill Sans MT"/>
        </w:rPr>
        <w:t>.</w:t>
      </w:r>
      <w:r w:rsidRPr="00CF10C3">
        <w:rPr>
          <w:rFonts w:ascii="Gill Sans MT" w:hAnsi="Gill Sans MT"/>
        </w:rPr>
        <w:t xml:space="preserve"> The relationship is mutually beneficial as </w:t>
      </w:r>
      <w:r w:rsidR="00FE2A1A">
        <w:rPr>
          <w:rFonts w:ascii="Gill Sans MT" w:hAnsi="Gill Sans MT"/>
        </w:rPr>
        <w:t>the Department</w:t>
      </w:r>
      <w:r w:rsidRPr="00CF10C3">
        <w:rPr>
          <w:rFonts w:ascii="Gill Sans MT" w:hAnsi="Gill Sans MT"/>
        </w:rPr>
        <w:t xml:space="preserve"> subsidised more than $5.9 million in taxi travel </w:t>
      </w:r>
      <w:r w:rsidR="005D00DF">
        <w:rPr>
          <w:rFonts w:ascii="Gill Sans MT" w:hAnsi="Gill Sans MT"/>
        </w:rPr>
        <w:t>for members</w:t>
      </w:r>
      <w:r w:rsidRPr="00CF10C3">
        <w:rPr>
          <w:rFonts w:ascii="Gill Sans MT" w:hAnsi="Gill Sans MT"/>
        </w:rPr>
        <w:t xml:space="preserve"> last financial year alone. This money goes directly into the industry and promotes taxi travel </w:t>
      </w:r>
      <w:r w:rsidR="00A82734">
        <w:rPr>
          <w:rFonts w:ascii="Gill Sans MT" w:hAnsi="Gill Sans MT"/>
        </w:rPr>
        <w:t>as an option for</w:t>
      </w:r>
      <w:r w:rsidRPr="00CF10C3">
        <w:rPr>
          <w:rFonts w:ascii="Gill Sans MT" w:hAnsi="Gill Sans MT"/>
        </w:rPr>
        <w:t xml:space="preserve"> </w:t>
      </w:r>
      <w:r w:rsidR="005D00DF">
        <w:rPr>
          <w:rFonts w:ascii="Gill Sans MT" w:hAnsi="Gill Sans MT"/>
        </w:rPr>
        <w:t xml:space="preserve">members </w:t>
      </w:r>
      <w:r w:rsidRPr="00CF10C3">
        <w:rPr>
          <w:rFonts w:ascii="Gill Sans MT" w:hAnsi="Gill Sans MT"/>
        </w:rPr>
        <w:t>who might not otherwise be able to afford to use a taxi.</w:t>
      </w:r>
    </w:p>
    <w:p w14:paraId="62FFFEDD" w14:textId="5DCD54C2" w:rsidR="00A00FEF" w:rsidRPr="00CF10C3" w:rsidRDefault="00A00FEF" w:rsidP="00A00FEF">
      <w:pPr>
        <w:rPr>
          <w:rFonts w:ascii="Gill Sans MT" w:hAnsi="Gill Sans MT"/>
        </w:rPr>
      </w:pPr>
      <w:r w:rsidRPr="00CF10C3">
        <w:rPr>
          <w:rFonts w:ascii="Gill Sans MT" w:hAnsi="Gill Sans MT"/>
        </w:rPr>
        <w:t xml:space="preserve">Disappointingly, a small number of drivers have been found to have been defrauding the program. </w:t>
      </w:r>
      <w:r w:rsidR="005E5066">
        <w:rPr>
          <w:rFonts w:ascii="Gill Sans MT" w:hAnsi="Gill Sans MT"/>
        </w:rPr>
        <w:t>Recently</w:t>
      </w:r>
      <w:r w:rsidRPr="00CF10C3">
        <w:rPr>
          <w:rFonts w:ascii="Gill Sans MT" w:hAnsi="Gill Sans MT"/>
        </w:rPr>
        <w:t xml:space="preserve">, a driver in Hobart was </w:t>
      </w:r>
      <w:r w:rsidR="001A2734">
        <w:rPr>
          <w:rFonts w:ascii="Gill Sans MT" w:hAnsi="Gill Sans MT"/>
        </w:rPr>
        <w:t>referred to Tasmania Police</w:t>
      </w:r>
      <w:r w:rsidRPr="00CF10C3">
        <w:rPr>
          <w:rFonts w:ascii="Gill Sans MT" w:hAnsi="Gill Sans MT"/>
        </w:rPr>
        <w:t>.</w:t>
      </w:r>
    </w:p>
    <w:p w14:paraId="11E15F78" w14:textId="6EF3DA5A" w:rsidR="00A00FEF" w:rsidRPr="00A82734" w:rsidRDefault="00A00FEF" w:rsidP="00A00FEF">
      <w:pPr>
        <w:rPr>
          <w:rFonts w:ascii="Gill Sans MT" w:hAnsi="Gill Sans MT"/>
        </w:rPr>
      </w:pPr>
      <w:r w:rsidRPr="00A82734">
        <w:rPr>
          <w:rFonts w:ascii="Gill Sans MT" w:hAnsi="Gill Sans MT"/>
        </w:rPr>
        <w:t xml:space="preserve">State Growth is committed to investigating fraudulent claiming against the Taxi Subsidy Program. Every subsidy claim results in a record which is held by the Department, and these records are routinely audited by compliance officers for fraud detection. Where an internal investigation determines that evidence of fraudulent claiming exists, the matter is referred to Tasmania Police. </w:t>
      </w:r>
    </w:p>
    <w:p w14:paraId="0E1849C0" w14:textId="35C897B0" w:rsidR="00A00FEF" w:rsidRPr="00A82734" w:rsidRDefault="00A00FEF" w:rsidP="00A00FEF">
      <w:pPr>
        <w:rPr>
          <w:rFonts w:ascii="Gill Sans MT" w:hAnsi="Gill Sans MT"/>
        </w:rPr>
      </w:pPr>
      <w:r w:rsidRPr="00A82734">
        <w:rPr>
          <w:rFonts w:ascii="Gill Sans MT" w:hAnsi="Gill Sans MT"/>
        </w:rPr>
        <w:t>Fraudulent claiming is detrimental to the Taxi Subsidy Program, and also hurts the taxi industry by keeping dishonest dr</w:t>
      </w:r>
      <w:r w:rsidR="002C2021">
        <w:rPr>
          <w:rFonts w:ascii="Gill Sans MT" w:hAnsi="Gill Sans MT"/>
        </w:rPr>
        <w:t>ivers and operators in business and</w:t>
      </w:r>
      <w:r w:rsidRPr="00A82734">
        <w:rPr>
          <w:rFonts w:ascii="Gill Sans MT" w:hAnsi="Gill Sans MT"/>
        </w:rPr>
        <w:t xml:space="preserve"> taking fares away from </w:t>
      </w:r>
      <w:r w:rsidR="002C2021">
        <w:rPr>
          <w:rFonts w:ascii="Gill Sans MT" w:hAnsi="Gill Sans MT"/>
        </w:rPr>
        <w:t>those who support the program</w:t>
      </w:r>
      <w:r w:rsidRPr="00A82734">
        <w:rPr>
          <w:rFonts w:ascii="Gill Sans MT" w:hAnsi="Gill Sans MT"/>
        </w:rPr>
        <w:t xml:space="preserve">. If you become aware of fraudulent claiming within the industry, you can report it </w:t>
      </w:r>
      <w:r w:rsidR="005E5066">
        <w:rPr>
          <w:rFonts w:ascii="Gill Sans MT" w:hAnsi="Gill Sans MT"/>
        </w:rPr>
        <w:t>to</w:t>
      </w:r>
      <w:r w:rsidR="00FF0AA5">
        <w:rPr>
          <w:rFonts w:ascii="Gill Sans MT" w:hAnsi="Gill Sans MT"/>
        </w:rPr>
        <w:t xml:space="preserve"> the Department on (03) </w:t>
      </w:r>
      <w:r w:rsidRPr="00A82734">
        <w:rPr>
          <w:rFonts w:ascii="Gill Sans MT" w:hAnsi="Gill Sans MT"/>
        </w:rPr>
        <w:t>6166 3338 or emailing</w:t>
      </w:r>
      <w:r>
        <w:t xml:space="preserve"> </w:t>
      </w:r>
      <w:hyperlink r:id="rId12" w:history="1">
        <w:r w:rsidRPr="00A82734">
          <w:rPr>
            <w:rStyle w:val="Hyperlink"/>
            <w:rFonts w:ascii="Gill Sans MT" w:hAnsi="Gill Sans MT"/>
          </w:rPr>
          <w:t>ptsbs@stategrowth.tas.gov.au</w:t>
        </w:r>
      </w:hyperlink>
      <w:r w:rsidR="009B6216">
        <w:rPr>
          <w:rStyle w:val="Hyperlink"/>
          <w:rFonts w:ascii="Gill Sans MT" w:hAnsi="Gill Sans MT"/>
        </w:rPr>
        <w:t>.</w:t>
      </w:r>
    </w:p>
    <w:p w14:paraId="1373E52E" w14:textId="77777777" w:rsidR="002D494C" w:rsidRDefault="002D494C" w:rsidP="00D533ED">
      <w:pPr>
        <w:spacing w:before="200" w:after="120"/>
        <w:rPr>
          <w:rFonts w:ascii="Gill Sans MT" w:eastAsiaTheme="majorEastAsia" w:hAnsi="Gill Sans MT" w:cstheme="majorBidi"/>
          <w:color w:val="2E74B5" w:themeColor="accent1" w:themeShade="BF"/>
          <w:sz w:val="32"/>
          <w:szCs w:val="32"/>
        </w:rPr>
      </w:pPr>
      <w:r>
        <w:rPr>
          <w:rFonts w:ascii="Gill Sans MT" w:eastAsiaTheme="majorEastAsia" w:hAnsi="Gill Sans MT" w:cstheme="majorBidi"/>
          <w:color w:val="2E74B5" w:themeColor="accent1" w:themeShade="BF"/>
          <w:sz w:val="32"/>
          <w:szCs w:val="32"/>
        </w:rPr>
        <w:t>Requirement to hold, own or lease a licence</w:t>
      </w:r>
    </w:p>
    <w:p w14:paraId="21F748EF" w14:textId="26B5C973" w:rsidR="005E5066" w:rsidRDefault="00C15D3A" w:rsidP="005E5066">
      <w:pPr>
        <w:rPr>
          <w:rFonts w:ascii="Gill Sans MT" w:hAnsi="Gill Sans MT"/>
        </w:rPr>
      </w:pPr>
      <w:r>
        <w:rPr>
          <w:rFonts w:ascii="Gill Sans MT" w:hAnsi="Gill Sans MT"/>
        </w:rPr>
        <w:t>You cannot</w:t>
      </w:r>
      <w:r w:rsidR="002D494C">
        <w:rPr>
          <w:rFonts w:ascii="Gill Sans MT" w:hAnsi="Gill Sans MT"/>
        </w:rPr>
        <w:t xml:space="preserve"> operate a taxi service unless you hold, own or lease a taxi licence.  </w:t>
      </w:r>
    </w:p>
    <w:p w14:paraId="0098866C" w14:textId="77777777" w:rsidR="00DB6764" w:rsidRDefault="00DB6764" w:rsidP="00DB6764">
      <w:pPr>
        <w:pStyle w:val="ListParagraph"/>
        <w:numPr>
          <w:ilvl w:val="0"/>
          <w:numId w:val="34"/>
        </w:numPr>
        <w:rPr>
          <w:rFonts w:ascii="Gill Sans MT" w:hAnsi="Gill Sans MT"/>
        </w:rPr>
      </w:pPr>
      <w:r w:rsidRPr="00DB6764">
        <w:rPr>
          <w:rFonts w:ascii="Gill Sans MT" w:hAnsi="Gill Sans MT"/>
        </w:rPr>
        <w:t>A</w:t>
      </w:r>
      <w:r w:rsidR="002D494C" w:rsidRPr="00DB6764">
        <w:rPr>
          <w:rFonts w:ascii="Gill Sans MT" w:hAnsi="Gill Sans MT"/>
        </w:rPr>
        <w:t xml:space="preserve"> perpetual taxi licence (PTL)</w:t>
      </w:r>
      <w:r w:rsidRPr="00DB6764">
        <w:rPr>
          <w:rFonts w:ascii="Gill Sans MT" w:hAnsi="Gill Sans MT"/>
        </w:rPr>
        <w:t xml:space="preserve"> may be leased</w:t>
      </w:r>
      <w:r w:rsidR="002D494C" w:rsidRPr="00DB6764">
        <w:rPr>
          <w:rFonts w:ascii="Gill Sans MT" w:hAnsi="Gill Sans MT"/>
        </w:rPr>
        <w:t xml:space="preserve">.  </w:t>
      </w:r>
    </w:p>
    <w:p w14:paraId="48B3C0E1" w14:textId="6B700D6E" w:rsidR="00DB6764" w:rsidRDefault="002D494C" w:rsidP="00DB6764">
      <w:pPr>
        <w:pStyle w:val="ListParagraph"/>
        <w:numPr>
          <w:ilvl w:val="0"/>
          <w:numId w:val="34"/>
        </w:numPr>
        <w:rPr>
          <w:rFonts w:ascii="Gill Sans MT" w:hAnsi="Gill Sans MT"/>
        </w:rPr>
      </w:pPr>
      <w:r w:rsidRPr="00DB6764">
        <w:rPr>
          <w:rFonts w:ascii="Gill Sans MT" w:hAnsi="Gill Sans MT"/>
        </w:rPr>
        <w:t>Owner-operator</w:t>
      </w:r>
      <w:r w:rsidR="009B6216">
        <w:rPr>
          <w:rFonts w:ascii="Gill Sans MT" w:hAnsi="Gill Sans MT"/>
        </w:rPr>
        <w:t xml:space="preserve"> taxi licence</w:t>
      </w:r>
      <w:r w:rsidRPr="00DB6764">
        <w:rPr>
          <w:rFonts w:ascii="Gill Sans MT" w:hAnsi="Gill Sans MT"/>
        </w:rPr>
        <w:t xml:space="preserve"> (OOTL) and wheelchair-accessible taxi (WAT) licences can</w:t>
      </w:r>
      <w:r w:rsidR="00DB6764" w:rsidRPr="00DB6764">
        <w:rPr>
          <w:rFonts w:ascii="Gill Sans MT" w:hAnsi="Gill Sans MT"/>
        </w:rPr>
        <w:t>not</w:t>
      </w:r>
      <w:r w:rsidRPr="00DB6764">
        <w:rPr>
          <w:rFonts w:ascii="Gill Sans MT" w:hAnsi="Gill Sans MT"/>
        </w:rPr>
        <w:t xml:space="preserve"> be leased and it is illegal to enter into any agreement purporting to lease an OOTL or WAT licence.  </w:t>
      </w:r>
    </w:p>
    <w:p w14:paraId="149B6B25" w14:textId="77777777" w:rsidR="002D494C" w:rsidRDefault="002D494C" w:rsidP="00967969">
      <w:pPr>
        <w:rPr>
          <w:rFonts w:ascii="Gill Sans MT" w:hAnsi="Gill Sans MT"/>
        </w:rPr>
      </w:pPr>
      <w:r>
        <w:rPr>
          <w:rFonts w:ascii="Gill Sans MT" w:hAnsi="Gill Sans MT"/>
        </w:rPr>
        <w:t>If you own or lease a PTL then you need to know your responsibilities to notify the Commission about a lease in accordance with the Regulations:</w:t>
      </w:r>
    </w:p>
    <w:p w14:paraId="296A23B0" w14:textId="558F27C3" w:rsidR="002D494C" w:rsidRDefault="005E5066" w:rsidP="002D494C">
      <w:pPr>
        <w:pStyle w:val="ListParagraph"/>
        <w:numPr>
          <w:ilvl w:val="0"/>
          <w:numId w:val="29"/>
        </w:numPr>
        <w:spacing w:after="0"/>
        <w:rPr>
          <w:rFonts w:ascii="Gill Sans MT" w:hAnsi="Gill Sans MT"/>
        </w:rPr>
      </w:pPr>
      <w:r>
        <w:rPr>
          <w:rFonts w:ascii="Gill Sans MT" w:hAnsi="Gill Sans MT"/>
        </w:rPr>
        <w:t>The</w:t>
      </w:r>
      <w:r w:rsidR="002D494C">
        <w:rPr>
          <w:rFonts w:ascii="Gill Sans MT" w:hAnsi="Gill Sans MT"/>
        </w:rPr>
        <w:t xml:space="preserve"> o</w:t>
      </w:r>
      <w:r w:rsidR="002D494C" w:rsidRPr="00EF0346">
        <w:rPr>
          <w:rFonts w:ascii="Gill Sans MT" w:hAnsi="Gill Sans MT"/>
        </w:rPr>
        <w:t>wner</w:t>
      </w:r>
      <w:r w:rsidR="002D494C">
        <w:rPr>
          <w:rFonts w:ascii="Gill Sans MT" w:hAnsi="Gill Sans MT"/>
        </w:rPr>
        <w:t xml:space="preserve"> of a PT</w:t>
      </w:r>
      <w:bookmarkStart w:id="0" w:name="_GoBack"/>
      <w:bookmarkEnd w:id="0"/>
      <w:r w:rsidR="002D494C">
        <w:rPr>
          <w:rFonts w:ascii="Gill Sans MT" w:hAnsi="Gill Sans MT"/>
        </w:rPr>
        <w:t>L</w:t>
      </w:r>
      <w:r w:rsidR="002D494C" w:rsidRPr="00EF0346">
        <w:rPr>
          <w:rFonts w:ascii="Gill Sans MT" w:hAnsi="Gill Sans MT"/>
        </w:rPr>
        <w:t xml:space="preserve"> must notify the Commission within 14 days that a lease has commenced</w:t>
      </w:r>
      <w:r>
        <w:rPr>
          <w:rFonts w:ascii="Gill Sans MT" w:hAnsi="Gill Sans MT"/>
        </w:rPr>
        <w:t>.</w:t>
      </w:r>
    </w:p>
    <w:p w14:paraId="67E7E815" w14:textId="31A4A758" w:rsidR="002D494C" w:rsidRDefault="005E5066" w:rsidP="00A00FEF">
      <w:pPr>
        <w:pStyle w:val="ListParagraph"/>
        <w:numPr>
          <w:ilvl w:val="0"/>
          <w:numId w:val="29"/>
        </w:numPr>
        <w:rPr>
          <w:rFonts w:ascii="Gill Sans MT" w:hAnsi="Gill Sans MT"/>
        </w:rPr>
      </w:pPr>
      <w:r>
        <w:rPr>
          <w:rFonts w:ascii="Gill Sans MT" w:hAnsi="Gill Sans MT"/>
        </w:rPr>
        <w:t>T</w:t>
      </w:r>
      <w:r w:rsidR="00DB6764">
        <w:rPr>
          <w:rFonts w:ascii="Gill Sans MT" w:hAnsi="Gill Sans MT"/>
        </w:rPr>
        <w:t>he o</w:t>
      </w:r>
      <w:r w:rsidR="002D494C">
        <w:rPr>
          <w:rFonts w:ascii="Gill Sans MT" w:hAnsi="Gill Sans MT"/>
        </w:rPr>
        <w:t xml:space="preserve">wner </w:t>
      </w:r>
      <w:r w:rsidR="002D494C" w:rsidRPr="002D494C">
        <w:rPr>
          <w:rFonts w:ascii="Gill Sans MT" w:hAnsi="Gill Sans MT"/>
          <w:b/>
        </w:rPr>
        <w:t>and</w:t>
      </w:r>
      <w:r w:rsidR="002D494C">
        <w:rPr>
          <w:rFonts w:ascii="Gill Sans MT" w:hAnsi="Gill Sans MT"/>
        </w:rPr>
        <w:t xml:space="preserve"> the lessee of a PTL must notify the Commission within 7 days that a lease has terminated.</w:t>
      </w:r>
    </w:p>
    <w:p w14:paraId="46BF62F7" w14:textId="1CB03ED6" w:rsidR="002D494C" w:rsidRDefault="002D494C" w:rsidP="00967969">
      <w:pPr>
        <w:rPr>
          <w:rFonts w:ascii="Gill Sans MT" w:hAnsi="Gill Sans MT"/>
        </w:rPr>
      </w:pPr>
      <w:r>
        <w:rPr>
          <w:rFonts w:ascii="Gill Sans MT" w:hAnsi="Gill Sans MT"/>
        </w:rPr>
        <w:t xml:space="preserve">A </w:t>
      </w:r>
      <w:r w:rsidR="005E5066">
        <w:rPr>
          <w:rFonts w:ascii="Gill Sans MT" w:hAnsi="Gill Sans MT"/>
        </w:rPr>
        <w:t>form for notifying the</w:t>
      </w:r>
      <w:r>
        <w:rPr>
          <w:rFonts w:ascii="Gill Sans MT" w:hAnsi="Gill Sans MT"/>
        </w:rPr>
        <w:t xml:space="preserve"> commencement or termination of lease is available on State Growth’s website at: </w:t>
      </w:r>
      <w:hyperlink r:id="rId13" w:history="1">
        <w:r w:rsidRPr="00CE085A">
          <w:rPr>
            <w:rStyle w:val="Hyperlink"/>
            <w:rFonts w:ascii="Gill Sans MT" w:hAnsi="Gill Sans MT"/>
          </w:rPr>
          <w:t>https://www.transport.tas.gov.au/fees_forms/operator_forms</w:t>
        </w:r>
      </w:hyperlink>
      <w:r w:rsidR="009B6216">
        <w:rPr>
          <w:rStyle w:val="Hyperlink"/>
          <w:rFonts w:ascii="Gill Sans MT" w:hAnsi="Gill Sans MT"/>
        </w:rPr>
        <w:t>.</w:t>
      </w:r>
    </w:p>
    <w:p w14:paraId="7917F28B" w14:textId="1C4178DC" w:rsidR="00EF0346" w:rsidRPr="00EF0346" w:rsidRDefault="00EF0346" w:rsidP="00967969">
      <w:pPr>
        <w:rPr>
          <w:rFonts w:ascii="Gill Sans MT" w:hAnsi="Gill Sans MT"/>
        </w:rPr>
      </w:pPr>
      <w:r w:rsidRPr="00EF0346">
        <w:rPr>
          <w:rFonts w:ascii="Gill Sans MT" w:hAnsi="Gill Sans MT"/>
        </w:rPr>
        <w:t xml:space="preserve">There is a $15.80 fee to notify the commencement of a lease.  </w:t>
      </w:r>
      <w:r>
        <w:rPr>
          <w:rFonts w:ascii="Gill Sans MT" w:hAnsi="Gill Sans MT"/>
        </w:rPr>
        <w:t>The fee can be paid at any Service Tasmania shop.  When the fee is paid, t</w:t>
      </w:r>
      <w:r w:rsidRPr="00EF0346">
        <w:rPr>
          <w:rFonts w:ascii="Gill Sans MT" w:hAnsi="Gill Sans MT"/>
        </w:rPr>
        <w:t>he Commission will send the owner of the PTL a new licence</w:t>
      </w:r>
      <w:r w:rsidR="00382E1A">
        <w:rPr>
          <w:rFonts w:ascii="Gill Sans MT" w:hAnsi="Gill Sans MT"/>
        </w:rPr>
        <w:t xml:space="preserve"> document</w:t>
      </w:r>
      <w:r w:rsidRPr="00EF0346">
        <w:rPr>
          <w:rFonts w:ascii="Gill Sans MT" w:hAnsi="Gill Sans MT"/>
        </w:rPr>
        <w:t>.  There is no fee to notify the termination of a lease.</w:t>
      </w:r>
    </w:p>
    <w:p w14:paraId="08946700" w14:textId="00DB4ED8" w:rsidR="00DB6764" w:rsidRPr="00DB6764" w:rsidRDefault="00DB6764" w:rsidP="00DB6764">
      <w:pPr>
        <w:rPr>
          <w:rFonts w:ascii="Gill Sans MT" w:hAnsi="Gill Sans MT"/>
        </w:rPr>
      </w:pPr>
      <w:r>
        <w:rPr>
          <w:rFonts w:ascii="Gill Sans MT" w:hAnsi="Gill Sans MT"/>
        </w:rPr>
        <w:lastRenderedPageBreak/>
        <w:t xml:space="preserve">An operator can only use an OOTL or WAT licence if they own it.  </w:t>
      </w:r>
      <w:r w:rsidRPr="00EF0346">
        <w:rPr>
          <w:rFonts w:ascii="Gill Sans MT" w:hAnsi="Gill Sans MT"/>
        </w:rPr>
        <w:t>OOTLs</w:t>
      </w:r>
      <w:r w:rsidRPr="00DB6764">
        <w:rPr>
          <w:rFonts w:ascii="Gill Sans MT" w:hAnsi="Gill Sans MT"/>
        </w:rPr>
        <w:t xml:space="preserve"> and WATs may be transferred to a new holder on the approval of the Commission.  Application forms are available on State Growth’s website.</w:t>
      </w:r>
    </w:p>
    <w:p w14:paraId="59A1B033" w14:textId="470B1844" w:rsidR="005E5066" w:rsidRPr="009B6216" w:rsidRDefault="00DB6764" w:rsidP="009B6216">
      <w:pPr>
        <w:rPr>
          <w:rFonts w:ascii="Gill Sans MT" w:hAnsi="Gill Sans MT"/>
        </w:rPr>
      </w:pPr>
      <w:r w:rsidRPr="00DB6764">
        <w:rPr>
          <w:rFonts w:ascii="Gill Sans MT" w:hAnsi="Gill Sans MT"/>
        </w:rPr>
        <w:t>The Transport Commission may cancel an OOTL or WAT licence if it is satisfied that the holder has entered into an agreement to lease the licence.</w:t>
      </w:r>
      <w:r>
        <w:rPr>
          <w:rFonts w:ascii="Gill Sans MT" w:hAnsi="Gill Sans MT"/>
        </w:rPr>
        <w:t xml:space="preserve"> </w:t>
      </w:r>
    </w:p>
    <w:p w14:paraId="74C03F38" w14:textId="62E74DBE" w:rsidR="007E6792" w:rsidRPr="00FF0AA5" w:rsidRDefault="00012C0A" w:rsidP="00D533ED">
      <w:pPr>
        <w:spacing w:before="200" w:after="120"/>
        <w:rPr>
          <w:rFonts w:ascii="Gill Sans MT" w:eastAsiaTheme="majorEastAsia" w:hAnsi="Gill Sans MT" w:cstheme="majorBidi"/>
          <w:color w:val="2E74B5" w:themeColor="accent1" w:themeShade="BF"/>
          <w:sz w:val="32"/>
          <w:szCs w:val="32"/>
        </w:rPr>
      </w:pPr>
      <w:r w:rsidRPr="00FF0AA5">
        <w:rPr>
          <w:rFonts w:ascii="Gill Sans MT" w:eastAsiaTheme="majorEastAsia" w:hAnsi="Gill Sans MT" w:cstheme="majorBidi"/>
          <w:color w:val="2E74B5" w:themeColor="accent1" w:themeShade="BF"/>
          <w:sz w:val="32"/>
          <w:szCs w:val="32"/>
        </w:rPr>
        <w:t>State Growth’s Transport Safety and Investigation Unit</w:t>
      </w:r>
    </w:p>
    <w:p w14:paraId="372E2EE3" w14:textId="263F2ED0" w:rsidR="007E6792" w:rsidRPr="00D533ED" w:rsidRDefault="00C71515" w:rsidP="00D533ED">
      <w:pPr>
        <w:rPr>
          <w:rFonts w:ascii="Gill Sans MT" w:hAnsi="Gill Sans MT"/>
        </w:rPr>
      </w:pPr>
      <w:r w:rsidRPr="00D533ED">
        <w:rPr>
          <w:rFonts w:ascii="Gill Sans MT" w:hAnsi="Gill Sans MT"/>
        </w:rPr>
        <w:t xml:space="preserve">State Growth transferred responsibility for heavy vehicle compliance and enforcement to the </w:t>
      </w:r>
      <w:r w:rsidR="005E5066">
        <w:rPr>
          <w:rFonts w:ascii="Gill Sans MT" w:hAnsi="Gill Sans MT"/>
        </w:rPr>
        <w:t>N</w:t>
      </w:r>
      <w:r w:rsidRPr="00D533ED">
        <w:rPr>
          <w:rFonts w:ascii="Gill Sans MT" w:hAnsi="Gill Sans MT"/>
        </w:rPr>
        <w:t>ational Heavy Vehicle Regulator (NHVR)</w:t>
      </w:r>
      <w:r w:rsidR="00DB6764" w:rsidRPr="00D533ED">
        <w:rPr>
          <w:rFonts w:ascii="Gill Sans MT" w:hAnsi="Gill Sans MT"/>
        </w:rPr>
        <w:t xml:space="preserve"> on 2 July 2018</w:t>
      </w:r>
      <w:r w:rsidRPr="00D533ED">
        <w:rPr>
          <w:rFonts w:ascii="Gill Sans MT" w:hAnsi="Gill Sans MT"/>
        </w:rPr>
        <w:t>.  This has had</w:t>
      </w:r>
      <w:r w:rsidR="007E6792" w:rsidRPr="00D533ED">
        <w:rPr>
          <w:rFonts w:ascii="Gill Sans MT" w:hAnsi="Gill Sans MT"/>
        </w:rPr>
        <w:t xml:space="preserve"> very little impact for the taxi industry. </w:t>
      </w:r>
      <w:r w:rsidR="00012C0A" w:rsidRPr="00D533ED">
        <w:rPr>
          <w:rFonts w:ascii="Gill Sans MT" w:hAnsi="Gill Sans MT"/>
        </w:rPr>
        <w:t xml:space="preserve">The compliance and enforcement services that remain with State Growth continue to be delivered regionally with </w:t>
      </w:r>
      <w:r w:rsidR="00DB6764" w:rsidRPr="00D533ED">
        <w:rPr>
          <w:rFonts w:ascii="Gill Sans MT" w:hAnsi="Gill Sans MT"/>
        </w:rPr>
        <w:t>the team</w:t>
      </w:r>
      <w:r w:rsidR="00012C0A" w:rsidRPr="00D533ED">
        <w:rPr>
          <w:rFonts w:ascii="Gill Sans MT" w:hAnsi="Gill Sans MT"/>
        </w:rPr>
        <w:t xml:space="preserve"> based in Launceston, Burnie and Hobart.  The team is now known as the Transport Safety and Investigation Unit</w:t>
      </w:r>
      <w:r w:rsidR="00804C35" w:rsidRPr="00D533ED">
        <w:rPr>
          <w:rFonts w:ascii="Gill Sans MT" w:hAnsi="Gill Sans MT"/>
        </w:rPr>
        <w:t xml:space="preserve"> (the Unit)</w:t>
      </w:r>
      <w:r w:rsidR="00012C0A" w:rsidRPr="00D533ED">
        <w:rPr>
          <w:rFonts w:ascii="Gill Sans MT" w:hAnsi="Gill Sans MT"/>
        </w:rPr>
        <w:t xml:space="preserve">. </w:t>
      </w:r>
    </w:p>
    <w:p w14:paraId="59B41EB2" w14:textId="1638375A" w:rsidR="00012C0A" w:rsidRPr="00D533ED" w:rsidRDefault="00804C35" w:rsidP="00D533ED">
      <w:pPr>
        <w:rPr>
          <w:rFonts w:ascii="Gill Sans MT" w:hAnsi="Gill Sans MT"/>
        </w:rPr>
      </w:pPr>
      <w:r w:rsidRPr="00D533ED">
        <w:rPr>
          <w:rFonts w:ascii="Gill Sans MT" w:hAnsi="Gill Sans MT"/>
        </w:rPr>
        <w:t>Transport Safety and Investigation Officers</w:t>
      </w:r>
      <w:r w:rsidR="00012C0A" w:rsidRPr="00D533ED">
        <w:rPr>
          <w:rFonts w:ascii="Gill Sans MT" w:hAnsi="Gill Sans MT"/>
        </w:rPr>
        <w:t xml:space="preserve"> have the same uniform</w:t>
      </w:r>
      <w:r w:rsidRPr="00D533ED">
        <w:rPr>
          <w:rFonts w:ascii="Gill Sans MT" w:hAnsi="Gill Sans MT"/>
        </w:rPr>
        <w:t xml:space="preserve"> but y</w:t>
      </w:r>
      <w:r w:rsidR="00012C0A" w:rsidRPr="00D533ED">
        <w:rPr>
          <w:rFonts w:ascii="Gill Sans MT" w:hAnsi="Gill Sans MT"/>
        </w:rPr>
        <w:t>ou will soon see some significant changes in the</w:t>
      </w:r>
      <w:r w:rsidRPr="00D533ED">
        <w:rPr>
          <w:rFonts w:ascii="Gill Sans MT" w:hAnsi="Gill Sans MT"/>
        </w:rPr>
        <w:t>ir</w:t>
      </w:r>
      <w:r w:rsidR="00012C0A" w:rsidRPr="00D533ED">
        <w:rPr>
          <w:rFonts w:ascii="Gill Sans MT" w:hAnsi="Gill Sans MT"/>
        </w:rPr>
        <w:t xml:space="preserve"> vehicles’ appearance to make them more visible on the road.</w:t>
      </w:r>
    </w:p>
    <w:p w14:paraId="2B358E3B" w14:textId="53BC56A1" w:rsidR="007E6792" w:rsidRPr="005D00DF" w:rsidRDefault="00012C0A" w:rsidP="00D533ED">
      <w:pPr>
        <w:pStyle w:val="Default"/>
        <w:spacing w:after="160" w:line="259" w:lineRule="auto"/>
        <w:rPr>
          <w:b/>
          <w:color w:val="auto"/>
          <w:sz w:val="22"/>
          <w:szCs w:val="22"/>
        </w:rPr>
      </w:pPr>
      <w:r w:rsidRPr="005D00DF">
        <w:rPr>
          <w:b/>
          <w:color w:val="auto"/>
          <w:sz w:val="22"/>
          <w:szCs w:val="22"/>
        </w:rPr>
        <w:t xml:space="preserve">Public Passenger Vehicle </w:t>
      </w:r>
      <w:r w:rsidR="001A2734">
        <w:rPr>
          <w:b/>
          <w:color w:val="auto"/>
          <w:sz w:val="22"/>
          <w:szCs w:val="22"/>
        </w:rPr>
        <w:t xml:space="preserve">on-road </w:t>
      </w:r>
      <w:r w:rsidRPr="005D00DF">
        <w:rPr>
          <w:b/>
          <w:color w:val="auto"/>
          <w:sz w:val="22"/>
          <w:szCs w:val="22"/>
        </w:rPr>
        <w:t>compliance and enforcement</w:t>
      </w:r>
    </w:p>
    <w:p w14:paraId="656F4C8A" w14:textId="2AF171AA" w:rsidR="00012C0A" w:rsidRDefault="00012C0A" w:rsidP="00D533ED">
      <w:pPr>
        <w:pStyle w:val="Default"/>
        <w:spacing w:after="160" w:line="259" w:lineRule="auto"/>
        <w:rPr>
          <w:rFonts w:cs="Arial"/>
          <w:color w:val="auto"/>
          <w:sz w:val="22"/>
          <w:szCs w:val="22"/>
        </w:rPr>
      </w:pPr>
      <w:r>
        <w:rPr>
          <w:rFonts w:cs="Arial"/>
          <w:color w:val="auto"/>
          <w:sz w:val="22"/>
          <w:szCs w:val="22"/>
        </w:rPr>
        <w:t>The Unit provide</w:t>
      </w:r>
      <w:r w:rsidR="00DB6764">
        <w:rPr>
          <w:rFonts w:cs="Arial"/>
          <w:color w:val="auto"/>
          <w:sz w:val="22"/>
          <w:szCs w:val="22"/>
        </w:rPr>
        <w:t>s on-road</w:t>
      </w:r>
      <w:r>
        <w:rPr>
          <w:rFonts w:cs="Arial"/>
          <w:color w:val="auto"/>
          <w:sz w:val="22"/>
          <w:szCs w:val="22"/>
        </w:rPr>
        <w:t xml:space="preserve"> compliance and enforcement </w:t>
      </w:r>
      <w:r w:rsidR="00DB6764">
        <w:rPr>
          <w:rFonts w:cs="Arial"/>
          <w:color w:val="auto"/>
          <w:sz w:val="22"/>
          <w:szCs w:val="22"/>
        </w:rPr>
        <w:t xml:space="preserve">activities </w:t>
      </w:r>
      <w:r>
        <w:rPr>
          <w:rFonts w:cs="Arial"/>
          <w:color w:val="auto"/>
          <w:sz w:val="22"/>
          <w:szCs w:val="22"/>
        </w:rPr>
        <w:t>for the Public Passenger Vehicle</w:t>
      </w:r>
      <w:r w:rsidR="00E50E87">
        <w:rPr>
          <w:rFonts w:cs="Arial"/>
          <w:color w:val="auto"/>
          <w:sz w:val="22"/>
          <w:szCs w:val="22"/>
        </w:rPr>
        <w:t xml:space="preserve"> (PPV)</w:t>
      </w:r>
      <w:r>
        <w:rPr>
          <w:rFonts w:cs="Arial"/>
          <w:color w:val="auto"/>
          <w:sz w:val="22"/>
          <w:szCs w:val="22"/>
        </w:rPr>
        <w:t xml:space="preserve"> sector.  This includes:</w:t>
      </w:r>
    </w:p>
    <w:p w14:paraId="1FB14332" w14:textId="0BA25822" w:rsidR="00012C0A" w:rsidRDefault="00012C0A" w:rsidP="00012C0A">
      <w:pPr>
        <w:pStyle w:val="Default"/>
        <w:numPr>
          <w:ilvl w:val="0"/>
          <w:numId w:val="31"/>
        </w:numPr>
        <w:rPr>
          <w:rFonts w:cs="Arial"/>
          <w:color w:val="auto"/>
          <w:sz w:val="22"/>
          <w:szCs w:val="22"/>
        </w:rPr>
      </w:pPr>
      <w:r>
        <w:rPr>
          <w:rFonts w:cs="Arial"/>
          <w:color w:val="auto"/>
          <w:sz w:val="22"/>
          <w:szCs w:val="22"/>
        </w:rPr>
        <w:t xml:space="preserve">buses </w:t>
      </w:r>
      <w:r w:rsidR="00E50E87">
        <w:rPr>
          <w:rFonts w:cs="Arial"/>
          <w:color w:val="auto"/>
          <w:sz w:val="22"/>
          <w:szCs w:val="22"/>
        </w:rPr>
        <w:t>(heavy and light)</w:t>
      </w:r>
      <w:r w:rsidR="005E5066">
        <w:rPr>
          <w:rFonts w:cs="Arial"/>
          <w:color w:val="auto"/>
          <w:sz w:val="22"/>
          <w:szCs w:val="22"/>
        </w:rPr>
        <w:t>;</w:t>
      </w:r>
    </w:p>
    <w:p w14:paraId="329E9CA0" w14:textId="6E1BCDDD" w:rsidR="00012C0A" w:rsidRDefault="00012C0A" w:rsidP="00012C0A">
      <w:pPr>
        <w:pStyle w:val="Default"/>
        <w:numPr>
          <w:ilvl w:val="0"/>
          <w:numId w:val="31"/>
        </w:numPr>
        <w:rPr>
          <w:rFonts w:cs="Arial"/>
          <w:color w:val="auto"/>
          <w:sz w:val="22"/>
          <w:szCs w:val="22"/>
        </w:rPr>
      </w:pPr>
      <w:r>
        <w:rPr>
          <w:rFonts w:cs="Arial"/>
          <w:color w:val="auto"/>
          <w:sz w:val="22"/>
          <w:szCs w:val="22"/>
        </w:rPr>
        <w:t>taxis</w:t>
      </w:r>
      <w:r w:rsidR="005E5066">
        <w:rPr>
          <w:rFonts w:cs="Arial"/>
          <w:color w:val="auto"/>
          <w:sz w:val="22"/>
          <w:szCs w:val="22"/>
        </w:rPr>
        <w:t>;</w:t>
      </w:r>
    </w:p>
    <w:p w14:paraId="3697F7BB" w14:textId="3BB59C5C" w:rsidR="00012C0A" w:rsidRDefault="00012C0A" w:rsidP="00012C0A">
      <w:pPr>
        <w:pStyle w:val="Default"/>
        <w:numPr>
          <w:ilvl w:val="0"/>
          <w:numId w:val="31"/>
        </w:numPr>
        <w:rPr>
          <w:rFonts w:cs="Arial"/>
          <w:color w:val="auto"/>
          <w:sz w:val="22"/>
          <w:szCs w:val="22"/>
        </w:rPr>
      </w:pPr>
      <w:r>
        <w:rPr>
          <w:rFonts w:cs="Arial"/>
          <w:color w:val="auto"/>
          <w:sz w:val="22"/>
          <w:szCs w:val="22"/>
        </w:rPr>
        <w:t>restricted hire vehicles</w:t>
      </w:r>
      <w:r w:rsidR="005E5066">
        <w:rPr>
          <w:rFonts w:cs="Arial"/>
          <w:color w:val="auto"/>
          <w:sz w:val="22"/>
          <w:szCs w:val="22"/>
        </w:rPr>
        <w:t>;</w:t>
      </w:r>
    </w:p>
    <w:p w14:paraId="7915ACFF" w14:textId="413C3FAD" w:rsidR="00012C0A" w:rsidRDefault="00012C0A" w:rsidP="00012C0A">
      <w:pPr>
        <w:pStyle w:val="Default"/>
        <w:numPr>
          <w:ilvl w:val="0"/>
          <w:numId w:val="31"/>
        </w:numPr>
        <w:rPr>
          <w:rFonts w:cs="Arial"/>
          <w:color w:val="auto"/>
          <w:sz w:val="22"/>
          <w:szCs w:val="22"/>
        </w:rPr>
      </w:pPr>
      <w:r>
        <w:rPr>
          <w:rFonts w:cs="Arial"/>
          <w:color w:val="auto"/>
          <w:sz w:val="22"/>
          <w:szCs w:val="22"/>
        </w:rPr>
        <w:t>luxury hire vehicles</w:t>
      </w:r>
      <w:r w:rsidR="005E5066">
        <w:rPr>
          <w:rFonts w:cs="Arial"/>
          <w:color w:val="auto"/>
          <w:sz w:val="22"/>
          <w:szCs w:val="22"/>
        </w:rPr>
        <w:t>; and</w:t>
      </w:r>
    </w:p>
    <w:p w14:paraId="6C005C9D" w14:textId="3F63A9E9" w:rsidR="00012C0A" w:rsidRDefault="00012C0A" w:rsidP="00967969">
      <w:pPr>
        <w:pStyle w:val="Default"/>
        <w:numPr>
          <w:ilvl w:val="0"/>
          <w:numId w:val="31"/>
        </w:numPr>
        <w:spacing w:after="240"/>
        <w:rPr>
          <w:rFonts w:cs="Arial"/>
          <w:color w:val="auto"/>
          <w:sz w:val="22"/>
          <w:szCs w:val="22"/>
        </w:rPr>
      </w:pPr>
      <w:r>
        <w:rPr>
          <w:rFonts w:cs="Arial"/>
          <w:color w:val="auto"/>
          <w:sz w:val="22"/>
          <w:szCs w:val="22"/>
        </w:rPr>
        <w:t>ride-sourcing services (such as Uber and Shebah)</w:t>
      </w:r>
      <w:r w:rsidR="005E5066">
        <w:rPr>
          <w:rFonts w:cs="Arial"/>
          <w:color w:val="auto"/>
          <w:sz w:val="22"/>
          <w:szCs w:val="22"/>
        </w:rPr>
        <w:t>.</w:t>
      </w:r>
    </w:p>
    <w:p w14:paraId="526D0C05" w14:textId="63C55D7B" w:rsidR="00804C35" w:rsidRPr="00D533ED" w:rsidRDefault="00E50E87" w:rsidP="00D533ED">
      <w:pPr>
        <w:pStyle w:val="Default"/>
        <w:spacing w:after="160" w:line="259" w:lineRule="auto"/>
        <w:rPr>
          <w:rFonts w:cs="Arial"/>
          <w:color w:val="auto"/>
          <w:sz w:val="22"/>
          <w:szCs w:val="22"/>
        </w:rPr>
      </w:pPr>
      <w:r w:rsidRPr="00804C35">
        <w:rPr>
          <w:rFonts w:cs="Arial"/>
          <w:color w:val="auto"/>
          <w:sz w:val="22"/>
          <w:szCs w:val="22"/>
        </w:rPr>
        <w:t xml:space="preserve">The focus </w:t>
      </w:r>
      <w:r w:rsidRPr="00D533ED">
        <w:rPr>
          <w:rFonts w:cs="Arial"/>
          <w:color w:val="auto"/>
          <w:sz w:val="22"/>
          <w:szCs w:val="22"/>
        </w:rPr>
        <w:t>of the Unit</w:t>
      </w:r>
      <w:r w:rsidR="005E5066">
        <w:rPr>
          <w:rFonts w:cs="Arial"/>
          <w:color w:val="auto"/>
          <w:sz w:val="22"/>
          <w:szCs w:val="22"/>
        </w:rPr>
        <w:t>’s</w:t>
      </w:r>
      <w:r w:rsidRPr="00D533ED">
        <w:rPr>
          <w:rFonts w:cs="Arial"/>
          <w:color w:val="auto"/>
          <w:sz w:val="22"/>
          <w:szCs w:val="22"/>
        </w:rPr>
        <w:t xml:space="preserve"> </w:t>
      </w:r>
      <w:r w:rsidR="00DB6764" w:rsidRPr="00D533ED">
        <w:rPr>
          <w:rFonts w:cs="Arial"/>
          <w:color w:val="auto"/>
          <w:sz w:val="22"/>
          <w:szCs w:val="22"/>
        </w:rPr>
        <w:t>on-road</w:t>
      </w:r>
      <w:r w:rsidR="005E5066">
        <w:rPr>
          <w:rFonts w:cs="Arial"/>
          <w:color w:val="auto"/>
          <w:sz w:val="22"/>
          <w:szCs w:val="22"/>
        </w:rPr>
        <w:t xml:space="preserve"> compliance and</w:t>
      </w:r>
      <w:r w:rsidR="00DB6764" w:rsidRPr="00D533ED">
        <w:rPr>
          <w:rFonts w:cs="Arial"/>
          <w:color w:val="auto"/>
          <w:sz w:val="22"/>
          <w:szCs w:val="22"/>
        </w:rPr>
        <w:t xml:space="preserve"> enforcement</w:t>
      </w:r>
      <w:r w:rsidR="005E5066">
        <w:rPr>
          <w:rFonts w:cs="Arial"/>
          <w:color w:val="auto"/>
          <w:sz w:val="22"/>
          <w:szCs w:val="22"/>
        </w:rPr>
        <w:t xml:space="preserve"> activities include</w:t>
      </w:r>
      <w:r w:rsidRPr="00D533ED">
        <w:rPr>
          <w:rFonts w:cs="Arial"/>
          <w:color w:val="auto"/>
          <w:sz w:val="22"/>
          <w:szCs w:val="22"/>
        </w:rPr>
        <w:t>:</w:t>
      </w:r>
    </w:p>
    <w:p w14:paraId="7A27DB24" w14:textId="25A02348" w:rsidR="00E50E87" w:rsidRPr="00E50E87" w:rsidRDefault="00E50E87" w:rsidP="00804C35">
      <w:pPr>
        <w:pStyle w:val="Default"/>
        <w:numPr>
          <w:ilvl w:val="0"/>
          <w:numId w:val="32"/>
        </w:numPr>
        <w:rPr>
          <w:rFonts w:cs="Arial"/>
          <w:color w:val="auto"/>
          <w:sz w:val="22"/>
          <w:szCs w:val="22"/>
        </w:rPr>
      </w:pPr>
      <w:r>
        <w:rPr>
          <w:rFonts w:cs="Arial"/>
          <w:color w:val="auto"/>
          <w:sz w:val="22"/>
          <w:szCs w:val="22"/>
        </w:rPr>
        <w:t>a</w:t>
      </w:r>
      <w:r w:rsidRPr="00E50E87">
        <w:rPr>
          <w:rFonts w:cs="Arial"/>
          <w:color w:val="auto"/>
          <w:sz w:val="22"/>
          <w:szCs w:val="22"/>
        </w:rPr>
        <w:t>ncillary certificate checks</w:t>
      </w:r>
      <w:r w:rsidR="005E5066">
        <w:rPr>
          <w:rFonts w:cs="Arial"/>
          <w:color w:val="auto"/>
          <w:sz w:val="22"/>
          <w:szCs w:val="22"/>
        </w:rPr>
        <w:t>;</w:t>
      </w:r>
    </w:p>
    <w:p w14:paraId="1560F440" w14:textId="0B7654B4" w:rsidR="00E50E87" w:rsidRPr="00E50E87" w:rsidRDefault="00E50E87" w:rsidP="00804C35">
      <w:pPr>
        <w:pStyle w:val="Default"/>
        <w:numPr>
          <w:ilvl w:val="0"/>
          <w:numId w:val="31"/>
        </w:numPr>
        <w:rPr>
          <w:rFonts w:cs="Arial"/>
          <w:color w:val="auto"/>
          <w:sz w:val="22"/>
          <w:szCs w:val="22"/>
        </w:rPr>
      </w:pPr>
      <w:r>
        <w:rPr>
          <w:rFonts w:cs="Arial"/>
          <w:color w:val="auto"/>
          <w:sz w:val="22"/>
          <w:szCs w:val="22"/>
        </w:rPr>
        <w:t>d</w:t>
      </w:r>
      <w:r w:rsidRPr="00E50E87">
        <w:rPr>
          <w:rFonts w:cs="Arial"/>
          <w:color w:val="auto"/>
          <w:sz w:val="22"/>
          <w:szCs w:val="22"/>
        </w:rPr>
        <w:t>river licence checks</w:t>
      </w:r>
      <w:r w:rsidR="005E5066">
        <w:rPr>
          <w:rFonts w:cs="Arial"/>
          <w:color w:val="auto"/>
          <w:sz w:val="22"/>
          <w:szCs w:val="22"/>
        </w:rPr>
        <w:t>;</w:t>
      </w:r>
    </w:p>
    <w:p w14:paraId="44C6C79B" w14:textId="38061341" w:rsidR="00DB6764" w:rsidRPr="005E5066" w:rsidRDefault="00E50E87" w:rsidP="002A3B85">
      <w:pPr>
        <w:pStyle w:val="Default"/>
        <w:numPr>
          <w:ilvl w:val="0"/>
          <w:numId w:val="31"/>
        </w:numPr>
        <w:rPr>
          <w:rFonts w:cs="Arial"/>
          <w:color w:val="auto"/>
          <w:sz w:val="22"/>
          <w:szCs w:val="22"/>
        </w:rPr>
      </w:pPr>
      <w:r w:rsidRPr="005E5066">
        <w:rPr>
          <w:rFonts w:cs="Arial"/>
          <w:color w:val="auto"/>
          <w:sz w:val="22"/>
          <w:szCs w:val="22"/>
        </w:rPr>
        <w:t>scheduled vehicle compliance inspections</w:t>
      </w:r>
      <w:r w:rsidR="005E5066" w:rsidRPr="005E5066">
        <w:rPr>
          <w:rFonts w:cs="Arial"/>
          <w:color w:val="auto"/>
          <w:sz w:val="22"/>
          <w:szCs w:val="22"/>
        </w:rPr>
        <w:t>;</w:t>
      </w:r>
    </w:p>
    <w:p w14:paraId="6B8D63E3" w14:textId="5C1D75E9" w:rsidR="00804C35" w:rsidRDefault="00DB6764" w:rsidP="00E50E87">
      <w:pPr>
        <w:pStyle w:val="Default"/>
        <w:numPr>
          <w:ilvl w:val="0"/>
          <w:numId w:val="31"/>
        </w:numPr>
        <w:rPr>
          <w:rFonts w:cs="Arial"/>
          <w:color w:val="auto"/>
          <w:sz w:val="22"/>
          <w:szCs w:val="22"/>
        </w:rPr>
      </w:pPr>
      <w:r>
        <w:rPr>
          <w:rFonts w:cs="Arial"/>
          <w:color w:val="auto"/>
          <w:sz w:val="22"/>
          <w:szCs w:val="22"/>
        </w:rPr>
        <w:t>taxi operation checks</w:t>
      </w:r>
      <w:r w:rsidR="00804C35">
        <w:rPr>
          <w:rFonts w:cs="Arial"/>
          <w:color w:val="auto"/>
          <w:sz w:val="22"/>
          <w:szCs w:val="22"/>
        </w:rPr>
        <w:t xml:space="preserve"> (including compliance with areas and fares)</w:t>
      </w:r>
      <w:r w:rsidR="005E5066">
        <w:rPr>
          <w:rFonts w:cs="Arial"/>
          <w:color w:val="auto"/>
          <w:sz w:val="22"/>
          <w:szCs w:val="22"/>
        </w:rPr>
        <w:t>;</w:t>
      </w:r>
    </w:p>
    <w:p w14:paraId="256B7233" w14:textId="7141488E" w:rsidR="00804C35" w:rsidRDefault="00804C35" w:rsidP="00E50E87">
      <w:pPr>
        <w:pStyle w:val="Default"/>
        <w:numPr>
          <w:ilvl w:val="0"/>
          <w:numId w:val="31"/>
        </w:numPr>
        <w:rPr>
          <w:rFonts w:cs="Arial"/>
          <w:color w:val="auto"/>
          <w:sz w:val="22"/>
          <w:szCs w:val="22"/>
        </w:rPr>
      </w:pPr>
      <w:r>
        <w:rPr>
          <w:rFonts w:cs="Arial"/>
          <w:color w:val="auto"/>
          <w:sz w:val="22"/>
          <w:szCs w:val="22"/>
        </w:rPr>
        <w:t xml:space="preserve">taxi vehicles and equipment </w:t>
      </w:r>
      <w:r w:rsidR="00DB6764">
        <w:rPr>
          <w:rFonts w:cs="Arial"/>
          <w:color w:val="auto"/>
          <w:sz w:val="22"/>
          <w:szCs w:val="22"/>
        </w:rPr>
        <w:t xml:space="preserve">checks </w:t>
      </w:r>
      <w:r>
        <w:rPr>
          <w:rFonts w:cs="Arial"/>
          <w:color w:val="auto"/>
          <w:sz w:val="22"/>
          <w:szCs w:val="22"/>
        </w:rPr>
        <w:t>(including tariff lights, camera and meters)</w:t>
      </w:r>
      <w:r w:rsidR="005E5066">
        <w:rPr>
          <w:rFonts w:cs="Arial"/>
          <w:color w:val="auto"/>
          <w:sz w:val="22"/>
          <w:szCs w:val="22"/>
        </w:rPr>
        <w:t>; and</w:t>
      </w:r>
    </w:p>
    <w:p w14:paraId="46EE7F35" w14:textId="7089526A" w:rsidR="00804C35" w:rsidRPr="00DB6764" w:rsidRDefault="00804C35" w:rsidP="0027223A">
      <w:pPr>
        <w:pStyle w:val="Default"/>
        <w:numPr>
          <w:ilvl w:val="0"/>
          <w:numId w:val="31"/>
        </w:numPr>
        <w:rPr>
          <w:rFonts w:cs="Arial"/>
          <w:color w:val="auto"/>
          <w:sz w:val="22"/>
          <w:szCs w:val="22"/>
        </w:rPr>
      </w:pPr>
      <w:r w:rsidRPr="00DB6764">
        <w:rPr>
          <w:rFonts w:cs="Arial"/>
          <w:color w:val="auto"/>
          <w:sz w:val="22"/>
          <w:szCs w:val="22"/>
        </w:rPr>
        <w:t xml:space="preserve">accreditation </w:t>
      </w:r>
      <w:r w:rsidR="00DB6764">
        <w:rPr>
          <w:rFonts w:cs="Arial"/>
          <w:color w:val="auto"/>
          <w:sz w:val="22"/>
          <w:szCs w:val="22"/>
        </w:rPr>
        <w:t>checks</w:t>
      </w:r>
      <w:r w:rsidR="005E5066">
        <w:rPr>
          <w:rFonts w:cs="Arial"/>
          <w:color w:val="auto"/>
          <w:sz w:val="22"/>
          <w:szCs w:val="22"/>
        </w:rPr>
        <w:t>.</w:t>
      </w:r>
    </w:p>
    <w:p w14:paraId="71EDB46B" w14:textId="77777777" w:rsidR="00DB6764" w:rsidRDefault="00DB6764" w:rsidP="007E6792">
      <w:pPr>
        <w:pStyle w:val="Default"/>
        <w:rPr>
          <w:color w:val="2E74B5" w:themeColor="accent1" w:themeShade="BF"/>
          <w:sz w:val="22"/>
          <w:szCs w:val="22"/>
        </w:rPr>
      </w:pPr>
    </w:p>
    <w:p w14:paraId="052772A2" w14:textId="01B68FEE" w:rsidR="007E6792" w:rsidRPr="001A2734" w:rsidRDefault="005E5066" w:rsidP="00D533ED">
      <w:pPr>
        <w:pStyle w:val="Default"/>
        <w:spacing w:after="160"/>
        <w:rPr>
          <w:color w:val="auto"/>
          <w:sz w:val="22"/>
          <w:szCs w:val="22"/>
        </w:rPr>
      </w:pPr>
      <w:r w:rsidRPr="001A2734">
        <w:rPr>
          <w:color w:val="auto"/>
          <w:sz w:val="22"/>
          <w:szCs w:val="22"/>
        </w:rPr>
        <w:t xml:space="preserve">For </w:t>
      </w:r>
      <w:r w:rsidR="001A2734">
        <w:rPr>
          <w:color w:val="auto"/>
          <w:sz w:val="22"/>
          <w:szCs w:val="22"/>
        </w:rPr>
        <w:t xml:space="preserve">more </w:t>
      </w:r>
      <w:r w:rsidRPr="001A2734">
        <w:rPr>
          <w:color w:val="auto"/>
          <w:sz w:val="22"/>
          <w:szCs w:val="22"/>
        </w:rPr>
        <w:t>information, please contact</w:t>
      </w:r>
    </w:p>
    <w:p w14:paraId="2E2E3788" w14:textId="3487B1E6" w:rsidR="007E6792" w:rsidRDefault="002D494C" w:rsidP="00D533ED">
      <w:pPr>
        <w:rPr>
          <w:rFonts w:ascii="Gill Sans MT" w:hAnsi="Gill Sans MT" w:cs="Arial"/>
        </w:rPr>
      </w:pPr>
      <w:r>
        <w:rPr>
          <w:rFonts w:ascii="Gill Sans MT" w:hAnsi="Gill Sans MT" w:cs="Arial"/>
        </w:rPr>
        <w:t>State Growth</w:t>
      </w:r>
      <w:r w:rsidR="005E5066">
        <w:rPr>
          <w:rFonts w:ascii="Gill Sans MT" w:hAnsi="Gill Sans MT" w:cs="Arial"/>
        </w:rPr>
        <w:t>’s</w:t>
      </w:r>
      <w:r>
        <w:rPr>
          <w:rFonts w:ascii="Gill Sans MT" w:hAnsi="Gill Sans MT" w:cs="Arial"/>
        </w:rPr>
        <w:t xml:space="preserve"> Transport Safety and Investigation Unit:</w:t>
      </w:r>
    </w:p>
    <w:p w14:paraId="20E9A244" w14:textId="03AB7588" w:rsidR="002D494C" w:rsidRPr="002D494C" w:rsidRDefault="002D494C" w:rsidP="002D494C">
      <w:pPr>
        <w:pStyle w:val="ListParagraph"/>
        <w:numPr>
          <w:ilvl w:val="0"/>
          <w:numId w:val="33"/>
        </w:numPr>
        <w:spacing w:after="0"/>
        <w:rPr>
          <w:rFonts w:ascii="Gill Sans MT" w:hAnsi="Gill Sans MT" w:cs="Arial"/>
        </w:rPr>
      </w:pPr>
      <w:r w:rsidRPr="002D494C">
        <w:rPr>
          <w:rFonts w:ascii="Gill Sans MT" w:hAnsi="Gill Sans MT" w:cs="Arial"/>
        </w:rPr>
        <w:t>Phone: (03) 6777 1936</w:t>
      </w:r>
    </w:p>
    <w:p w14:paraId="0C46655E" w14:textId="593334E6" w:rsidR="002D494C" w:rsidRPr="002D494C" w:rsidRDefault="002D494C" w:rsidP="002D494C">
      <w:pPr>
        <w:pStyle w:val="ListParagraph"/>
        <w:numPr>
          <w:ilvl w:val="0"/>
          <w:numId w:val="33"/>
        </w:numPr>
        <w:spacing w:after="0"/>
        <w:rPr>
          <w:rFonts w:ascii="Gill Sans MT" w:hAnsi="Gill Sans MT" w:cs="Arial"/>
        </w:rPr>
      </w:pPr>
      <w:r w:rsidRPr="002D494C">
        <w:rPr>
          <w:rFonts w:ascii="Gill Sans MT" w:hAnsi="Gill Sans MT" w:cs="Arial"/>
        </w:rPr>
        <w:t xml:space="preserve">Email: </w:t>
      </w:r>
      <w:hyperlink r:id="rId14" w:history="1">
        <w:r w:rsidRPr="002D494C">
          <w:rPr>
            <w:rStyle w:val="Hyperlink"/>
            <w:rFonts w:ascii="Gill Sans MT" w:hAnsi="Gill Sans MT" w:cs="Arial"/>
          </w:rPr>
          <w:t>transport.safety@stategrowth.tas.gov.au</w:t>
        </w:r>
      </w:hyperlink>
    </w:p>
    <w:p w14:paraId="63C8A697" w14:textId="2531E69F" w:rsidR="002D494C" w:rsidRDefault="002D494C" w:rsidP="002D494C">
      <w:pPr>
        <w:pStyle w:val="ListParagraph"/>
        <w:numPr>
          <w:ilvl w:val="0"/>
          <w:numId w:val="33"/>
        </w:numPr>
        <w:spacing w:after="0"/>
        <w:rPr>
          <w:rFonts w:ascii="Gill Sans MT" w:hAnsi="Gill Sans MT" w:cs="Arial"/>
        </w:rPr>
      </w:pPr>
      <w:r w:rsidRPr="002D494C">
        <w:rPr>
          <w:rFonts w:ascii="Gill Sans MT" w:hAnsi="Gill Sans MT" w:cs="Arial"/>
        </w:rPr>
        <w:t>Post: PO Box 1906, Launceston TAS 7250</w:t>
      </w:r>
    </w:p>
    <w:p w14:paraId="79A5D6FE" w14:textId="77777777" w:rsidR="00FF0AA5" w:rsidRPr="002D494C" w:rsidRDefault="00FF0AA5" w:rsidP="00FF0AA5">
      <w:pPr>
        <w:pStyle w:val="ListParagraph"/>
        <w:spacing w:after="0"/>
        <w:rPr>
          <w:rFonts w:ascii="Gill Sans MT" w:hAnsi="Gill Sans MT" w:cs="Arial"/>
        </w:rPr>
      </w:pPr>
    </w:p>
    <w:p w14:paraId="1A242540" w14:textId="77777777" w:rsidR="00160AB6" w:rsidRPr="00FF0AA5" w:rsidRDefault="00160AB6" w:rsidP="00D533ED">
      <w:pPr>
        <w:spacing w:before="200" w:after="120"/>
        <w:rPr>
          <w:rFonts w:ascii="Gill Sans MT" w:eastAsiaTheme="majorEastAsia" w:hAnsi="Gill Sans MT" w:cstheme="majorBidi"/>
          <w:color w:val="2E74B5" w:themeColor="accent1" w:themeShade="BF"/>
          <w:sz w:val="32"/>
          <w:szCs w:val="32"/>
        </w:rPr>
      </w:pPr>
      <w:r w:rsidRPr="00FF0AA5">
        <w:rPr>
          <w:rFonts w:ascii="Gill Sans MT" w:eastAsiaTheme="majorEastAsia" w:hAnsi="Gill Sans MT" w:cstheme="majorBidi"/>
          <w:color w:val="2E74B5" w:themeColor="accent1" w:themeShade="BF"/>
          <w:sz w:val="32"/>
          <w:szCs w:val="32"/>
        </w:rPr>
        <w:t xml:space="preserve">Regulations and Concessions Unit </w:t>
      </w:r>
    </w:p>
    <w:p w14:paraId="77B5B714" w14:textId="77777777" w:rsidR="00160AB6" w:rsidRPr="00394D53" w:rsidRDefault="00160AB6" w:rsidP="00160AB6">
      <w:pPr>
        <w:spacing w:after="0"/>
        <w:rPr>
          <w:rFonts w:ascii="Gill Sans MT" w:eastAsia="Times New Roman" w:hAnsi="Gill Sans MT" w:cs="Arial"/>
          <w:color w:val="000000"/>
        </w:rPr>
      </w:pPr>
      <w:r w:rsidRPr="00394D53">
        <w:rPr>
          <w:rFonts w:ascii="Gill Sans MT" w:eastAsia="Times New Roman" w:hAnsi="Gill Sans MT" w:cs="Arial"/>
          <w:color w:val="000000"/>
        </w:rPr>
        <w:t>For operator accreditation or taxi licence enquiries:</w:t>
      </w:r>
    </w:p>
    <w:p w14:paraId="1561DFCE" w14:textId="66D397DB" w:rsidR="00A00FEF" w:rsidRPr="00A00FEF" w:rsidRDefault="00160AB6" w:rsidP="00A00FEF">
      <w:pPr>
        <w:spacing w:after="0"/>
        <w:rPr>
          <w:rFonts w:ascii="Gill Sans MT" w:eastAsia="Times New Roman" w:hAnsi="Gill Sans MT" w:cs="Arial"/>
          <w:color w:val="000000"/>
        </w:rPr>
      </w:pPr>
      <w:r w:rsidRPr="00394D53">
        <w:rPr>
          <w:rFonts w:ascii="Gill Sans MT" w:eastAsia="Times New Roman" w:hAnsi="Gill Sans MT" w:cs="Arial"/>
          <w:color w:val="000000"/>
        </w:rPr>
        <w:t xml:space="preserve">Email: </w:t>
      </w:r>
      <w:r w:rsidRPr="00394D53">
        <w:rPr>
          <w:rFonts w:ascii="Gill Sans MT" w:eastAsia="Times New Roman" w:hAnsi="Gill Sans MT" w:cs="Arial"/>
          <w:color w:val="000000"/>
        </w:rPr>
        <w:tab/>
      </w:r>
      <w:hyperlink r:id="rId15" w:history="1">
        <w:r w:rsidRPr="00394D53">
          <w:rPr>
            <w:rStyle w:val="Hyperlink"/>
            <w:rFonts w:ascii="Gill Sans MT" w:eastAsia="Times New Roman" w:hAnsi="Gill Sans MT" w:cs="Arial"/>
          </w:rPr>
          <w:t>operator.accreditation@stategrowth.tas.gov.au</w:t>
        </w:r>
      </w:hyperlink>
    </w:p>
    <w:p w14:paraId="5E75AB56" w14:textId="77777777" w:rsidR="00A00FEF" w:rsidRPr="00D533ED" w:rsidRDefault="00A00FEF" w:rsidP="00D533ED">
      <w:pPr>
        <w:pStyle w:val="Default"/>
        <w:rPr>
          <w:rFonts w:cs="Arial"/>
          <w:color w:val="auto"/>
          <w:sz w:val="22"/>
          <w:szCs w:val="22"/>
        </w:rPr>
      </w:pPr>
    </w:p>
    <w:sectPr w:rsidR="00A00FEF" w:rsidRPr="00D533ED" w:rsidSect="00595EC5">
      <w:headerReference w:type="first" r:id="rId16"/>
      <w:pgSz w:w="11906" w:h="16838"/>
      <w:pgMar w:top="1418" w:right="707"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937D9" w14:textId="77777777" w:rsidR="00951651" w:rsidRDefault="00951651" w:rsidP="00884DC0">
      <w:pPr>
        <w:spacing w:after="0" w:line="240" w:lineRule="auto"/>
      </w:pPr>
      <w:r>
        <w:separator/>
      </w:r>
    </w:p>
  </w:endnote>
  <w:endnote w:type="continuationSeparator" w:id="0">
    <w:p w14:paraId="017C85A9" w14:textId="77777777" w:rsidR="00951651" w:rsidRDefault="00951651" w:rsidP="0088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CC72C" w14:textId="77777777" w:rsidR="00951651" w:rsidRDefault="00951651" w:rsidP="00884DC0">
      <w:pPr>
        <w:spacing w:after="0" w:line="240" w:lineRule="auto"/>
      </w:pPr>
      <w:r>
        <w:separator/>
      </w:r>
    </w:p>
  </w:footnote>
  <w:footnote w:type="continuationSeparator" w:id="0">
    <w:p w14:paraId="2FB2199C" w14:textId="77777777" w:rsidR="00951651" w:rsidRDefault="00951651" w:rsidP="00884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3B4F6" w14:textId="77777777" w:rsidR="00B51604" w:rsidRDefault="00B51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F3"/>
    <w:multiLevelType w:val="hybridMultilevel"/>
    <w:tmpl w:val="6A281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40824"/>
    <w:multiLevelType w:val="hybridMultilevel"/>
    <w:tmpl w:val="140C991A"/>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7FF7B17"/>
    <w:multiLevelType w:val="hybridMultilevel"/>
    <w:tmpl w:val="DA22F3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0A3684D"/>
    <w:multiLevelType w:val="hybridMultilevel"/>
    <w:tmpl w:val="36387EBE"/>
    <w:lvl w:ilvl="0" w:tplc="CADCD4C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5700FE"/>
    <w:multiLevelType w:val="hybridMultilevel"/>
    <w:tmpl w:val="2C229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B7DF6"/>
    <w:multiLevelType w:val="hybridMultilevel"/>
    <w:tmpl w:val="59B87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807FF5"/>
    <w:multiLevelType w:val="hybridMultilevel"/>
    <w:tmpl w:val="3018687E"/>
    <w:lvl w:ilvl="0" w:tplc="77D6C376">
      <w:numFmt w:val="bullet"/>
      <w:lvlText w:val="-"/>
      <w:lvlJc w:val="left"/>
      <w:pPr>
        <w:ind w:left="720" w:hanging="36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3D0C25"/>
    <w:multiLevelType w:val="hybridMultilevel"/>
    <w:tmpl w:val="52621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0468A6"/>
    <w:multiLevelType w:val="hybridMultilevel"/>
    <w:tmpl w:val="F0E2C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396522"/>
    <w:multiLevelType w:val="hybridMultilevel"/>
    <w:tmpl w:val="8FF083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B31655"/>
    <w:multiLevelType w:val="hybridMultilevel"/>
    <w:tmpl w:val="6264F7F0"/>
    <w:lvl w:ilvl="0" w:tplc="01EE508C">
      <w:start w:val="1"/>
      <w:numFmt w:val="bullet"/>
      <w:lvlText w:val="-"/>
      <w:lvlJc w:val="left"/>
      <w:pPr>
        <w:ind w:left="720" w:hanging="360"/>
      </w:pPr>
      <w:rPr>
        <w:rFonts w:ascii="Gill Sans MT" w:eastAsia="Times New Roman"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3E0636"/>
    <w:multiLevelType w:val="hybridMultilevel"/>
    <w:tmpl w:val="016C0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89193F"/>
    <w:multiLevelType w:val="hybridMultilevel"/>
    <w:tmpl w:val="7B9EF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442479"/>
    <w:multiLevelType w:val="hybridMultilevel"/>
    <w:tmpl w:val="F31AC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4A3BE1"/>
    <w:multiLevelType w:val="hybridMultilevel"/>
    <w:tmpl w:val="AE68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5D2075"/>
    <w:multiLevelType w:val="hybridMultilevel"/>
    <w:tmpl w:val="A3CC7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4D140F"/>
    <w:multiLevelType w:val="hybridMultilevel"/>
    <w:tmpl w:val="5C14C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576D8B"/>
    <w:multiLevelType w:val="hybridMultilevel"/>
    <w:tmpl w:val="7D3256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339525D"/>
    <w:multiLevelType w:val="hybridMultilevel"/>
    <w:tmpl w:val="D10684D4"/>
    <w:lvl w:ilvl="0" w:tplc="40FC5672">
      <w:numFmt w:val="bullet"/>
      <w:lvlText w:val="-"/>
      <w:lvlJc w:val="left"/>
      <w:pPr>
        <w:ind w:left="720" w:hanging="360"/>
      </w:pPr>
      <w:rPr>
        <w:rFonts w:ascii="Helvetica" w:eastAsia="Times New Roman" w:hAnsi="Helvetic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9C011B"/>
    <w:multiLevelType w:val="hybridMultilevel"/>
    <w:tmpl w:val="3866F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FF5CE7"/>
    <w:multiLevelType w:val="hybridMultilevel"/>
    <w:tmpl w:val="91481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DA7DD1"/>
    <w:multiLevelType w:val="hybridMultilevel"/>
    <w:tmpl w:val="1518A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E32504"/>
    <w:multiLevelType w:val="hybridMultilevel"/>
    <w:tmpl w:val="6B46C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8854E4"/>
    <w:multiLevelType w:val="hybridMultilevel"/>
    <w:tmpl w:val="0E2AE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FD021B"/>
    <w:multiLevelType w:val="hybridMultilevel"/>
    <w:tmpl w:val="DE341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825408"/>
    <w:multiLevelType w:val="hybridMultilevel"/>
    <w:tmpl w:val="08B8F68A"/>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6" w15:restartNumberingAfterBreak="0">
    <w:nsid w:val="5C822650"/>
    <w:multiLevelType w:val="hybridMultilevel"/>
    <w:tmpl w:val="3A8ECA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8A2672"/>
    <w:multiLevelType w:val="hybridMultilevel"/>
    <w:tmpl w:val="1D06E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11380D"/>
    <w:multiLevelType w:val="hybridMultilevel"/>
    <w:tmpl w:val="2CAC2A30"/>
    <w:lvl w:ilvl="0" w:tplc="8A2E73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E3207D"/>
    <w:multiLevelType w:val="hybridMultilevel"/>
    <w:tmpl w:val="0FFA4CD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0665508"/>
    <w:multiLevelType w:val="hybridMultilevel"/>
    <w:tmpl w:val="AB74286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1" w15:restartNumberingAfterBreak="0">
    <w:nsid w:val="70AD61E2"/>
    <w:multiLevelType w:val="hybridMultilevel"/>
    <w:tmpl w:val="45067090"/>
    <w:lvl w:ilvl="0" w:tplc="10D2C72A">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6322FC5"/>
    <w:multiLevelType w:val="hybridMultilevel"/>
    <w:tmpl w:val="B3EA9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9A5110"/>
    <w:multiLevelType w:val="hybridMultilevel"/>
    <w:tmpl w:val="22EC3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153EBE"/>
    <w:multiLevelType w:val="hybridMultilevel"/>
    <w:tmpl w:val="8BDAD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2F5CB1"/>
    <w:multiLevelType w:val="hybridMultilevel"/>
    <w:tmpl w:val="52B67A1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6"/>
  </w:num>
  <w:num w:numId="3">
    <w:abstractNumId w:val="16"/>
  </w:num>
  <w:num w:numId="4">
    <w:abstractNumId w:val="23"/>
  </w:num>
  <w:num w:numId="5">
    <w:abstractNumId w:val="6"/>
  </w:num>
  <w:num w:numId="6">
    <w:abstractNumId w:val="10"/>
  </w:num>
  <w:num w:numId="7">
    <w:abstractNumId w:val="2"/>
  </w:num>
  <w:num w:numId="8">
    <w:abstractNumId w:val="5"/>
  </w:num>
  <w:num w:numId="9">
    <w:abstractNumId w:val="3"/>
  </w:num>
  <w:num w:numId="10">
    <w:abstractNumId w:val="11"/>
  </w:num>
  <w:num w:numId="11">
    <w:abstractNumId w:val="28"/>
  </w:num>
  <w:num w:numId="12">
    <w:abstractNumId w:val="31"/>
  </w:num>
  <w:num w:numId="13">
    <w:abstractNumId w:val="35"/>
  </w:num>
  <w:num w:numId="14">
    <w:abstractNumId w:val="30"/>
  </w:num>
  <w:num w:numId="15">
    <w:abstractNumId w:val="24"/>
  </w:num>
  <w:num w:numId="16">
    <w:abstractNumId w:val="9"/>
  </w:num>
  <w:num w:numId="17">
    <w:abstractNumId w:val="27"/>
  </w:num>
  <w:num w:numId="18">
    <w:abstractNumId w:val="7"/>
  </w:num>
  <w:num w:numId="19">
    <w:abstractNumId w:val="17"/>
  </w:num>
  <w:num w:numId="20">
    <w:abstractNumId w:val="19"/>
  </w:num>
  <w:num w:numId="21">
    <w:abstractNumId w:val="12"/>
  </w:num>
  <w:num w:numId="22">
    <w:abstractNumId w:val="32"/>
  </w:num>
  <w:num w:numId="23">
    <w:abstractNumId w:val="29"/>
  </w:num>
  <w:num w:numId="24">
    <w:abstractNumId w:val="0"/>
  </w:num>
  <w:num w:numId="25">
    <w:abstractNumId w:val="13"/>
  </w:num>
  <w:num w:numId="26">
    <w:abstractNumId w:val="21"/>
  </w:num>
  <w:num w:numId="27">
    <w:abstractNumId w:val="22"/>
  </w:num>
  <w:num w:numId="28">
    <w:abstractNumId w:val="25"/>
  </w:num>
  <w:num w:numId="29">
    <w:abstractNumId w:val="34"/>
  </w:num>
  <w:num w:numId="30">
    <w:abstractNumId w:val="14"/>
  </w:num>
  <w:num w:numId="31">
    <w:abstractNumId w:val="4"/>
  </w:num>
  <w:num w:numId="32">
    <w:abstractNumId w:val="33"/>
  </w:num>
  <w:num w:numId="33">
    <w:abstractNumId w:val="8"/>
  </w:num>
  <w:num w:numId="34">
    <w:abstractNumId w:val="15"/>
  </w:num>
  <w:num w:numId="35">
    <w:abstractNumId w:val="2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7B"/>
    <w:rsid w:val="00001528"/>
    <w:rsid w:val="00002EB4"/>
    <w:rsid w:val="000034D4"/>
    <w:rsid w:val="00007328"/>
    <w:rsid w:val="00007C31"/>
    <w:rsid w:val="00012C0A"/>
    <w:rsid w:val="0002260C"/>
    <w:rsid w:val="0003591A"/>
    <w:rsid w:val="00037DC4"/>
    <w:rsid w:val="000405FE"/>
    <w:rsid w:val="00042178"/>
    <w:rsid w:val="000466FF"/>
    <w:rsid w:val="00050A69"/>
    <w:rsid w:val="00051B19"/>
    <w:rsid w:val="0005328B"/>
    <w:rsid w:val="00056798"/>
    <w:rsid w:val="00063880"/>
    <w:rsid w:val="00064F10"/>
    <w:rsid w:val="00067A29"/>
    <w:rsid w:val="00070267"/>
    <w:rsid w:val="0007082E"/>
    <w:rsid w:val="00073904"/>
    <w:rsid w:val="000A3A4C"/>
    <w:rsid w:val="000B3B7F"/>
    <w:rsid w:val="000D1AAD"/>
    <w:rsid w:val="000D3133"/>
    <w:rsid w:val="000D354B"/>
    <w:rsid w:val="000E4FDD"/>
    <w:rsid w:val="000E6570"/>
    <w:rsid w:val="000F62BF"/>
    <w:rsid w:val="00100F25"/>
    <w:rsid w:val="001019ED"/>
    <w:rsid w:val="00104664"/>
    <w:rsid w:val="00107647"/>
    <w:rsid w:val="001111E8"/>
    <w:rsid w:val="00113AEE"/>
    <w:rsid w:val="00114C56"/>
    <w:rsid w:val="001238A1"/>
    <w:rsid w:val="00125ADD"/>
    <w:rsid w:val="00126A9B"/>
    <w:rsid w:val="00130998"/>
    <w:rsid w:val="001315C6"/>
    <w:rsid w:val="001443B6"/>
    <w:rsid w:val="0015216A"/>
    <w:rsid w:val="00157D2E"/>
    <w:rsid w:val="00160AB6"/>
    <w:rsid w:val="00161FB9"/>
    <w:rsid w:val="001714B9"/>
    <w:rsid w:val="00185A80"/>
    <w:rsid w:val="00186CDC"/>
    <w:rsid w:val="0019020A"/>
    <w:rsid w:val="00193A5C"/>
    <w:rsid w:val="00197EE7"/>
    <w:rsid w:val="001A1BAC"/>
    <w:rsid w:val="001A2734"/>
    <w:rsid w:val="001A50E1"/>
    <w:rsid w:val="001A6A8B"/>
    <w:rsid w:val="001B2CC6"/>
    <w:rsid w:val="001C3333"/>
    <w:rsid w:val="001D207B"/>
    <w:rsid w:val="001E0474"/>
    <w:rsid w:val="001E083C"/>
    <w:rsid w:val="001E31AE"/>
    <w:rsid w:val="001F3D31"/>
    <w:rsid w:val="00200110"/>
    <w:rsid w:val="00211421"/>
    <w:rsid w:val="002132C3"/>
    <w:rsid w:val="00216A6F"/>
    <w:rsid w:val="002277A0"/>
    <w:rsid w:val="002278DD"/>
    <w:rsid w:val="002338C6"/>
    <w:rsid w:val="00242997"/>
    <w:rsid w:val="002503DB"/>
    <w:rsid w:val="00253A62"/>
    <w:rsid w:val="00260A39"/>
    <w:rsid w:val="00261894"/>
    <w:rsid w:val="00267DD3"/>
    <w:rsid w:val="0027437B"/>
    <w:rsid w:val="002769B2"/>
    <w:rsid w:val="00297FAE"/>
    <w:rsid w:val="002A60AC"/>
    <w:rsid w:val="002B071F"/>
    <w:rsid w:val="002C2021"/>
    <w:rsid w:val="002C2D32"/>
    <w:rsid w:val="002C54CF"/>
    <w:rsid w:val="002C5C39"/>
    <w:rsid w:val="002D26E0"/>
    <w:rsid w:val="002D494C"/>
    <w:rsid w:val="002D6E69"/>
    <w:rsid w:val="002E1C22"/>
    <w:rsid w:val="002E3BA1"/>
    <w:rsid w:val="002F074A"/>
    <w:rsid w:val="002F5DD5"/>
    <w:rsid w:val="002F7FEF"/>
    <w:rsid w:val="00311714"/>
    <w:rsid w:val="003332F2"/>
    <w:rsid w:val="003356DD"/>
    <w:rsid w:val="00350E5B"/>
    <w:rsid w:val="00353A16"/>
    <w:rsid w:val="003612F4"/>
    <w:rsid w:val="0036418C"/>
    <w:rsid w:val="0036557D"/>
    <w:rsid w:val="00370DBE"/>
    <w:rsid w:val="00370EE3"/>
    <w:rsid w:val="00382E1A"/>
    <w:rsid w:val="003830B2"/>
    <w:rsid w:val="00383C30"/>
    <w:rsid w:val="00383CD8"/>
    <w:rsid w:val="003945D7"/>
    <w:rsid w:val="00394D53"/>
    <w:rsid w:val="00397566"/>
    <w:rsid w:val="003A16DF"/>
    <w:rsid w:val="003A3689"/>
    <w:rsid w:val="003A5356"/>
    <w:rsid w:val="003A5ACC"/>
    <w:rsid w:val="003B2DE8"/>
    <w:rsid w:val="003B4A83"/>
    <w:rsid w:val="003B546D"/>
    <w:rsid w:val="003C1B09"/>
    <w:rsid w:val="003C2D64"/>
    <w:rsid w:val="003D62EA"/>
    <w:rsid w:val="003E0838"/>
    <w:rsid w:val="003E50CF"/>
    <w:rsid w:val="003F13F8"/>
    <w:rsid w:val="003F541F"/>
    <w:rsid w:val="00404A05"/>
    <w:rsid w:val="004125E8"/>
    <w:rsid w:val="00412BEC"/>
    <w:rsid w:val="00420F90"/>
    <w:rsid w:val="00432D8E"/>
    <w:rsid w:val="004337A5"/>
    <w:rsid w:val="004403F3"/>
    <w:rsid w:val="00442E84"/>
    <w:rsid w:val="00460435"/>
    <w:rsid w:val="0047507C"/>
    <w:rsid w:val="004A5B44"/>
    <w:rsid w:val="004B4E46"/>
    <w:rsid w:val="004B62AF"/>
    <w:rsid w:val="004C1ED3"/>
    <w:rsid w:val="004D32B0"/>
    <w:rsid w:val="004D794E"/>
    <w:rsid w:val="004E0FCC"/>
    <w:rsid w:val="004E49C8"/>
    <w:rsid w:val="004E6F7C"/>
    <w:rsid w:val="004F0AE7"/>
    <w:rsid w:val="004F15BD"/>
    <w:rsid w:val="004F6DC0"/>
    <w:rsid w:val="00504966"/>
    <w:rsid w:val="00506F66"/>
    <w:rsid w:val="00516CE9"/>
    <w:rsid w:val="00531475"/>
    <w:rsid w:val="00532C71"/>
    <w:rsid w:val="005347FB"/>
    <w:rsid w:val="0053589C"/>
    <w:rsid w:val="00537A10"/>
    <w:rsid w:val="00544441"/>
    <w:rsid w:val="00556AFD"/>
    <w:rsid w:val="00557B12"/>
    <w:rsid w:val="00573E2E"/>
    <w:rsid w:val="00577A67"/>
    <w:rsid w:val="005865F5"/>
    <w:rsid w:val="00590A61"/>
    <w:rsid w:val="00590CCD"/>
    <w:rsid w:val="005920AB"/>
    <w:rsid w:val="00592AE0"/>
    <w:rsid w:val="00595EC5"/>
    <w:rsid w:val="005A4604"/>
    <w:rsid w:val="005A7D4C"/>
    <w:rsid w:val="005B2506"/>
    <w:rsid w:val="005B48D7"/>
    <w:rsid w:val="005B53DD"/>
    <w:rsid w:val="005B62EC"/>
    <w:rsid w:val="005C07AE"/>
    <w:rsid w:val="005C7AD5"/>
    <w:rsid w:val="005D00DF"/>
    <w:rsid w:val="005D1DF7"/>
    <w:rsid w:val="005D5E87"/>
    <w:rsid w:val="005D7312"/>
    <w:rsid w:val="005E5066"/>
    <w:rsid w:val="005E718B"/>
    <w:rsid w:val="005F5156"/>
    <w:rsid w:val="005F79BB"/>
    <w:rsid w:val="005F7AC3"/>
    <w:rsid w:val="00603208"/>
    <w:rsid w:val="006035AE"/>
    <w:rsid w:val="00614489"/>
    <w:rsid w:val="00615B49"/>
    <w:rsid w:val="00622AB2"/>
    <w:rsid w:val="00633325"/>
    <w:rsid w:val="006502AE"/>
    <w:rsid w:val="006515B1"/>
    <w:rsid w:val="00654B6B"/>
    <w:rsid w:val="0065644A"/>
    <w:rsid w:val="00671582"/>
    <w:rsid w:val="00680ADA"/>
    <w:rsid w:val="00691ED0"/>
    <w:rsid w:val="00697B90"/>
    <w:rsid w:val="006B23F6"/>
    <w:rsid w:val="006C2558"/>
    <w:rsid w:val="006C41E1"/>
    <w:rsid w:val="006D55DD"/>
    <w:rsid w:val="006E252F"/>
    <w:rsid w:val="006E7B26"/>
    <w:rsid w:val="006F2134"/>
    <w:rsid w:val="006F2AB4"/>
    <w:rsid w:val="006F642E"/>
    <w:rsid w:val="00707412"/>
    <w:rsid w:val="007332EF"/>
    <w:rsid w:val="00741D70"/>
    <w:rsid w:val="00743391"/>
    <w:rsid w:val="007513B6"/>
    <w:rsid w:val="00751639"/>
    <w:rsid w:val="00752557"/>
    <w:rsid w:val="00762A36"/>
    <w:rsid w:val="0079156A"/>
    <w:rsid w:val="007A1A25"/>
    <w:rsid w:val="007A4372"/>
    <w:rsid w:val="007A60D1"/>
    <w:rsid w:val="007B05EA"/>
    <w:rsid w:val="007C5384"/>
    <w:rsid w:val="007C6312"/>
    <w:rsid w:val="007C7A53"/>
    <w:rsid w:val="007D127C"/>
    <w:rsid w:val="007E1FD3"/>
    <w:rsid w:val="007E2F9F"/>
    <w:rsid w:val="007E4AB8"/>
    <w:rsid w:val="007E6792"/>
    <w:rsid w:val="007E6F23"/>
    <w:rsid w:val="007E7FF9"/>
    <w:rsid w:val="007F126E"/>
    <w:rsid w:val="007F2A35"/>
    <w:rsid w:val="007F2E35"/>
    <w:rsid w:val="00804733"/>
    <w:rsid w:val="00804C35"/>
    <w:rsid w:val="00806B4B"/>
    <w:rsid w:val="00811F70"/>
    <w:rsid w:val="008258B7"/>
    <w:rsid w:val="00827045"/>
    <w:rsid w:val="00836F34"/>
    <w:rsid w:val="0084542F"/>
    <w:rsid w:val="00855FCF"/>
    <w:rsid w:val="008648B6"/>
    <w:rsid w:val="00884DC0"/>
    <w:rsid w:val="0089234A"/>
    <w:rsid w:val="0089386B"/>
    <w:rsid w:val="008A28B5"/>
    <w:rsid w:val="008C1EFF"/>
    <w:rsid w:val="008E03EB"/>
    <w:rsid w:val="008E0767"/>
    <w:rsid w:val="008E4EFA"/>
    <w:rsid w:val="008F046B"/>
    <w:rsid w:val="008F0E33"/>
    <w:rsid w:val="008F1D0D"/>
    <w:rsid w:val="008F25CB"/>
    <w:rsid w:val="008F4A58"/>
    <w:rsid w:val="009000FB"/>
    <w:rsid w:val="00905C4F"/>
    <w:rsid w:val="0092272F"/>
    <w:rsid w:val="00927A35"/>
    <w:rsid w:val="009323E9"/>
    <w:rsid w:val="0094074B"/>
    <w:rsid w:val="00951651"/>
    <w:rsid w:val="00952493"/>
    <w:rsid w:val="00954531"/>
    <w:rsid w:val="00954810"/>
    <w:rsid w:val="0095560D"/>
    <w:rsid w:val="00955D82"/>
    <w:rsid w:val="00956FCD"/>
    <w:rsid w:val="009635DE"/>
    <w:rsid w:val="00965A43"/>
    <w:rsid w:val="0096664F"/>
    <w:rsid w:val="00966E02"/>
    <w:rsid w:val="00967969"/>
    <w:rsid w:val="0097469F"/>
    <w:rsid w:val="0097525A"/>
    <w:rsid w:val="00983746"/>
    <w:rsid w:val="00986EC7"/>
    <w:rsid w:val="00990EE0"/>
    <w:rsid w:val="0099330D"/>
    <w:rsid w:val="0099379D"/>
    <w:rsid w:val="00993A1C"/>
    <w:rsid w:val="0099630E"/>
    <w:rsid w:val="009974E0"/>
    <w:rsid w:val="00997E04"/>
    <w:rsid w:val="009A5C8A"/>
    <w:rsid w:val="009B0465"/>
    <w:rsid w:val="009B1EC1"/>
    <w:rsid w:val="009B6216"/>
    <w:rsid w:val="009B7D17"/>
    <w:rsid w:val="009C2526"/>
    <w:rsid w:val="009C4F0A"/>
    <w:rsid w:val="009C6195"/>
    <w:rsid w:val="009C74D5"/>
    <w:rsid w:val="009C7B67"/>
    <w:rsid w:val="009D6CE0"/>
    <w:rsid w:val="009E2099"/>
    <w:rsid w:val="00A00FEF"/>
    <w:rsid w:val="00A0129C"/>
    <w:rsid w:val="00A03FE8"/>
    <w:rsid w:val="00A04737"/>
    <w:rsid w:val="00A054F5"/>
    <w:rsid w:val="00A119FE"/>
    <w:rsid w:val="00A121B7"/>
    <w:rsid w:val="00A13ADB"/>
    <w:rsid w:val="00A5790F"/>
    <w:rsid w:val="00A60C57"/>
    <w:rsid w:val="00A64982"/>
    <w:rsid w:val="00A73C2A"/>
    <w:rsid w:val="00A73FAA"/>
    <w:rsid w:val="00A756B5"/>
    <w:rsid w:val="00A815A7"/>
    <w:rsid w:val="00A82734"/>
    <w:rsid w:val="00A850E3"/>
    <w:rsid w:val="00A87589"/>
    <w:rsid w:val="00A94C19"/>
    <w:rsid w:val="00A95CAF"/>
    <w:rsid w:val="00AB088E"/>
    <w:rsid w:val="00AB2435"/>
    <w:rsid w:val="00AB3192"/>
    <w:rsid w:val="00AB3EED"/>
    <w:rsid w:val="00AD0B72"/>
    <w:rsid w:val="00AD346E"/>
    <w:rsid w:val="00AD3FCE"/>
    <w:rsid w:val="00AE5659"/>
    <w:rsid w:val="00AF57A1"/>
    <w:rsid w:val="00B04C6A"/>
    <w:rsid w:val="00B1469E"/>
    <w:rsid w:val="00B15B65"/>
    <w:rsid w:val="00B3056E"/>
    <w:rsid w:val="00B4584B"/>
    <w:rsid w:val="00B51604"/>
    <w:rsid w:val="00B54877"/>
    <w:rsid w:val="00B549DE"/>
    <w:rsid w:val="00B6079F"/>
    <w:rsid w:val="00B61B65"/>
    <w:rsid w:val="00B659DC"/>
    <w:rsid w:val="00B806C6"/>
    <w:rsid w:val="00B81135"/>
    <w:rsid w:val="00B84C54"/>
    <w:rsid w:val="00B919A8"/>
    <w:rsid w:val="00BA2F10"/>
    <w:rsid w:val="00BA5DFD"/>
    <w:rsid w:val="00BB10A2"/>
    <w:rsid w:val="00BC008A"/>
    <w:rsid w:val="00BC5105"/>
    <w:rsid w:val="00BC7103"/>
    <w:rsid w:val="00BE05D7"/>
    <w:rsid w:val="00BE1B9D"/>
    <w:rsid w:val="00BE2420"/>
    <w:rsid w:val="00BE34F6"/>
    <w:rsid w:val="00BE7830"/>
    <w:rsid w:val="00BE7B52"/>
    <w:rsid w:val="00C05CED"/>
    <w:rsid w:val="00C06B5B"/>
    <w:rsid w:val="00C12747"/>
    <w:rsid w:val="00C13523"/>
    <w:rsid w:val="00C1352B"/>
    <w:rsid w:val="00C136AF"/>
    <w:rsid w:val="00C15859"/>
    <w:rsid w:val="00C15D3A"/>
    <w:rsid w:val="00C20E61"/>
    <w:rsid w:val="00C2139E"/>
    <w:rsid w:val="00C315FF"/>
    <w:rsid w:val="00C32EA8"/>
    <w:rsid w:val="00C33CB8"/>
    <w:rsid w:val="00C35F11"/>
    <w:rsid w:val="00C43C56"/>
    <w:rsid w:val="00C51D70"/>
    <w:rsid w:val="00C525A5"/>
    <w:rsid w:val="00C57E1D"/>
    <w:rsid w:val="00C57EFE"/>
    <w:rsid w:val="00C60973"/>
    <w:rsid w:val="00C71506"/>
    <w:rsid w:val="00C71515"/>
    <w:rsid w:val="00C72032"/>
    <w:rsid w:val="00C77AF4"/>
    <w:rsid w:val="00C94F95"/>
    <w:rsid w:val="00CD0994"/>
    <w:rsid w:val="00CD5C76"/>
    <w:rsid w:val="00CE0708"/>
    <w:rsid w:val="00CE1274"/>
    <w:rsid w:val="00CE1EE9"/>
    <w:rsid w:val="00CE21A1"/>
    <w:rsid w:val="00CE3D9C"/>
    <w:rsid w:val="00CE79B1"/>
    <w:rsid w:val="00CF10C3"/>
    <w:rsid w:val="00CF26E8"/>
    <w:rsid w:val="00CF5AB0"/>
    <w:rsid w:val="00D007E8"/>
    <w:rsid w:val="00D00E8F"/>
    <w:rsid w:val="00D01AD5"/>
    <w:rsid w:val="00D02F5A"/>
    <w:rsid w:val="00D038E0"/>
    <w:rsid w:val="00D11E0A"/>
    <w:rsid w:val="00D13D36"/>
    <w:rsid w:val="00D41CCA"/>
    <w:rsid w:val="00D533ED"/>
    <w:rsid w:val="00D55BB8"/>
    <w:rsid w:val="00D56B05"/>
    <w:rsid w:val="00D617A9"/>
    <w:rsid w:val="00D61CE6"/>
    <w:rsid w:val="00D77F94"/>
    <w:rsid w:val="00D802FF"/>
    <w:rsid w:val="00D8109D"/>
    <w:rsid w:val="00D8659B"/>
    <w:rsid w:val="00D9174F"/>
    <w:rsid w:val="00D925EF"/>
    <w:rsid w:val="00D96169"/>
    <w:rsid w:val="00DA2B7A"/>
    <w:rsid w:val="00DA6B97"/>
    <w:rsid w:val="00DB09E6"/>
    <w:rsid w:val="00DB6764"/>
    <w:rsid w:val="00DB70DF"/>
    <w:rsid w:val="00DC679B"/>
    <w:rsid w:val="00DD2112"/>
    <w:rsid w:val="00E065A8"/>
    <w:rsid w:val="00E078F7"/>
    <w:rsid w:val="00E10892"/>
    <w:rsid w:val="00E11CBC"/>
    <w:rsid w:val="00E273F4"/>
    <w:rsid w:val="00E3433F"/>
    <w:rsid w:val="00E35E89"/>
    <w:rsid w:val="00E4179F"/>
    <w:rsid w:val="00E41B73"/>
    <w:rsid w:val="00E4496F"/>
    <w:rsid w:val="00E50E87"/>
    <w:rsid w:val="00E515D9"/>
    <w:rsid w:val="00E52764"/>
    <w:rsid w:val="00E71D44"/>
    <w:rsid w:val="00E81E3F"/>
    <w:rsid w:val="00E822E8"/>
    <w:rsid w:val="00E8339F"/>
    <w:rsid w:val="00E87735"/>
    <w:rsid w:val="00EA4EBA"/>
    <w:rsid w:val="00EB0ABF"/>
    <w:rsid w:val="00EB42B7"/>
    <w:rsid w:val="00EC0467"/>
    <w:rsid w:val="00EC2430"/>
    <w:rsid w:val="00EC28FD"/>
    <w:rsid w:val="00ED64DB"/>
    <w:rsid w:val="00ED7E0A"/>
    <w:rsid w:val="00EE2285"/>
    <w:rsid w:val="00EE4472"/>
    <w:rsid w:val="00EE5BF9"/>
    <w:rsid w:val="00EE5E41"/>
    <w:rsid w:val="00EF0346"/>
    <w:rsid w:val="00EF2959"/>
    <w:rsid w:val="00EF3092"/>
    <w:rsid w:val="00F01BA9"/>
    <w:rsid w:val="00F16A1F"/>
    <w:rsid w:val="00F2208D"/>
    <w:rsid w:val="00F307B1"/>
    <w:rsid w:val="00F36F10"/>
    <w:rsid w:val="00F44930"/>
    <w:rsid w:val="00F526C0"/>
    <w:rsid w:val="00F5498A"/>
    <w:rsid w:val="00F63BC9"/>
    <w:rsid w:val="00F663B4"/>
    <w:rsid w:val="00F67C13"/>
    <w:rsid w:val="00F75986"/>
    <w:rsid w:val="00F83864"/>
    <w:rsid w:val="00F943C0"/>
    <w:rsid w:val="00F97788"/>
    <w:rsid w:val="00FB36F0"/>
    <w:rsid w:val="00FB72DE"/>
    <w:rsid w:val="00FB7A73"/>
    <w:rsid w:val="00FD21DE"/>
    <w:rsid w:val="00FD580E"/>
    <w:rsid w:val="00FD5A3A"/>
    <w:rsid w:val="00FD6725"/>
    <w:rsid w:val="00FE2A1A"/>
    <w:rsid w:val="00FE3F82"/>
    <w:rsid w:val="00FE49BC"/>
    <w:rsid w:val="00FE4D86"/>
    <w:rsid w:val="00FE6E87"/>
    <w:rsid w:val="00FF0AA5"/>
    <w:rsid w:val="00FF128E"/>
    <w:rsid w:val="00FF2905"/>
    <w:rsid w:val="00FF6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48B18"/>
  <w15:chartTrackingRefBased/>
  <w15:docId w15:val="{241E8EDD-6D15-4B51-A2D1-38239E4F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46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3E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07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37B"/>
    <w:rPr>
      <w:color w:val="0077CC"/>
      <w:u w:val="single"/>
    </w:rPr>
  </w:style>
  <w:style w:type="paragraph" w:styleId="ListParagraph">
    <w:name w:val="List Paragraph"/>
    <w:basedOn w:val="Normal"/>
    <w:uiPriority w:val="34"/>
    <w:qFormat/>
    <w:rsid w:val="001111E8"/>
    <w:pPr>
      <w:ind w:left="720"/>
      <w:contextualSpacing/>
    </w:pPr>
  </w:style>
  <w:style w:type="table" w:styleId="TableGrid">
    <w:name w:val="Table Grid"/>
    <w:basedOn w:val="TableNormal"/>
    <w:uiPriority w:val="59"/>
    <w:rsid w:val="00F75986"/>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B3EED"/>
    <w:rPr>
      <w:rFonts w:asciiTheme="majorHAnsi" w:eastAsiaTheme="majorEastAsia" w:hAnsiTheme="majorHAnsi" w:cstheme="majorBidi"/>
      <w:color w:val="2E74B5" w:themeColor="accent1" w:themeShade="BF"/>
      <w:sz w:val="26"/>
      <w:szCs w:val="26"/>
    </w:rPr>
  </w:style>
  <w:style w:type="paragraph" w:customStyle="1" w:styleId="Default">
    <w:name w:val="Default"/>
    <w:rsid w:val="006502AE"/>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3C2D64"/>
    <w:rPr>
      <w:sz w:val="16"/>
      <w:szCs w:val="16"/>
    </w:rPr>
  </w:style>
  <w:style w:type="paragraph" w:styleId="CommentText">
    <w:name w:val="annotation text"/>
    <w:basedOn w:val="Normal"/>
    <w:link w:val="CommentTextChar"/>
    <w:uiPriority w:val="99"/>
    <w:semiHidden/>
    <w:unhideWhenUsed/>
    <w:rsid w:val="003C2D6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C2D64"/>
    <w:rPr>
      <w:sz w:val="20"/>
      <w:szCs w:val="20"/>
    </w:rPr>
  </w:style>
  <w:style w:type="paragraph" w:styleId="BalloonText">
    <w:name w:val="Balloon Text"/>
    <w:basedOn w:val="Normal"/>
    <w:link w:val="BalloonTextChar"/>
    <w:uiPriority w:val="99"/>
    <w:semiHidden/>
    <w:unhideWhenUsed/>
    <w:rsid w:val="003C2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64"/>
    <w:rPr>
      <w:rFonts w:ascii="Segoe UI" w:hAnsi="Segoe UI" w:cs="Segoe UI"/>
      <w:sz w:val="18"/>
      <w:szCs w:val="18"/>
    </w:rPr>
  </w:style>
  <w:style w:type="paragraph" w:styleId="NormalWeb">
    <w:name w:val="Normal (Web)"/>
    <w:basedOn w:val="Normal"/>
    <w:uiPriority w:val="99"/>
    <w:semiHidden/>
    <w:unhideWhenUsed/>
    <w:rsid w:val="00D02F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97469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04737"/>
    <w:pPr>
      <w:outlineLvl w:val="9"/>
    </w:pPr>
    <w:rPr>
      <w:lang w:val="en-US"/>
    </w:rPr>
  </w:style>
  <w:style w:type="paragraph" w:styleId="TOC2">
    <w:name w:val="toc 2"/>
    <w:basedOn w:val="Normal"/>
    <w:next w:val="Normal"/>
    <w:autoRedefine/>
    <w:uiPriority w:val="39"/>
    <w:unhideWhenUsed/>
    <w:rsid w:val="00A04737"/>
    <w:pPr>
      <w:spacing w:after="100"/>
      <w:ind w:left="220"/>
    </w:pPr>
  </w:style>
  <w:style w:type="paragraph" w:styleId="Header">
    <w:name w:val="header"/>
    <w:basedOn w:val="Normal"/>
    <w:link w:val="HeaderChar"/>
    <w:uiPriority w:val="99"/>
    <w:unhideWhenUsed/>
    <w:rsid w:val="00884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DC0"/>
  </w:style>
  <w:style w:type="paragraph" w:styleId="Footer">
    <w:name w:val="footer"/>
    <w:basedOn w:val="Normal"/>
    <w:link w:val="FooterChar"/>
    <w:uiPriority w:val="99"/>
    <w:unhideWhenUsed/>
    <w:rsid w:val="00884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DC0"/>
  </w:style>
  <w:style w:type="paragraph" w:styleId="CommentSubject">
    <w:name w:val="annotation subject"/>
    <w:basedOn w:val="CommentText"/>
    <w:next w:val="CommentText"/>
    <w:link w:val="CommentSubjectChar"/>
    <w:uiPriority w:val="99"/>
    <w:semiHidden/>
    <w:unhideWhenUsed/>
    <w:rsid w:val="00884DC0"/>
    <w:pPr>
      <w:spacing w:after="160"/>
    </w:pPr>
    <w:rPr>
      <w:b/>
      <w:bCs/>
    </w:rPr>
  </w:style>
  <w:style w:type="character" w:customStyle="1" w:styleId="CommentSubjectChar">
    <w:name w:val="Comment Subject Char"/>
    <w:basedOn w:val="CommentTextChar"/>
    <w:link w:val="CommentSubject"/>
    <w:uiPriority w:val="99"/>
    <w:semiHidden/>
    <w:rsid w:val="00884DC0"/>
    <w:rPr>
      <w:b/>
      <w:bCs/>
      <w:sz w:val="20"/>
      <w:szCs w:val="20"/>
    </w:rPr>
  </w:style>
  <w:style w:type="character" w:styleId="FollowedHyperlink">
    <w:name w:val="FollowedHyperlink"/>
    <w:basedOn w:val="DefaultParagraphFont"/>
    <w:uiPriority w:val="99"/>
    <w:semiHidden/>
    <w:unhideWhenUsed/>
    <w:rsid w:val="004C1ED3"/>
    <w:rPr>
      <w:color w:val="954F72" w:themeColor="followedHyperlink"/>
      <w:u w:val="single"/>
    </w:rPr>
  </w:style>
  <w:style w:type="character" w:customStyle="1" w:styleId="Heading3Char">
    <w:name w:val="Heading 3 Char"/>
    <w:basedOn w:val="DefaultParagraphFont"/>
    <w:link w:val="Heading3"/>
    <w:uiPriority w:val="9"/>
    <w:rsid w:val="0094074B"/>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CF5AB0"/>
    <w:pPr>
      <w:spacing w:after="0" w:line="240" w:lineRule="auto"/>
    </w:pPr>
  </w:style>
  <w:style w:type="paragraph" w:styleId="PlainText">
    <w:name w:val="Plain Text"/>
    <w:basedOn w:val="Normal"/>
    <w:link w:val="PlainTextChar"/>
    <w:uiPriority w:val="99"/>
    <w:semiHidden/>
    <w:unhideWhenUsed/>
    <w:rsid w:val="009C7B6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C7B6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6362">
      <w:bodyDiv w:val="1"/>
      <w:marLeft w:val="0"/>
      <w:marRight w:val="0"/>
      <w:marTop w:val="0"/>
      <w:marBottom w:val="0"/>
      <w:divBdr>
        <w:top w:val="none" w:sz="0" w:space="0" w:color="auto"/>
        <w:left w:val="none" w:sz="0" w:space="0" w:color="auto"/>
        <w:bottom w:val="none" w:sz="0" w:space="0" w:color="auto"/>
        <w:right w:val="none" w:sz="0" w:space="0" w:color="auto"/>
      </w:divBdr>
      <w:divsChild>
        <w:div w:id="1566532094">
          <w:marLeft w:val="0"/>
          <w:marRight w:val="0"/>
          <w:marTop w:val="0"/>
          <w:marBottom w:val="0"/>
          <w:divBdr>
            <w:top w:val="none" w:sz="0" w:space="0" w:color="auto"/>
            <w:left w:val="none" w:sz="0" w:space="0" w:color="auto"/>
            <w:bottom w:val="none" w:sz="0" w:space="0" w:color="auto"/>
            <w:right w:val="none" w:sz="0" w:space="0" w:color="auto"/>
          </w:divBdr>
          <w:divsChild>
            <w:div w:id="506674036">
              <w:marLeft w:val="0"/>
              <w:marRight w:val="0"/>
              <w:marTop w:val="0"/>
              <w:marBottom w:val="0"/>
              <w:divBdr>
                <w:top w:val="none" w:sz="0" w:space="0" w:color="auto"/>
                <w:left w:val="none" w:sz="0" w:space="0" w:color="auto"/>
                <w:bottom w:val="none" w:sz="0" w:space="0" w:color="auto"/>
                <w:right w:val="none" w:sz="0" w:space="0" w:color="auto"/>
              </w:divBdr>
              <w:divsChild>
                <w:div w:id="396897951">
                  <w:marLeft w:val="0"/>
                  <w:marRight w:val="0"/>
                  <w:marTop w:val="0"/>
                  <w:marBottom w:val="0"/>
                  <w:divBdr>
                    <w:top w:val="none" w:sz="0" w:space="0" w:color="auto"/>
                    <w:left w:val="none" w:sz="0" w:space="0" w:color="auto"/>
                    <w:bottom w:val="none" w:sz="0" w:space="0" w:color="auto"/>
                    <w:right w:val="none" w:sz="0" w:space="0" w:color="auto"/>
                  </w:divBdr>
                  <w:divsChild>
                    <w:div w:id="13282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6767">
      <w:bodyDiv w:val="1"/>
      <w:marLeft w:val="0"/>
      <w:marRight w:val="0"/>
      <w:marTop w:val="0"/>
      <w:marBottom w:val="0"/>
      <w:divBdr>
        <w:top w:val="none" w:sz="0" w:space="0" w:color="auto"/>
        <w:left w:val="none" w:sz="0" w:space="0" w:color="auto"/>
        <w:bottom w:val="none" w:sz="0" w:space="0" w:color="auto"/>
        <w:right w:val="none" w:sz="0" w:space="0" w:color="auto"/>
      </w:divBdr>
    </w:div>
    <w:div w:id="339164936">
      <w:bodyDiv w:val="1"/>
      <w:marLeft w:val="0"/>
      <w:marRight w:val="0"/>
      <w:marTop w:val="0"/>
      <w:marBottom w:val="0"/>
      <w:divBdr>
        <w:top w:val="none" w:sz="0" w:space="0" w:color="auto"/>
        <w:left w:val="none" w:sz="0" w:space="0" w:color="auto"/>
        <w:bottom w:val="none" w:sz="0" w:space="0" w:color="auto"/>
        <w:right w:val="none" w:sz="0" w:space="0" w:color="auto"/>
      </w:divBdr>
    </w:div>
    <w:div w:id="342897626">
      <w:bodyDiv w:val="1"/>
      <w:marLeft w:val="0"/>
      <w:marRight w:val="0"/>
      <w:marTop w:val="0"/>
      <w:marBottom w:val="0"/>
      <w:divBdr>
        <w:top w:val="none" w:sz="0" w:space="0" w:color="auto"/>
        <w:left w:val="none" w:sz="0" w:space="0" w:color="auto"/>
        <w:bottom w:val="none" w:sz="0" w:space="0" w:color="auto"/>
        <w:right w:val="none" w:sz="0" w:space="0" w:color="auto"/>
      </w:divBdr>
    </w:div>
    <w:div w:id="360058733">
      <w:bodyDiv w:val="1"/>
      <w:marLeft w:val="0"/>
      <w:marRight w:val="0"/>
      <w:marTop w:val="0"/>
      <w:marBottom w:val="0"/>
      <w:divBdr>
        <w:top w:val="none" w:sz="0" w:space="0" w:color="auto"/>
        <w:left w:val="none" w:sz="0" w:space="0" w:color="auto"/>
        <w:bottom w:val="none" w:sz="0" w:space="0" w:color="auto"/>
        <w:right w:val="none" w:sz="0" w:space="0" w:color="auto"/>
      </w:divBdr>
    </w:div>
    <w:div w:id="391008329">
      <w:bodyDiv w:val="1"/>
      <w:marLeft w:val="0"/>
      <w:marRight w:val="0"/>
      <w:marTop w:val="0"/>
      <w:marBottom w:val="0"/>
      <w:divBdr>
        <w:top w:val="none" w:sz="0" w:space="0" w:color="auto"/>
        <w:left w:val="none" w:sz="0" w:space="0" w:color="auto"/>
        <w:bottom w:val="none" w:sz="0" w:space="0" w:color="auto"/>
        <w:right w:val="none" w:sz="0" w:space="0" w:color="auto"/>
      </w:divBdr>
    </w:div>
    <w:div w:id="755787968">
      <w:bodyDiv w:val="1"/>
      <w:marLeft w:val="0"/>
      <w:marRight w:val="0"/>
      <w:marTop w:val="0"/>
      <w:marBottom w:val="0"/>
      <w:divBdr>
        <w:top w:val="none" w:sz="0" w:space="0" w:color="auto"/>
        <w:left w:val="none" w:sz="0" w:space="0" w:color="auto"/>
        <w:bottom w:val="none" w:sz="0" w:space="0" w:color="auto"/>
        <w:right w:val="none" w:sz="0" w:space="0" w:color="auto"/>
      </w:divBdr>
    </w:div>
    <w:div w:id="894465749">
      <w:bodyDiv w:val="1"/>
      <w:marLeft w:val="0"/>
      <w:marRight w:val="0"/>
      <w:marTop w:val="0"/>
      <w:marBottom w:val="0"/>
      <w:divBdr>
        <w:top w:val="none" w:sz="0" w:space="0" w:color="auto"/>
        <w:left w:val="none" w:sz="0" w:space="0" w:color="auto"/>
        <w:bottom w:val="none" w:sz="0" w:space="0" w:color="auto"/>
        <w:right w:val="none" w:sz="0" w:space="0" w:color="auto"/>
      </w:divBdr>
    </w:div>
    <w:div w:id="947002254">
      <w:bodyDiv w:val="1"/>
      <w:marLeft w:val="0"/>
      <w:marRight w:val="0"/>
      <w:marTop w:val="0"/>
      <w:marBottom w:val="0"/>
      <w:divBdr>
        <w:top w:val="none" w:sz="0" w:space="0" w:color="auto"/>
        <w:left w:val="none" w:sz="0" w:space="0" w:color="auto"/>
        <w:bottom w:val="none" w:sz="0" w:space="0" w:color="auto"/>
        <w:right w:val="none" w:sz="0" w:space="0" w:color="auto"/>
      </w:divBdr>
    </w:div>
    <w:div w:id="951088237">
      <w:bodyDiv w:val="1"/>
      <w:marLeft w:val="0"/>
      <w:marRight w:val="0"/>
      <w:marTop w:val="0"/>
      <w:marBottom w:val="0"/>
      <w:divBdr>
        <w:top w:val="none" w:sz="0" w:space="0" w:color="auto"/>
        <w:left w:val="none" w:sz="0" w:space="0" w:color="auto"/>
        <w:bottom w:val="none" w:sz="0" w:space="0" w:color="auto"/>
        <w:right w:val="none" w:sz="0" w:space="0" w:color="auto"/>
      </w:divBdr>
    </w:div>
    <w:div w:id="993531414">
      <w:bodyDiv w:val="1"/>
      <w:marLeft w:val="0"/>
      <w:marRight w:val="0"/>
      <w:marTop w:val="0"/>
      <w:marBottom w:val="0"/>
      <w:divBdr>
        <w:top w:val="none" w:sz="0" w:space="0" w:color="auto"/>
        <w:left w:val="none" w:sz="0" w:space="0" w:color="auto"/>
        <w:bottom w:val="none" w:sz="0" w:space="0" w:color="auto"/>
        <w:right w:val="none" w:sz="0" w:space="0" w:color="auto"/>
      </w:divBdr>
    </w:div>
    <w:div w:id="1009135372">
      <w:bodyDiv w:val="1"/>
      <w:marLeft w:val="0"/>
      <w:marRight w:val="0"/>
      <w:marTop w:val="0"/>
      <w:marBottom w:val="0"/>
      <w:divBdr>
        <w:top w:val="none" w:sz="0" w:space="0" w:color="auto"/>
        <w:left w:val="none" w:sz="0" w:space="0" w:color="auto"/>
        <w:bottom w:val="none" w:sz="0" w:space="0" w:color="auto"/>
        <w:right w:val="none" w:sz="0" w:space="0" w:color="auto"/>
      </w:divBdr>
    </w:div>
    <w:div w:id="1090007564">
      <w:bodyDiv w:val="1"/>
      <w:marLeft w:val="0"/>
      <w:marRight w:val="0"/>
      <w:marTop w:val="0"/>
      <w:marBottom w:val="0"/>
      <w:divBdr>
        <w:top w:val="none" w:sz="0" w:space="0" w:color="auto"/>
        <w:left w:val="none" w:sz="0" w:space="0" w:color="auto"/>
        <w:bottom w:val="none" w:sz="0" w:space="0" w:color="auto"/>
        <w:right w:val="none" w:sz="0" w:space="0" w:color="auto"/>
      </w:divBdr>
    </w:div>
    <w:div w:id="1181704103">
      <w:bodyDiv w:val="1"/>
      <w:marLeft w:val="0"/>
      <w:marRight w:val="0"/>
      <w:marTop w:val="0"/>
      <w:marBottom w:val="0"/>
      <w:divBdr>
        <w:top w:val="none" w:sz="0" w:space="0" w:color="auto"/>
        <w:left w:val="none" w:sz="0" w:space="0" w:color="auto"/>
        <w:bottom w:val="none" w:sz="0" w:space="0" w:color="auto"/>
        <w:right w:val="none" w:sz="0" w:space="0" w:color="auto"/>
      </w:divBdr>
    </w:div>
    <w:div w:id="1254970704">
      <w:bodyDiv w:val="1"/>
      <w:marLeft w:val="0"/>
      <w:marRight w:val="0"/>
      <w:marTop w:val="0"/>
      <w:marBottom w:val="0"/>
      <w:divBdr>
        <w:top w:val="none" w:sz="0" w:space="0" w:color="auto"/>
        <w:left w:val="none" w:sz="0" w:space="0" w:color="auto"/>
        <w:bottom w:val="none" w:sz="0" w:space="0" w:color="auto"/>
        <w:right w:val="none" w:sz="0" w:space="0" w:color="auto"/>
      </w:divBdr>
    </w:div>
    <w:div w:id="1350449006">
      <w:bodyDiv w:val="1"/>
      <w:marLeft w:val="0"/>
      <w:marRight w:val="0"/>
      <w:marTop w:val="0"/>
      <w:marBottom w:val="0"/>
      <w:divBdr>
        <w:top w:val="none" w:sz="0" w:space="0" w:color="auto"/>
        <w:left w:val="none" w:sz="0" w:space="0" w:color="auto"/>
        <w:bottom w:val="none" w:sz="0" w:space="0" w:color="auto"/>
        <w:right w:val="none" w:sz="0" w:space="0" w:color="auto"/>
      </w:divBdr>
    </w:div>
    <w:div w:id="1430420128">
      <w:bodyDiv w:val="1"/>
      <w:marLeft w:val="0"/>
      <w:marRight w:val="0"/>
      <w:marTop w:val="0"/>
      <w:marBottom w:val="0"/>
      <w:divBdr>
        <w:top w:val="none" w:sz="0" w:space="0" w:color="auto"/>
        <w:left w:val="none" w:sz="0" w:space="0" w:color="auto"/>
        <w:bottom w:val="none" w:sz="0" w:space="0" w:color="auto"/>
        <w:right w:val="none" w:sz="0" w:space="0" w:color="auto"/>
      </w:divBdr>
    </w:div>
    <w:div w:id="1580406500">
      <w:bodyDiv w:val="1"/>
      <w:marLeft w:val="0"/>
      <w:marRight w:val="0"/>
      <w:marTop w:val="0"/>
      <w:marBottom w:val="0"/>
      <w:divBdr>
        <w:top w:val="none" w:sz="0" w:space="0" w:color="auto"/>
        <w:left w:val="none" w:sz="0" w:space="0" w:color="auto"/>
        <w:bottom w:val="none" w:sz="0" w:space="0" w:color="auto"/>
        <w:right w:val="none" w:sz="0" w:space="0" w:color="auto"/>
      </w:divBdr>
    </w:div>
    <w:div w:id="1588616448">
      <w:bodyDiv w:val="1"/>
      <w:marLeft w:val="0"/>
      <w:marRight w:val="0"/>
      <w:marTop w:val="0"/>
      <w:marBottom w:val="0"/>
      <w:divBdr>
        <w:top w:val="none" w:sz="0" w:space="0" w:color="auto"/>
        <w:left w:val="none" w:sz="0" w:space="0" w:color="auto"/>
        <w:bottom w:val="none" w:sz="0" w:space="0" w:color="auto"/>
        <w:right w:val="none" w:sz="0" w:space="0" w:color="auto"/>
      </w:divBdr>
    </w:div>
    <w:div w:id="1677492163">
      <w:bodyDiv w:val="1"/>
      <w:marLeft w:val="0"/>
      <w:marRight w:val="0"/>
      <w:marTop w:val="0"/>
      <w:marBottom w:val="0"/>
      <w:divBdr>
        <w:top w:val="none" w:sz="0" w:space="0" w:color="auto"/>
        <w:left w:val="none" w:sz="0" w:space="0" w:color="auto"/>
        <w:bottom w:val="none" w:sz="0" w:space="0" w:color="auto"/>
        <w:right w:val="none" w:sz="0" w:space="0" w:color="auto"/>
      </w:divBdr>
    </w:div>
    <w:div w:id="1785925287">
      <w:bodyDiv w:val="1"/>
      <w:marLeft w:val="0"/>
      <w:marRight w:val="0"/>
      <w:marTop w:val="0"/>
      <w:marBottom w:val="0"/>
      <w:divBdr>
        <w:top w:val="none" w:sz="0" w:space="0" w:color="auto"/>
        <w:left w:val="none" w:sz="0" w:space="0" w:color="auto"/>
        <w:bottom w:val="none" w:sz="0" w:space="0" w:color="auto"/>
        <w:right w:val="none" w:sz="0" w:space="0" w:color="auto"/>
      </w:divBdr>
    </w:div>
    <w:div w:id="1891108471">
      <w:bodyDiv w:val="1"/>
      <w:marLeft w:val="0"/>
      <w:marRight w:val="0"/>
      <w:marTop w:val="0"/>
      <w:marBottom w:val="0"/>
      <w:divBdr>
        <w:top w:val="none" w:sz="0" w:space="0" w:color="auto"/>
        <w:left w:val="none" w:sz="0" w:space="0" w:color="auto"/>
        <w:bottom w:val="none" w:sz="0" w:space="0" w:color="auto"/>
        <w:right w:val="none" w:sz="0" w:space="0" w:color="auto"/>
      </w:divBdr>
    </w:div>
    <w:div w:id="1949696790">
      <w:bodyDiv w:val="1"/>
      <w:marLeft w:val="0"/>
      <w:marRight w:val="0"/>
      <w:marTop w:val="0"/>
      <w:marBottom w:val="0"/>
      <w:divBdr>
        <w:top w:val="none" w:sz="0" w:space="0" w:color="auto"/>
        <w:left w:val="none" w:sz="0" w:space="0" w:color="auto"/>
        <w:bottom w:val="none" w:sz="0" w:space="0" w:color="auto"/>
        <w:right w:val="none" w:sz="0" w:space="0" w:color="auto"/>
      </w:divBdr>
    </w:div>
    <w:div w:id="2024940436">
      <w:bodyDiv w:val="1"/>
      <w:marLeft w:val="0"/>
      <w:marRight w:val="0"/>
      <w:marTop w:val="0"/>
      <w:marBottom w:val="0"/>
      <w:divBdr>
        <w:top w:val="none" w:sz="0" w:space="0" w:color="auto"/>
        <w:left w:val="none" w:sz="0" w:space="0" w:color="auto"/>
        <w:bottom w:val="none" w:sz="0" w:space="0" w:color="auto"/>
        <w:right w:val="none" w:sz="0" w:space="0" w:color="auto"/>
      </w:divBdr>
    </w:div>
    <w:div w:id="2053143510">
      <w:bodyDiv w:val="1"/>
      <w:marLeft w:val="0"/>
      <w:marRight w:val="0"/>
      <w:marTop w:val="0"/>
      <w:marBottom w:val="0"/>
      <w:divBdr>
        <w:top w:val="none" w:sz="0" w:space="0" w:color="auto"/>
        <w:left w:val="none" w:sz="0" w:space="0" w:color="auto"/>
        <w:bottom w:val="none" w:sz="0" w:space="0" w:color="auto"/>
        <w:right w:val="none" w:sz="0" w:space="0" w:color="auto"/>
      </w:divBdr>
    </w:div>
    <w:div w:id="20819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ansport.tas.gov.au/fees_forms/operator_for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tsbs@stategrowth.tas.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tas.gov.au/view/html/inforce/current/sr-2008-111" TargetMode="External"/><Relationship Id="rId5" Type="http://schemas.openxmlformats.org/officeDocument/2006/relationships/webSettings" Target="webSettings.xml"/><Relationship Id="rId15" Type="http://schemas.openxmlformats.org/officeDocument/2006/relationships/hyperlink" Target="mailto:operator.accreditation@stategrowth.tas.gov.au" TargetMode="External"/><Relationship Id="rId10" Type="http://schemas.openxmlformats.org/officeDocument/2006/relationships/hyperlink" Target="mailto:taxireview@stategrowth.tas.gov.au" TargetMode="External"/><Relationship Id="rId4" Type="http://schemas.openxmlformats.org/officeDocument/2006/relationships/settings" Target="settings.xml"/><Relationship Id="rId9" Type="http://schemas.openxmlformats.org/officeDocument/2006/relationships/hyperlink" Target="https://www.transport.tas.gov.au/passenger/operators/authorised_taxi_security_camera_systems_agents" TargetMode="External"/><Relationship Id="rId14" Type="http://schemas.openxmlformats.org/officeDocument/2006/relationships/hyperlink" Target="mailto:transport.safety@stategrowth.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65B12-1C84-4254-9CD3-0D570724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Anne-Maree</dc:creator>
  <cp:keywords/>
  <dc:description/>
  <cp:lastModifiedBy>Moate, Babette</cp:lastModifiedBy>
  <cp:revision>26</cp:revision>
  <cp:lastPrinted>2017-09-25T01:43:00Z</cp:lastPrinted>
  <dcterms:created xsi:type="dcterms:W3CDTF">2018-07-23T05:52:00Z</dcterms:created>
  <dcterms:modified xsi:type="dcterms:W3CDTF">2018-08-23T03:55:00Z</dcterms:modified>
</cp:coreProperties>
</file>