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2468B" w14:textId="5C54D651" w:rsidR="00A64ECD" w:rsidRDefault="00E16E16" w:rsidP="00565838">
      <w:pPr>
        <w:tabs>
          <w:tab w:val="right" w:pos="10348"/>
        </w:tabs>
        <w:rPr>
          <w:rFonts w:ascii="Gill Sans MT" w:eastAsia="Times New Roman" w:hAnsi="Gill Sans MT" w:cs="Arial"/>
          <w:noProof/>
          <w:color w:val="000000"/>
          <w:lang w:eastAsia="en-AU"/>
        </w:rPr>
      </w:pPr>
      <w:r w:rsidRPr="0070709F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0839A2F" wp14:editId="30350B2A">
            <wp:simplePos x="0" y="0"/>
            <wp:positionH relativeFrom="page">
              <wp:posOffset>27305</wp:posOffset>
            </wp:positionH>
            <wp:positionV relativeFrom="paragraph">
              <wp:posOffset>-980391</wp:posOffset>
            </wp:positionV>
            <wp:extent cx="7539355" cy="108267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image taxi newslet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82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838">
        <w:rPr>
          <w:rFonts w:ascii="Gill Sans MT" w:eastAsia="Times New Roman" w:hAnsi="Gill Sans MT" w:cs="Arial"/>
          <w:noProof/>
          <w:color w:val="000000"/>
          <w:lang w:eastAsia="en-AU"/>
        </w:rPr>
        <w:tab/>
      </w:r>
    </w:p>
    <w:p w14:paraId="32F92B2C" w14:textId="77777777" w:rsidR="00EB4E27" w:rsidRDefault="00EB4E27" w:rsidP="00954531"/>
    <w:p w14:paraId="1BFA0763" w14:textId="77777777" w:rsidR="00EB4E27" w:rsidRDefault="00EB4E27" w:rsidP="00954531"/>
    <w:p w14:paraId="61FA109E" w14:textId="77777777" w:rsidR="00EB4E27" w:rsidRDefault="00EB4E27" w:rsidP="00954531"/>
    <w:p w14:paraId="515C6B51" w14:textId="77777777" w:rsidR="00EB4E27" w:rsidRDefault="00EB4E27" w:rsidP="00954531"/>
    <w:p w14:paraId="618DEE2C" w14:textId="77777777" w:rsidR="00EB4E27" w:rsidRDefault="00EB4E27" w:rsidP="00954531"/>
    <w:p w14:paraId="1CF6EF78" w14:textId="77777777" w:rsidR="00EB4E27" w:rsidRDefault="00EB4E27" w:rsidP="00954531"/>
    <w:p w14:paraId="75B36018" w14:textId="3DAED291" w:rsidR="00051111" w:rsidRPr="00F76D26" w:rsidRDefault="00565838" w:rsidP="009B7673">
      <w:pPr>
        <w:spacing w:after="0"/>
        <w:rPr>
          <w:sz w:val="24"/>
          <w:szCs w:val="24"/>
        </w:rPr>
      </w:pPr>
      <w:r w:rsidRPr="00F76D26">
        <w:rPr>
          <w:sz w:val="24"/>
          <w:szCs w:val="24"/>
        </w:rPr>
        <w:t>December 2019</w:t>
      </w:r>
    </w:p>
    <w:p w14:paraId="1F5525A2" w14:textId="0B2839B4" w:rsidR="00C6477C" w:rsidRDefault="00DA1C56" w:rsidP="00F24A85">
      <w:pPr>
        <w:spacing w:before="200" w:after="120"/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</w:pPr>
      <w:r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>Taxi and Hire Vehicle Industries Review</w:t>
      </w:r>
    </w:p>
    <w:p w14:paraId="20918B53" w14:textId="565C0C5D" w:rsidR="00C6477C" w:rsidRDefault="00C6477C" w:rsidP="00FE64DF">
      <w:pPr>
        <w:spacing w:after="120"/>
      </w:pPr>
      <w:r w:rsidRPr="00F76D26">
        <w:t>The Tasmanian Government has released</w:t>
      </w:r>
      <w:r w:rsidR="00565838" w:rsidRPr="00F76D26">
        <w:t xml:space="preserve"> a draft Bill to</w:t>
      </w:r>
      <w:r w:rsidR="00565838">
        <w:t xml:space="preserve"> give effect to</w:t>
      </w:r>
      <w:r w:rsidR="00F76D26">
        <w:t xml:space="preserve"> a new framework for </w:t>
      </w:r>
      <w:r w:rsidRPr="00565838">
        <w:t xml:space="preserve">changes to the on-demand passenger transport sector. </w:t>
      </w:r>
    </w:p>
    <w:p w14:paraId="0A9AAFF8" w14:textId="77777777" w:rsidR="00C6477C" w:rsidRDefault="00C6477C" w:rsidP="00C6477C">
      <w:pPr>
        <w:spacing w:after="120"/>
        <w:rPr>
          <w:rFonts w:ascii="Calibri" w:hAnsi="Calibri"/>
        </w:rPr>
      </w:pPr>
      <w:r>
        <w:t xml:space="preserve">The framework takes into account the feedback received during the consultation period in late 2018. </w:t>
      </w:r>
    </w:p>
    <w:p w14:paraId="6B5D7523" w14:textId="1B3F2110" w:rsidR="00C6477C" w:rsidRDefault="00C6477C" w:rsidP="00C6477C">
      <w:pPr>
        <w:spacing w:after="120"/>
      </w:pPr>
      <w:r>
        <w:t>While there was overwhelming support by the taxi industry for Option 2 in relation to the issue of new owner-operator taxi licences</w:t>
      </w:r>
      <w:r w:rsidR="00FE64DF">
        <w:t xml:space="preserve"> (OOTLs)</w:t>
      </w:r>
      <w:r>
        <w:t xml:space="preserve">, there were some concerns about reducing the taxi areas at year three. </w:t>
      </w:r>
      <w:r w:rsidR="00F76D26">
        <w:t xml:space="preserve"> </w:t>
      </w:r>
      <w:r>
        <w:t>Because of this</w:t>
      </w:r>
      <w:r w:rsidR="00F24A85">
        <w:t>,</w:t>
      </w:r>
      <w:r>
        <w:t xml:space="preserve"> the Government has amended Option 2 to include the following features </w:t>
      </w:r>
    </w:p>
    <w:p w14:paraId="7B63BAD2" w14:textId="77777777" w:rsidR="00C6477C" w:rsidRDefault="00C6477C" w:rsidP="00C6477C">
      <w:pPr>
        <w:numPr>
          <w:ilvl w:val="0"/>
          <w:numId w:val="11"/>
        </w:numPr>
        <w:spacing w:before="40" w:after="120" w:line="240" w:lineRule="auto"/>
        <w:rPr>
          <w:rFonts w:eastAsia="Times New Roman"/>
        </w:rPr>
      </w:pPr>
      <w:r>
        <w:rPr>
          <w:rFonts w:eastAsia="Times New Roman"/>
        </w:rPr>
        <w:t>suspend the issue of new owner-operator taxi licences for five years</w:t>
      </w:r>
    </w:p>
    <w:p w14:paraId="3C02F4EA" w14:textId="1F80717C" w:rsidR="00C6477C" w:rsidRDefault="00C6477C" w:rsidP="00C6477C">
      <w:pPr>
        <w:numPr>
          <w:ilvl w:val="0"/>
          <w:numId w:val="11"/>
        </w:numPr>
        <w:spacing w:before="40" w:after="120" w:line="240" w:lineRule="auto"/>
        <w:rPr>
          <w:rFonts w:eastAsia="Times New Roman"/>
        </w:rPr>
      </w:pPr>
      <w:r>
        <w:rPr>
          <w:rFonts w:eastAsia="Times New Roman"/>
        </w:rPr>
        <w:t xml:space="preserve">make sure there are enough taxis in areas with no </w:t>
      </w:r>
      <w:r w:rsidR="00565838">
        <w:rPr>
          <w:rFonts w:eastAsia="Times New Roman"/>
        </w:rPr>
        <w:t xml:space="preserve">ride-sourcing or too few taxis </w:t>
      </w:r>
      <w:r>
        <w:rPr>
          <w:rFonts w:eastAsia="Times New Roman"/>
        </w:rPr>
        <w:t>and</w:t>
      </w:r>
    </w:p>
    <w:p w14:paraId="587A7AC4" w14:textId="77777777" w:rsidR="00C6477C" w:rsidRDefault="00C6477C" w:rsidP="00C6477C">
      <w:pPr>
        <w:numPr>
          <w:ilvl w:val="0"/>
          <w:numId w:val="11"/>
        </w:numPr>
        <w:spacing w:before="40" w:after="120" w:line="240" w:lineRule="auto"/>
        <w:rPr>
          <w:rFonts w:eastAsia="Times New Roman"/>
        </w:rPr>
      </w:pPr>
      <w:r>
        <w:rPr>
          <w:rFonts w:eastAsia="Times New Roman"/>
        </w:rPr>
        <w:t>no change to the number of taxi areas.</w:t>
      </w:r>
    </w:p>
    <w:p w14:paraId="6DC48F29" w14:textId="77777777" w:rsidR="00C6477C" w:rsidRDefault="00C6477C" w:rsidP="00C6477C">
      <w:pPr>
        <w:spacing w:after="120"/>
      </w:pPr>
      <w:r>
        <w:t>The Government has also decided that the Economic Regulator will be responsible for determining the reserve price of new owner-operator taxi licences. However, for years 1-5 the value can be no less than 90 per cent of the previous year.  </w:t>
      </w:r>
    </w:p>
    <w:p w14:paraId="28B50F8F" w14:textId="77777777" w:rsidR="00C6477C" w:rsidRDefault="00C6477C" w:rsidP="00C6477C">
      <w:pPr>
        <w:spacing w:after="120"/>
      </w:pPr>
      <w:r>
        <w:t xml:space="preserve">Further information, including a copy of the draft Bill, is available on the State Growth website: </w:t>
      </w:r>
      <w:hyperlink r:id="rId9" w:history="1">
        <w:r>
          <w:rPr>
            <w:rStyle w:val="Hyperlink"/>
          </w:rPr>
          <w:t>www.stategrowth.tas.gov.au/taxireview</w:t>
        </w:r>
      </w:hyperlink>
    </w:p>
    <w:p w14:paraId="45229792" w14:textId="77777777" w:rsidR="00C6477C" w:rsidRDefault="00C6477C" w:rsidP="00C6477C">
      <w:pPr>
        <w:spacing w:after="120"/>
      </w:pPr>
      <w:r>
        <w:t xml:space="preserve">You are invited to provide feedback on the draft Bill. Submissions must be received by 21 February 2020 and made in writing to </w:t>
      </w:r>
      <w:hyperlink r:id="rId10" w:history="1">
        <w:r>
          <w:rPr>
            <w:rStyle w:val="Hyperlink"/>
          </w:rPr>
          <w:t>taxireview@stategrowth.tas.gov.au</w:t>
        </w:r>
      </w:hyperlink>
      <w:r>
        <w:t xml:space="preserve"> or mailed to:</w:t>
      </w:r>
    </w:p>
    <w:p w14:paraId="5B1DA5D6" w14:textId="77777777" w:rsidR="00C6477C" w:rsidRDefault="00C6477C" w:rsidP="00DC397F">
      <w:pPr>
        <w:spacing w:after="0"/>
        <w:ind w:left="567"/>
      </w:pPr>
      <w:r>
        <w:t>Commissioner for Transport</w:t>
      </w:r>
    </w:p>
    <w:p w14:paraId="1B6FEEDE" w14:textId="77777777" w:rsidR="00C6477C" w:rsidRDefault="00C6477C" w:rsidP="00DC397F">
      <w:pPr>
        <w:spacing w:after="0"/>
        <w:ind w:left="567"/>
      </w:pPr>
      <w:r>
        <w:t>GPO Box 536</w:t>
      </w:r>
    </w:p>
    <w:p w14:paraId="3FBB1B05" w14:textId="080863A4" w:rsidR="00565838" w:rsidRDefault="00565838" w:rsidP="00DC397F">
      <w:pPr>
        <w:spacing w:after="0"/>
        <w:ind w:left="567"/>
      </w:pPr>
      <w:r>
        <w:t>Hobart   TAS   7001</w:t>
      </w:r>
    </w:p>
    <w:p w14:paraId="3DE6566D" w14:textId="77777777" w:rsidR="00C6477C" w:rsidRDefault="00C6477C" w:rsidP="00C6477C">
      <w:pPr>
        <w:spacing w:before="200" w:after="0"/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</w:pPr>
      <w:r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>Extension of ride-sourcing exemption</w:t>
      </w:r>
    </w:p>
    <w:p w14:paraId="488E6A11" w14:textId="3E45F021" w:rsidR="00C6477C" w:rsidRDefault="00C6477C" w:rsidP="00C6477C">
      <w:pPr>
        <w:spacing w:before="200" w:after="120"/>
      </w:pPr>
      <w:r>
        <w:t>The current exemption which allows for the lawful operation of ride-sourcing in Tasmania will expire on 31</w:t>
      </w:r>
      <w:r w:rsidR="00D73455">
        <w:t> </w:t>
      </w:r>
      <w:r>
        <w:t xml:space="preserve">December 2019. </w:t>
      </w:r>
    </w:p>
    <w:p w14:paraId="1A87D92E" w14:textId="2515114F" w:rsidR="00C6477C" w:rsidRDefault="00C6477C" w:rsidP="00C6477C">
      <w:pPr>
        <w:spacing w:before="200" w:after="120"/>
      </w:pPr>
      <w:r w:rsidRPr="00F76D26">
        <w:t xml:space="preserve">Due to delays </w:t>
      </w:r>
      <w:r w:rsidR="00F76D26" w:rsidRPr="00F76D26">
        <w:t>in implementing a new</w:t>
      </w:r>
      <w:r w:rsidRPr="00F76D26">
        <w:t xml:space="preserve"> framework for the on-demand passenger transport sector</w:t>
      </w:r>
      <w:r w:rsidRPr="00565838">
        <w:rPr>
          <w:b/>
        </w:rPr>
        <w:t>,</w:t>
      </w:r>
      <w:r>
        <w:t xml:space="preserve"> the Transport Commission has approved an exemption notice for the period 1 January 2020 to 31 December 2021.</w:t>
      </w:r>
    </w:p>
    <w:p w14:paraId="68A38CBB" w14:textId="168A8387" w:rsidR="00C6477C" w:rsidRDefault="00565838" w:rsidP="00C6477C">
      <w:pPr>
        <w:spacing w:before="200" w:after="120"/>
      </w:pPr>
      <w:r>
        <w:t>There</w:t>
      </w:r>
      <w:r w:rsidR="00C6477C">
        <w:t xml:space="preserve"> will be no changes to how ride-sourcing operates in Tasmania. </w:t>
      </w:r>
    </w:p>
    <w:p w14:paraId="655AC5A9" w14:textId="77777777" w:rsidR="00C6477C" w:rsidRDefault="00C6477C" w:rsidP="00C6477C">
      <w:pPr>
        <w:spacing w:before="200" w:after="120"/>
      </w:pPr>
      <w:r>
        <w:lastRenderedPageBreak/>
        <w:t xml:space="preserve">The extension will extend the current arrangements for ride-sourcing, and ensure regulatory certainty for ride-sourcing while a final framework for the on-demand passenger transport sector is legislated. </w:t>
      </w:r>
    </w:p>
    <w:p w14:paraId="498DD14A" w14:textId="60A2ED61" w:rsidR="00F76D26" w:rsidRDefault="00C6477C" w:rsidP="00F76D26">
      <w:pPr>
        <w:spacing w:before="200" w:after="120"/>
      </w:pPr>
      <w:r>
        <w:t>Should the new legislation be in place prior to 31 December 2021, the exemption will be withdrawn at that earlier date.</w:t>
      </w:r>
    </w:p>
    <w:p w14:paraId="286CEB82" w14:textId="5590A9DE" w:rsidR="00C37D6F" w:rsidRDefault="00C37D6F" w:rsidP="00F76D26">
      <w:pPr>
        <w:spacing w:before="200" w:after="120"/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</w:pPr>
      <w:r w:rsidRPr="00F76D26"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>Release</w:t>
      </w:r>
      <w:r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 xml:space="preserve"> of </w:t>
      </w:r>
      <w:r w:rsidR="00251B54"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 xml:space="preserve">unsold </w:t>
      </w:r>
      <w:r w:rsidR="007E7C57"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>o</w:t>
      </w:r>
      <w:r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>wner-</w:t>
      </w:r>
      <w:r w:rsidR="007E7C57"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>o</w:t>
      </w:r>
      <w:r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>perator</w:t>
      </w:r>
      <w:r w:rsidR="007E7C57"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 xml:space="preserve"> taxi l</w:t>
      </w:r>
      <w:r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>icences</w:t>
      </w:r>
      <w:r w:rsidR="00791579"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 xml:space="preserve"> </w:t>
      </w:r>
      <w:r w:rsidR="007E7C57"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>from 2019 tender</w:t>
      </w:r>
    </w:p>
    <w:p w14:paraId="6F1D14A4" w14:textId="29D182E4" w:rsidR="00221478" w:rsidRDefault="00221478" w:rsidP="00E16E16">
      <w:pPr>
        <w:spacing w:after="120"/>
      </w:pPr>
      <w:r>
        <w:t>O</w:t>
      </w:r>
      <w:r w:rsidR="00D73455">
        <w:t xml:space="preserve">wner </w:t>
      </w:r>
      <w:r>
        <w:t>O</w:t>
      </w:r>
      <w:r w:rsidR="00D73455">
        <w:t xml:space="preserve">perator </w:t>
      </w:r>
      <w:r>
        <w:t>T</w:t>
      </w:r>
      <w:r w:rsidR="00D73455">
        <w:t xml:space="preserve">ax </w:t>
      </w:r>
      <w:r>
        <w:t>L</w:t>
      </w:r>
      <w:r w:rsidR="00D73455">
        <w:t>icences (OOTL) not sold in the 2019 tender</w:t>
      </w:r>
      <w:r>
        <w:t xml:space="preserve"> </w:t>
      </w:r>
      <w:r w:rsidR="00D73455">
        <w:t xml:space="preserve">process </w:t>
      </w:r>
      <w:r>
        <w:t>will be available for sale in each Tasmanian taxi area early in 2020</w:t>
      </w:r>
      <w:r w:rsidR="008520B0">
        <w:t>.</w:t>
      </w:r>
    </w:p>
    <w:p w14:paraId="23A32033" w14:textId="53B1C19A" w:rsidR="00251B54" w:rsidRDefault="00221478" w:rsidP="00221478">
      <w:pPr>
        <w:spacing w:after="120"/>
      </w:pPr>
      <w:r>
        <w:t>The OOTLs are available for sale at the f</w:t>
      </w:r>
      <w:r w:rsidR="00FE64DF">
        <w:t>ollowing non-negotiable</w:t>
      </w:r>
      <w:r w:rsidR="00D73455">
        <w:t xml:space="preserve"> reserve</w:t>
      </w:r>
      <w:r w:rsidR="00FE64DF">
        <w:t xml:space="preserve"> prices:</w:t>
      </w:r>
    </w:p>
    <w:p w14:paraId="546136BF" w14:textId="77777777" w:rsidR="007E7C57" w:rsidRDefault="007E7C57" w:rsidP="00E16E16">
      <w:pPr>
        <w:spacing w:after="120"/>
      </w:pPr>
    </w:p>
    <w:p w14:paraId="44170B8F" w14:textId="77777777" w:rsidR="00251B54" w:rsidRDefault="00251B54" w:rsidP="00E16E16">
      <w:pPr>
        <w:spacing w:after="120"/>
        <w:sectPr w:rsidR="00251B54" w:rsidSect="00595EC5">
          <w:pgSz w:w="11906" w:h="16838"/>
          <w:pgMar w:top="1418" w:right="707" w:bottom="1440" w:left="851" w:header="708" w:footer="708" w:gutter="0"/>
          <w:cols w:space="708"/>
          <w:docGrid w:linePitch="360"/>
        </w:sectPr>
      </w:pPr>
    </w:p>
    <w:tbl>
      <w:tblPr>
        <w:tblStyle w:val="TableGridLight"/>
        <w:tblW w:w="4962" w:type="dxa"/>
        <w:tblInd w:w="-5" w:type="dxa"/>
        <w:tblLook w:val="04A0" w:firstRow="1" w:lastRow="0" w:firstColumn="1" w:lastColumn="0" w:noHBand="0" w:noVBand="1"/>
      </w:tblPr>
      <w:tblGrid>
        <w:gridCol w:w="1460"/>
        <w:gridCol w:w="1751"/>
        <w:gridCol w:w="1751"/>
      </w:tblGrid>
      <w:tr w:rsidR="000A02E3" w:rsidRPr="00AA7A17" w14:paraId="2059E227" w14:textId="5409327D" w:rsidTr="00FE64DF">
        <w:trPr>
          <w:trHeight w:val="570"/>
        </w:trPr>
        <w:tc>
          <w:tcPr>
            <w:tcW w:w="1418" w:type="dxa"/>
          </w:tcPr>
          <w:p w14:paraId="77F52090" w14:textId="57904BB3" w:rsidR="000A02E3" w:rsidRPr="005A04AD" w:rsidRDefault="000A02E3" w:rsidP="000A02E3">
            <w:pPr>
              <w:jc w:val="center"/>
              <w:rPr>
                <w:rStyle w:val="Hyperlink"/>
                <w:sz w:val="18"/>
                <w:szCs w:val="18"/>
                <w:u w:val="none"/>
              </w:rPr>
            </w:pPr>
            <w:r w:rsidRPr="005A04AD">
              <w:rPr>
                <w:rStyle w:val="Hyperlink"/>
                <w:sz w:val="18"/>
                <w:szCs w:val="18"/>
                <w:u w:val="none"/>
              </w:rPr>
              <w:br w:type="page"/>
              <w:t>Taxi area</w:t>
            </w:r>
          </w:p>
        </w:tc>
        <w:tc>
          <w:tcPr>
            <w:tcW w:w="1701" w:type="dxa"/>
          </w:tcPr>
          <w:p w14:paraId="03C1EC4C" w14:textId="0F02EBC0" w:rsidR="000A02E3" w:rsidRPr="005A04AD" w:rsidRDefault="000A02E3" w:rsidP="00FE64DF">
            <w:pPr>
              <w:ind w:left="113"/>
              <w:jc w:val="center"/>
              <w:rPr>
                <w:rStyle w:val="Hyperlink"/>
                <w:sz w:val="18"/>
                <w:szCs w:val="18"/>
                <w:u w:val="none"/>
              </w:rPr>
            </w:pPr>
            <w:r w:rsidRPr="005A04AD">
              <w:rPr>
                <w:rStyle w:val="Hyperlink"/>
                <w:sz w:val="18"/>
                <w:szCs w:val="18"/>
                <w:u w:val="none"/>
              </w:rPr>
              <w:t xml:space="preserve">Number of OOTLs </w:t>
            </w:r>
            <w:r w:rsidR="007E7C57">
              <w:rPr>
                <w:rStyle w:val="Hyperlink"/>
                <w:sz w:val="18"/>
                <w:szCs w:val="18"/>
                <w:u w:val="none"/>
              </w:rPr>
              <w:t>available</w:t>
            </w:r>
          </w:p>
        </w:tc>
        <w:tc>
          <w:tcPr>
            <w:tcW w:w="1701" w:type="dxa"/>
          </w:tcPr>
          <w:p w14:paraId="11EF31E5" w14:textId="6E01A08A" w:rsidR="000A02E3" w:rsidRPr="005A04AD" w:rsidRDefault="00251B54" w:rsidP="000A02E3">
            <w:pPr>
              <w:jc w:val="center"/>
              <w:rPr>
                <w:rStyle w:val="Hyperlink"/>
                <w:sz w:val="18"/>
                <w:szCs w:val="18"/>
                <w:u w:val="none"/>
              </w:rPr>
            </w:pPr>
            <w:r>
              <w:rPr>
                <w:rStyle w:val="Hyperlink"/>
                <w:sz w:val="18"/>
                <w:szCs w:val="18"/>
                <w:u w:val="none"/>
              </w:rPr>
              <w:t>Reserve</w:t>
            </w:r>
            <w:r w:rsidR="000A02E3" w:rsidRPr="005A04AD">
              <w:rPr>
                <w:rStyle w:val="Hyperlink"/>
                <w:sz w:val="18"/>
                <w:szCs w:val="18"/>
                <w:u w:val="none"/>
              </w:rPr>
              <w:t xml:space="preserve"> Price</w:t>
            </w:r>
          </w:p>
        </w:tc>
      </w:tr>
      <w:tr w:rsidR="000A02E3" w:rsidRPr="00AA7A17" w14:paraId="469F9413" w14:textId="44FBD210" w:rsidTr="00FE64DF">
        <w:tc>
          <w:tcPr>
            <w:tcW w:w="1418" w:type="dxa"/>
          </w:tcPr>
          <w:p w14:paraId="721D5D7B" w14:textId="77777777" w:rsidR="000A02E3" w:rsidRPr="00AA7A17" w:rsidRDefault="000A02E3" w:rsidP="000A02E3">
            <w:pPr>
              <w:pStyle w:val="ListParagraph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AA7A17">
              <w:rPr>
                <w:rFonts w:cs="Arial"/>
                <w:sz w:val="18"/>
                <w:szCs w:val="18"/>
              </w:rPr>
              <w:t>Hobart</w:t>
            </w:r>
          </w:p>
        </w:tc>
        <w:tc>
          <w:tcPr>
            <w:tcW w:w="1701" w:type="dxa"/>
          </w:tcPr>
          <w:p w14:paraId="3740359B" w14:textId="112A2C9B" w:rsidR="000A02E3" w:rsidRDefault="000A02E3" w:rsidP="000A02E3">
            <w:pPr>
              <w:pStyle w:val="ListParagraph"/>
              <w:ind w:left="12" w:right="645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14:paraId="6B9823BA" w14:textId="4192C945" w:rsidR="000A02E3" w:rsidRPr="00AA7A17" w:rsidRDefault="000A02E3" w:rsidP="000A02E3">
            <w:pPr>
              <w:pStyle w:val="ListParagraph"/>
              <w:tabs>
                <w:tab w:val="decimal" w:pos="1123"/>
              </w:tabs>
              <w:ind w:left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$60,000</w:t>
            </w:r>
          </w:p>
        </w:tc>
      </w:tr>
      <w:tr w:rsidR="000A02E3" w:rsidRPr="00AA7A17" w14:paraId="69D30035" w14:textId="73E5A7AF" w:rsidTr="00FE64DF">
        <w:tc>
          <w:tcPr>
            <w:tcW w:w="1418" w:type="dxa"/>
          </w:tcPr>
          <w:p w14:paraId="73008054" w14:textId="77777777" w:rsidR="000A02E3" w:rsidRPr="00AA7A17" w:rsidRDefault="000A02E3" w:rsidP="000A02E3">
            <w:pPr>
              <w:pStyle w:val="ListParagraph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AA7A17">
              <w:rPr>
                <w:rFonts w:cs="Arial"/>
                <w:sz w:val="18"/>
                <w:szCs w:val="18"/>
              </w:rPr>
              <w:t>Launceston</w:t>
            </w:r>
          </w:p>
        </w:tc>
        <w:tc>
          <w:tcPr>
            <w:tcW w:w="1701" w:type="dxa"/>
          </w:tcPr>
          <w:p w14:paraId="26098078" w14:textId="19FDFB78" w:rsidR="000A02E3" w:rsidRDefault="000A02E3" w:rsidP="000A02E3">
            <w:pPr>
              <w:pStyle w:val="ListParagraph"/>
              <w:ind w:left="12" w:right="645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75481823" w14:textId="35555779" w:rsidR="000A02E3" w:rsidRPr="00AA7A17" w:rsidRDefault="000A02E3" w:rsidP="000A02E3">
            <w:pPr>
              <w:pStyle w:val="ListParagraph"/>
              <w:tabs>
                <w:tab w:val="decimal" w:pos="1123"/>
              </w:tabs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$35,000</w:t>
            </w:r>
          </w:p>
        </w:tc>
      </w:tr>
      <w:tr w:rsidR="000A02E3" w:rsidRPr="00AA7A17" w14:paraId="4721E939" w14:textId="6D1453B7" w:rsidTr="00FE64DF">
        <w:tc>
          <w:tcPr>
            <w:tcW w:w="1418" w:type="dxa"/>
          </w:tcPr>
          <w:p w14:paraId="5EBBD714" w14:textId="77777777" w:rsidR="000A02E3" w:rsidRPr="00AA7A17" w:rsidRDefault="000A02E3" w:rsidP="000A02E3">
            <w:pPr>
              <w:pStyle w:val="ListParagraph"/>
              <w:ind w:left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Devonport</w:t>
            </w:r>
          </w:p>
        </w:tc>
        <w:tc>
          <w:tcPr>
            <w:tcW w:w="1701" w:type="dxa"/>
          </w:tcPr>
          <w:p w14:paraId="67ED4BA0" w14:textId="3FA4F72C" w:rsidR="000A02E3" w:rsidRDefault="000A02E3" w:rsidP="000A02E3">
            <w:pPr>
              <w:pStyle w:val="ListParagraph"/>
              <w:ind w:left="12" w:right="645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673714B2" w14:textId="55924852" w:rsidR="000A02E3" w:rsidRDefault="000A02E3" w:rsidP="000A02E3">
            <w:pPr>
              <w:pStyle w:val="ListParagraph"/>
              <w:tabs>
                <w:tab w:val="decimal" w:pos="1123"/>
              </w:tabs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$23,000</w:t>
            </w:r>
          </w:p>
        </w:tc>
      </w:tr>
      <w:tr w:rsidR="000A02E3" w:rsidRPr="00AA7A17" w14:paraId="5C966B54" w14:textId="074389FD" w:rsidTr="00FE64DF">
        <w:tc>
          <w:tcPr>
            <w:tcW w:w="1418" w:type="dxa"/>
          </w:tcPr>
          <w:p w14:paraId="7AFD1382" w14:textId="77777777" w:rsidR="000A02E3" w:rsidRPr="00AA7A17" w:rsidRDefault="000A02E3" w:rsidP="000A02E3">
            <w:pPr>
              <w:pStyle w:val="ListParagraph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AA7A17">
              <w:rPr>
                <w:rFonts w:cs="Arial"/>
                <w:sz w:val="18"/>
                <w:szCs w:val="18"/>
              </w:rPr>
              <w:t>Burnie</w:t>
            </w:r>
          </w:p>
        </w:tc>
        <w:tc>
          <w:tcPr>
            <w:tcW w:w="1701" w:type="dxa"/>
          </w:tcPr>
          <w:p w14:paraId="3219CB49" w14:textId="36AB1EE3" w:rsidR="000A02E3" w:rsidRDefault="000A02E3" w:rsidP="000A02E3">
            <w:pPr>
              <w:pStyle w:val="ListParagraph"/>
              <w:ind w:left="12" w:right="645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59E26054" w14:textId="157B312A" w:rsidR="000A02E3" w:rsidRPr="00AA7A17" w:rsidRDefault="000A02E3" w:rsidP="000A02E3">
            <w:pPr>
              <w:pStyle w:val="ListParagraph"/>
              <w:tabs>
                <w:tab w:val="decimal" w:pos="1123"/>
              </w:tabs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$23,000</w:t>
            </w:r>
          </w:p>
        </w:tc>
      </w:tr>
      <w:tr w:rsidR="000A02E3" w:rsidRPr="00AA7A17" w14:paraId="3635AE60" w14:textId="489ECEA0" w:rsidTr="00FE64DF">
        <w:tc>
          <w:tcPr>
            <w:tcW w:w="1418" w:type="dxa"/>
            <w:vAlign w:val="center"/>
          </w:tcPr>
          <w:p w14:paraId="11A0562D" w14:textId="77777777" w:rsidR="000A02E3" w:rsidRPr="00AA7A17" w:rsidRDefault="000A02E3" w:rsidP="000A02E3">
            <w:pPr>
              <w:pStyle w:val="ListParagraph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412540">
              <w:rPr>
                <w:rFonts w:cs="Arial"/>
                <w:sz w:val="18"/>
                <w:szCs w:val="18"/>
              </w:rPr>
              <w:t>Ulverstone</w:t>
            </w:r>
          </w:p>
        </w:tc>
        <w:tc>
          <w:tcPr>
            <w:tcW w:w="1701" w:type="dxa"/>
          </w:tcPr>
          <w:p w14:paraId="4F1CD423" w14:textId="5DCCC461" w:rsidR="000A02E3" w:rsidRDefault="000A02E3" w:rsidP="000A02E3">
            <w:pPr>
              <w:pStyle w:val="ListParagraph"/>
              <w:ind w:left="12" w:right="645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4F16BBF6" w14:textId="22987DBF" w:rsidR="000A02E3" w:rsidRPr="00AA7A17" w:rsidRDefault="000A02E3" w:rsidP="000A02E3">
            <w:pPr>
              <w:pStyle w:val="ListParagraph"/>
              <w:tabs>
                <w:tab w:val="decimal" w:pos="1123"/>
              </w:tabs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$17,250</w:t>
            </w:r>
          </w:p>
        </w:tc>
      </w:tr>
      <w:tr w:rsidR="000A02E3" w:rsidRPr="00AA7A17" w14:paraId="304008BD" w14:textId="64CC8D57" w:rsidTr="00FE64DF">
        <w:tc>
          <w:tcPr>
            <w:tcW w:w="1418" w:type="dxa"/>
            <w:vAlign w:val="center"/>
          </w:tcPr>
          <w:p w14:paraId="446F62D4" w14:textId="77777777" w:rsidR="000A02E3" w:rsidRPr="00AA7A17" w:rsidRDefault="000A02E3" w:rsidP="000A02E3">
            <w:pPr>
              <w:pStyle w:val="ListParagraph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412540">
              <w:rPr>
                <w:rFonts w:cs="Arial"/>
                <w:sz w:val="18"/>
                <w:szCs w:val="18"/>
              </w:rPr>
              <w:t>George Town</w:t>
            </w:r>
          </w:p>
        </w:tc>
        <w:tc>
          <w:tcPr>
            <w:tcW w:w="1701" w:type="dxa"/>
          </w:tcPr>
          <w:p w14:paraId="36173AF8" w14:textId="139695E2" w:rsidR="000A02E3" w:rsidRDefault="000A02E3" w:rsidP="000A02E3">
            <w:pPr>
              <w:pStyle w:val="ListParagraph"/>
              <w:ind w:left="12" w:right="645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002F4393" w14:textId="2003350F" w:rsidR="000A02E3" w:rsidRPr="00AA7A17" w:rsidRDefault="000A02E3" w:rsidP="000A02E3">
            <w:pPr>
              <w:pStyle w:val="ListParagraph"/>
              <w:tabs>
                <w:tab w:val="decimal" w:pos="1123"/>
              </w:tabs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$12,500</w:t>
            </w:r>
          </w:p>
        </w:tc>
      </w:tr>
      <w:tr w:rsidR="000A02E3" w:rsidRPr="00AA7A17" w14:paraId="0DA20B6E" w14:textId="27B729E8" w:rsidTr="00FE64DF">
        <w:tc>
          <w:tcPr>
            <w:tcW w:w="1418" w:type="dxa"/>
            <w:vAlign w:val="center"/>
          </w:tcPr>
          <w:p w14:paraId="239C0631" w14:textId="77777777" w:rsidR="000A02E3" w:rsidRPr="00AA7A17" w:rsidRDefault="000A02E3" w:rsidP="000A02E3">
            <w:pPr>
              <w:pStyle w:val="ListParagraph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412540">
              <w:rPr>
                <w:rFonts w:cs="Arial"/>
                <w:sz w:val="18"/>
                <w:szCs w:val="18"/>
              </w:rPr>
              <w:t>Perth</w:t>
            </w:r>
          </w:p>
        </w:tc>
        <w:tc>
          <w:tcPr>
            <w:tcW w:w="1701" w:type="dxa"/>
          </w:tcPr>
          <w:p w14:paraId="4C102CAE" w14:textId="1300AE02" w:rsidR="000A02E3" w:rsidRDefault="000A02E3" w:rsidP="000A02E3">
            <w:pPr>
              <w:pStyle w:val="ListParagraph"/>
              <w:ind w:left="12" w:right="645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33A64B43" w14:textId="343E109D" w:rsidR="000A02E3" w:rsidRPr="00AA7A17" w:rsidRDefault="000A02E3" w:rsidP="000A02E3">
            <w:pPr>
              <w:pStyle w:val="ListParagraph"/>
              <w:tabs>
                <w:tab w:val="decimal" w:pos="1123"/>
              </w:tabs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$12,500</w:t>
            </w:r>
          </w:p>
        </w:tc>
      </w:tr>
      <w:tr w:rsidR="000A02E3" w:rsidRPr="00AA7A17" w14:paraId="573E8B38" w14:textId="083A183A" w:rsidTr="00FE64DF">
        <w:tc>
          <w:tcPr>
            <w:tcW w:w="1418" w:type="dxa"/>
            <w:vAlign w:val="center"/>
          </w:tcPr>
          <w:p w14:paraId="1C9D3662" w14:textId="77777777" w:rsidR="000A02E3" w:rsidRPr="00AA7A17" w:rsidRDefault="000A02E3" w:rsidP="000A02E3">
            <w:pPr>
              <w:pStyle w:val="ListParagraph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412540">
              <w:rPr>
                <w:rFonts w:cs="Arial"/>
                <w:sz w:val="18"/>
                <w:szCs w:val="18"/>
              </w:rPr>
              <w:t>West Tamar</w:t>
            </w:r>
          </w:p>
        </w:tc>
        <w:tc>
          <w:tcPr>
            <w:tcW w:w="1701" w:type="dxa"/>
          </w:tcPr>
          <w:p w14:paraId="3A5922DF" w14:textId="1C205154" w:rsidR="000A02E3" w:rsidRDefault="000A02E3" w:rsidP="000A02E3">
            <w:pPr>
              <w:pStyle w:val="ListParagraph"/>
              <w:ind w:left="12" w:right="645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563C02A6" w14:textId="238EDA4B" w:rsidR="000A02E3" w:rsidRPr="00AA7A17" w:rsidRDefault="000A02E3" w:rsidP="000A02E3">
            <w:pPr>
              <w:pStyle w:val="ListParagraph"/>
              <w:tabs>
                <w:tab w:val="decimal" w:pos="1123"/>
              </w:tabs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$12,500</w:t>
            </w:r>
          </w:p>
        </w:tc>
      </w:tr>
      <w:tr w:rsidR="000A02E3" w:rsidRPr="00AA7A17" w14:paraId="4371E6C6" w14:textId="60BD90E6" w:rsidTr="00FE64DF">
        <w:tc>
          <w:tcPr>
            <w:tcW w:w="1418" w:type="dxa"/>
            <w:vAlign w:val="center"/>
          </w:tcPr>
          <w:p w14:paraId="156FD949" w14:textId="77777777" w:rsidR="000A02E3" w:rsidRPr="00AA7A17" w:rsidRDefault="000A02E3" w:rsidP="000A02E3">
            <w:pPr>
              <w:pStyle w:val="ListParagraph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412540">
              <w:rPr>
                <w:rFonts w:cs="Arial"/>
                <w:sz w:val="18"/>
                <w:szCs w:val="18"/>
              </w:rPr>
              <w:t>Meander Valley</w:t>
            </w:r>
          </w:p>
        </w:tc>
        <w:tc>
          <w:tcPr>
            <w:tcW w:w="1701" w:type="dxa"/>
          </w:tcPr>
          <w:p w14:paraId="560738E8" w14:textId="1EDCCBC0" w:rsidR="000A02E3" w:rsidRDefault="000A02E3" w:rsidP="000A02E3">
            <w:pPr>
              <w:pStyle w:val="ListParagraph"/>
              <w:ind w:left="12" w:right="645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EEF753F" w14:textId="089BA4A0" w:rsidR="000A02E3" w:rsidRPr="00AA7A17" w:rsidRDefault="000A02E3" w:rsidP="000A02E3">
            <w:pPr>
              <w:pStyle w:val="ListParagraph"/>
              <w:tabs>
                <w:tab w:val="decimal" w:pos="1123"/>
              </w:tabs>
              <w:ind w:lef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$12,500</w:t>
            </w:r>
          </w:p>
        </w:tc>
      </w:tr>
      <w:tr w:rsidR="000A02E3" w:rsidRPr="00AA7A17" w14:paraId="577A9F6E" w14:textId="5D35A64C" w:rsidTr="00FE64DF">
        <w:tc>
          <w:tcPr>
            <w:tcW w:w="1418" w:type="dxa"/>
            <w:vAlign w:val="center"/>
          </w:tcPr>
          <w:p w14:paraId="03AF218F" w14:textId="77777777" w:rsidR="000A02E3" w:rsidRPr="00AA7A17" w:rsidRDefault="000A02E3" w:rsidP="000A02E3">
            <w:pPr>
              <w:pStyle w:val="ListParagraph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412540">
              <w:rPr>
                <w:rFonts w:cs="Arial"/>
                <w:sz w:val="18"/>
                <w:szCs w:val="18"/>
              </w:rPr>
              <w:t>Circular Head</w:t>
            </w:r>
          </w:p>
        </w:tc>
        <w:tc>
          <w:tcPr>
            <w:tcW w:w="1701" w:type="dxa"/>
          </w:tcPr>
          <w:p w14:paraId="38F3C579" w14:textId="17813C20" w:rsidR="000A02E3" w:rsidRDefault="000A02E3" w:rsidP="000A02E3">
            <w:pPr>
              <w:pStyle w:val="ListParagraph"/>
              <w:ind w:left="12" w:right="645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0A72671" w14:textId="6E1F119E" w:rsidR="000A02E3" w:rsidRPr="00AA7A17" w:rsidRDefault="000A02E3" w:rsidP="000A02E3">
            <w:pPr>
              <w:pStyle w:val="ListParagraph"/>
              <w:tabs>
                <w:tab w:val="decimal" w:pos="1123"/>
              </w:tabs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$11,250</w:t>
            </w:r>
          </w:p>
        </w:tc>
      </w:tr>
      <w:tr w:rsidR="000A02E3" w:rsidRPr="00AA7A17" w14:paraId="45A26F0F" w14:textId="31E69E18" w:rsidTr="00FE64DF">
        <w:tc>
          <w:tcPr>
            <w:tcW w:w="1418" w:type="dxa"/>
            <w:vAlign w:val="center"/>
          </w:tcPr>
          <w:p w14:paraId="16432BD6" w14:textId="77777777" w:rsidR="000A02E3" w:rsidRPr="00AA7A17" w:rsidRDefault="000A02E3" w:rsidP="000A02E3">
            <w:pPr>
              <w:pStyle w:val="ListParagraph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412540">
              <w:rPr>
                <w:rFonts w:cs="Arial"/>
                <w:sz w:val="18"/>
                <w:szCs w:val="18"/>
              </w:rPr>
              <w:t>Break O’Day</w:t>
            </w:r>
          </w:p>
        </w:tc>
        <w:tc>
          <w:tcPr>
            <w:tcW w:w="1701" w:type="dxa"/>
          </w:tcPr>
          <w:p w14:paraId="37071C7E" w14:textId="53EC5404" w:rsidR="000A02E3" w:rsidRDefault="000A02E3" w:rsidP="000A02E3">
            <w:pPr>
              <w:pStyle w:val="ListParagraph"/>
              <w:ind w:left="12" w:right="645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29F5614C" w14:textId="7AEB7C29" w:rsidR="000A02E3" w:rsidRPr="00AA7A17" w:rsidRDefault="000A02E3" w:rsidP="000A02E3">
            <w:pPr>
              <w:pStyle w:val="ListParagraph"/>
              <w:tabs>
                <w:tab w:val="decimal" w:pos="1123"/>
              </w:tabs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$10,800</w:t>
            </w:r>
          </w:p>
        </w:tc>
      </w:tr>
      <w:tr w:rsidR="000A02E3" w:rsidRPr="00AA7A17" w14:paraId="7D7CD906" w14:textId="3421733A" w:rsidTr="00FE64DF">
        <w:tc>
          <w:tcPr>
            <w:tcW w:w="1418" w:type="dxa"/>
            <w:vAlign w:val="center"/>
          </w:tcPr>
          <w:p w14:paraId="038B731C" w14:textId="77777777" w:rsidR="000A02E3" w:rsidRPr="00AA7A17" w:rsidRDefault="000A02E3" w:rsidP="000A02E3">
            <w:pPr>
              <w:pStyle w:val="ListParagraph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412540">
              <w:rPr>
                <w:rFonts w:cs="Arial"/>
                <w:sz w:val="18"/>
                <w:szCs w:val="18"/>
              </w:rPr>
              <w:t>New Norfolk</w:t>
            </w:r>
          </w:p>
        </w:tc>
        <w:tc>
          <w:tcPr>
            <w:tcW w:w="1701" w:type="dxa"/>
          </w:tcPr>
          <w:p w14:paraId="02BCCE93" w14:textId="2C6006BB" w:rsidR="000A02E3" w:rsidRDefault="000A02E3" w:rsidP="000A02E3">
            <w:pPr>
              <w:pStyle w:val="ListParagraph"/>
              <w:ind w:left="12" w:right="645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17CBB8CA" w14:textId="26DCE152" w:rsidR="000A02E3" w:rsidRPr="00AA7A17" w:rsidRDefault="000A02E3" w:rsidP="000A02E3">
            <w:pPr>
              <w:pStyle w:val="ListParagraph"/>
              <w:tabs>
                <w:tab w:val="decimal" w:pos="1123"/>
              </w:tabs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$10,800</w:t>
            </w:r>
          </w:p>
        </w:tc>
      </w:tr>
      <w:tr w:rsidR="00FE64DF" w:rsidRPr="00AA7A17" w14:paraId="0D4FA4A3" w14:textId="77777777" w:rsidTr="00FE64DF">
        <w:tc>
          <w:tcPr>
            <w:tcW w:w="1418" w:type="dxa"/>
            <w:vAlign w:val="center"/>
          </w:tcPr>
          <w:p w14:paraId="0E91AAEA" w14:textId="378B32BE" w:rsidR="00FE64DF" w:rsidRPr="00412540" w:rsidRDefault="00FE64DF" w:rsidP="00FE64DF">
            <w:pPr>
              <w:pStyle w:val="ListParagraph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412540">
              <w:rPr>
                <w:rFonts w:cs="Arial"/>
                <w:sz w:val="18"/>
                <w:szCs w:val="18"/>
              </w:rPr>
              <w:t>Huon Valley</w:t>
            </w:r>
          </w:p>
        </w:tc>
        <w:tc>
          <w:tcPr>
            <w:tcW w:w="1701" w:type="dxa"/>
          </w:tcPr>
          <w:p w14:paraId="05567B40" w14:textId="722670F3" w:rsidR="00FE64DF" w:rsidRDefault="00FE64DF" w:rsidP="00FE64DF">
            <w:pPr>
              <w:pStyle w:val="ListParagraph"/>
              <w:ind w:left="12" w:right="645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61C2E81E" w14:textId="47C7FBFC" w:rsidR="00FE64DF" w:rsidRDefault="00FE64DF" w:rsidP="00FE64DF">
            <w:pPr>
              <w:pStyle w:val="ListParagraph"/>
              <w:tabs>
                <w:tab w:val="decimal" w:pos="1123"/>
              </w:tabs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$7,500</w:t>
            </w:r>
          </w:p>
        </w:tc>
      </w:tr>
    </w:tbl>
    <w:tbl>
      <w:tblPr>
        <w:tblStyle w:val="TableGridLight"/>
        <w:tblpPr w:leftFromText="180" w:rightFromText="180" w:vertAnchor="text" w:horzAnchor="margin" w:tblpXSpec="right" w:tblpY="5"/>
        <w:tblW w:w="4962" w:type="dxa"/>
        <w:tblLook w:val="04A0" w:firstRow="1" w:lastRow="0" w:firstColumn="1" w:lastColumn="0" w:noHBand="0" w:noVBand="1"/>
      </w:tblPr>
      <w:tblGrid>
        <w:gridCol w:w="1654"/>
        <w:gridCol w:w="1654"/>
        <w:gridCol w:w="1654"/>
      </w:tblGrid>
      <w:tr w:rsidR="00FE64DF" w:rsidRPr="005A04AD" w14:paraId="719EC415" w14:textId="77777777" w:rsidTr="00FE64DF">
        <w:trPr>
          <w:trHeight w:val="570"/>
        </w:trPr>
        <w:tc>
          <w:tcPr>
            <w:tcW w:w="1654" w:type="dxa"/>
          </w:tcPr>
          <w:p w14:paraId="503A3868" w14:textId="77777777" w:rsidR="00FE64DF" w:rsidRPr="005A04AD" w:rsidRDefault="00FE64DF" w:rsidP="00FE64DF">
            <w:pPr>
              <w:jc w:val="center"/>
              <w:rPr>
                <w:rStyle w:val="Hyperlink"/>
                <w:sz w:val="18"/>
                <w:szCs w:val="18"/>
                <w:u w:val="none"/>
              </w:rPr>
            </w:pPr>
            <w:r w:rsidRPr="005A04AD">
              <w:rPr>
                <w:rStyle w:val="Hyperlink"/>
                <w:sz w:val="18"/>
                <w:szCs w:val="18"/>
                <w:u w:val="none"/>
              </w:rPr>
              <w:t>Taxi area</w:t>
            </w:r>
          </w:p>
        </w:tc>
        <w:tc>
          <w:tcPr>
            <w:tcW w:w="1654" w:type="dxa"/>
          </w:tcPr>
          <w:p w14:paraId="6492DBED" w14:textId="77777777" w:rsidR="00FE64DF" w:rsidRPr="005A04AD" w:rsidRDefault="00FE64DF" w:rsidP="00FE64DF">
            <w:pPr>
              <w:jc w:val="center"/>
              <w:rPr>
                <w:rStyle w:val="Hyperlink"/>
                <w:sz w:val="18"/>
                <w:szCs w:val="18"/>
                <w:u w:val="none"/>
              </w:rPr>
            </w:pPr>
            <w:r w:rsidRPr="005A04AD">
              <w:rPr>
                <w:rStyle w:val="Hyperlink"/>
                <w:sz w:val="18"/>
                <w:szCs w:val="18"/>
                <w:u w:val="none"/>
              </w:rPr>
              <w:t xml:space="preserve">Number of OOTLs </w:t>
            </w:r>
            <w:r>
              <w:rPr>
                <w:rStyle w:val="Hyperlink"/>
                <w:sz w:val="18"/>
                <w:szCs w:val="18"/>
                <w:u w:val="none"/>
              </w:rPr>
              <w:t>available</w:t>
            </w:r>
          </w:p>
        </w:tc>
        <w:tc>
          <w:tcPr>
            <w:tcW w:w="1654" w:type="dxa"/>
          </w:tcPr>
          <w:p w14:paraId="710BED62" w14:textId="77777777" w:rsidR="00FE64DF" w:rsidRPr="005A04AD" w:rsidRDefault="00FE64DF" w:rsidP="00FE64DF">
            <w:pPr>
              <w:jc w:val="center"/>
              <w:rPr>
                <w:rStyle w:val="Hyperlink"/>
                <w:sz w:val="18"/>
                <w:szCs w:val="18"/>
                <w:u w:val="none"/>
              </w:rPr>
            </w:pPr>
            <w:r>
              <w:rPr>
                <w:rStyle w:val="Hyperlink"/>
                <w:sz w:val="18"/>
                <w:szCs w:val="18"/>
                <w:u w:val="none"/>
              </w:rPr>
              <w:t>Reserve</w:t>
            </w:r>
            <w:r w:rsidRPr="005A04AD">
              <w:rPr>
                <w:rStyle w:val="Hyperlink"/>
                <w:sz w:val="18"/>
                <w:szCs w:val="18"/>
                <w:u w:val="none"/>
              </w:rPr>
              <w:t xml:space="preserve"> Price</w:t>
            </w:r>
          </w:p>
        </w:tc>
      </w:tr>
      <w:tr w:rsidR="00FE64DF" w14:paraId="63356A77" w14:textId="77777777" w:rsidTr="0048070E">
        <w:trPr>
          <w:trHeight w:val="679"/>
        </w:trPr>
        <w:tc>
          <w:tcPr>
            <w:tcW w:w="1654" w:type="dxa"/>
            <w:vAlign w:val="center"/>
          </w:tcPr>
          <w:p w14:paraId="72D540A7" w14:textId="77777777" w:rsidR="00FE64DF" w:rsidRDefault="00FE64DF" w:rsidP="00FE64DF">
            <w:pPr>
              <w:pStyle w:val="ListParagraph"/>
              <w:spacing w:before="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412540">
              <w:rPr>
                <w:rFonts w:cs="Arial"/>
                <w:sz w:val="18"/>
                <w:szCs w:val="18"/>
              </w:rPr>
              <w:t>Glamorgan/Spring Bay North</w:t>
            </w:r>
          </w:p>
        </w:tc>
        <w:tc>
          <w:tcPr>
            <w:tcW w:w="1654" w:type="dxa"/>
          </w:tcPr>
          <w:p w14:paraId="7A1E3D93" w14:textId="77777777" w:rsidR="00FE64DF" w:rsidRDefault="00FE64DF" w:rsidP="00FE64DF">
            <w:pPr>
              <w:pStyle w:val="ListParagraph"/>
              <w:tabs>
                <w:tab w:val="decimal" w:pos="742"/>
              </w:tabs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54" w:type="dxa"/>
          </w:tcPr>
          <w:p w14:paraId="752D3ACB" w14:textId="52A6943D" w:rsidR="00FE64DF" w:rsidRDefault="00FE64DF" w:rsidP="0048070E">
            <w:pPr>
              <w:pStyle w:val="ListParagraph"/>
              <w:tabs>
                <w:tab w:val="decimal" w:pos="1054"/>
              </w:tabs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$3,750</w:t>
            </w:r>
          </w:p>
        </w:tc>
      </w:tr>
      <w:tr w:rsidR="00FE64DF" w14:paraId="6AC3821F" w14:textId="77777777" w:rsidTr="00FE64DF">
        <w:tc>
          <w:tcPr>
            <w:tcW w:w="1654" w:type="dxa"/>
            <w:vAlign w:val="center"/>
          </w:tcPr>
          <w:p w14:paraId="523D996D" w14:textId="77777777" w:rsidR="00FE64DF" w:rsidRDefault="00FE64DF" w:rsidP="00FE64DF">
            <w:pPr>
              <w:pStyle w:val="ListParagraph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412540">
              <w:rPr>
                <w:rFonts w:cs="Arial"/>
                <w:sz w:val="18"/>
                <w:szCs w:val="18"/>
              </w:rPr>
              <w:t>Kentish</w:t>
            </w:r>
          </w:p>
        </w:tc>
        <w:tc>
          <w:tcPr>
            <w:tcW w:w="1654" w:type="dxa"/>
          </w:tcPr>
          <w:p w14:paraId="2033C38A" w14:textId="77777777" w:rsidR="00FE64DF" w:rsidRDefault="00FE64DF" w:rsidP="00FE64DF">
            <w:pPr>
              <w:pStyle w:val="ListParagraph"/>
              <w:tabs>
                <w:tab w:val="decimal" w:pos="742"/>
              </w:tabs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54" w:type="dxa"/>
          </w:tcPr>
          <w:p w14:paraId="7CE14FE8" w14:textId="77777777" w:rsidR="00FE64DF" w:rsidRDefault="00FE64DF" w:rsidP="00FE64DF">
            <w:pPr>
              <w:pStyle w:val="ListParagraph"/>
              <w:tabs>
                <w:tab w:val="decimal" w:pos="1054"/>
              </w:tabs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$3,750</w:t>
            </w:r>
          </w:p>
        </w:tc>
      </w:tr>
      <w:tr w:rsidR="00FE64DF" w14:paraId="6CFF8588" w14:textId="77777777" w:rsidTr="00FE64DF">
        <w:tc>
          <w:tcPr>
            <w:tcW w:w="1654" w:type="dxa"/>
            <w:vAlign w:val="center"/>
          </w:tcPr>
          <w:p w14:paraId="6963CF6D" w14:textId="77777777" w:rsidR="00FE64DF" w:rsidRDefault="00FE64DF" w:rsidP="00FE64DF">
            <w:pPr>
              <w:pStyle w:val="ListParagraph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412540">
              <w:rPr>
                <w:rFonts w:cs="Arial"/>
                <w:sz w:val="18"/>
                <w:szCs w:val="18"/>
              </w:rPr>
              <w:t>Penguin</w:t>
            </w:r>
          </w:p>
        </w:tc>
        <w:tc>
          <w:tcPr>
            <w:tcW w:w="1654" w:type="dxa"/>
          </w:tcPr>
          <w:p w14:paraId="35198594" w14:textId="77777777" w:rsidR="00FE64DF" w:rsidRDefault="00FE64DF" w:rsidP="00FE64DF">
            <w:pPr>
              <w:pStyle w:val="ListParagraph"/>
              <w:tabs>
                <w:tab w:val="decimal" w:pos="742"/>
              </w:tabs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54" w:type="dxa"/>
          </w:tcPr>
          <w:p w14:paraId="2F2657B5" w14:textId="77777777" w:rsidR="00FE64DF" w:rsidRDefault="00FE64DF" w:rsidP="00FE64DF">
            <w:pPr>
              <w:pStyle w:val="ListParagraph"/>
              <w:tabs>
                <w:tab w:val="decimal" w:pos="1054"/>
              </w:tabs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$3,750</w:t>
            </w:r>
          </w:p>
        </w:tc>
      </w:tr>
      <w:tr w:rsidR="00FE64DF" w14:paraId="4AC31784" w14:textId="77777777" w:rsidTr="00FE64DF">
        <w:tc>
          <w:tcPr>
            <w:tcW w:w="1654" w:type="dxa"/>
            <w:vAlign w:val="center"/>
          </w:tcPr>
          <w:p w14:paraId="21B296E3" w14:textId="77777777" w:rsidR="00FE64DF" w:rsidRDefault="00FE64DF" w:rsidP="00FE64DF">
            <w:pPr>
              <w:pStyle w:val="ListParagraph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412540">
              <w:rPr>
                <w:rFonts w:cs="Arial"/>
                <w:sz w:val="18"/>
                <w:szCs w:val="18"/>
              </w:rPr>
              <w:t>Tasman</w:t>
            </w:r>
          </w:p>
        </w:tc>
        <w:tc>
          <w:tcPr>
            <w:tcW w:w="1654" w:type="dxa"/>
          </w:tcPr>
          <w:p w14:paraId="5B534C45" w14:textId="77777777" w:rsidR="00FE64DF" w:rsidRDefault="00FE64DF" w:rsidP="00FE64DF">
            <w:pPr>
              <w:pStyle w:val="ListParagraph"/>
              <w:tabs>
                <w:tab w:val="decimal" w:pos="742"/>
              </w:tabs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54" w:type="dxa"/>
          </w:tcPr>
          <w:p w14:paraId="25A1C9AF" w14:textId="77777777" w:rsidR="00FE64DF" w:rsidRDefault="00FE64DF" w:rsidP="00FE64DF">
            <w:pPr>
              <w:pStyle w:val="ListParagraph"/>
              <w:tabs>
                <w:tab w:val="decimal" w:pos="1054"/>
              </w:tabs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$3,750</w:t>
            </w:r>
          </w:p>
        </w:tc>
      </w:tr>
      <w:tr w:rsidR="00FE64DF" w14:paraId="0B23CAD0" w14:textId="77777777" w:rsidTr="00FE64DF">
        <w:tc>
          <w:tcPr>
            <w:tcW w:w="1654" w:type="dxa"/>
            <w:vAlign w:val="center"/>
          </w:tcPr>
          <w:p w14:paraId="3969EDBB" w14:textId="77777777" w:rsidR="00FE64DF" w:rsidRDefault="00FE64DF" w:rsidP="00FE64DF">
            <w:pPr>
              <w:pStyle w:val="ListParagraph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412540">
              <w:rPr>
                <w:rFonts w:cs="Arial"/>
                <w:sz w:val="18"/>
                <w:szCs w:val="18"/>
              </w:rPr>
              <w:t>Dorset</w:t>
            </w:r>
          </w:p>
        </w:tc>
        <w:tc>
          <w:tcPr>
            <w:tcW w:w="1654" w:type="dxa"/>
          </w:tcPr>
          <w:p w14:paraId="2FD2036A" w14:textId="77777777" w:rsidR="00FE64DF" w:rsidRDefault="00FE64DF" w:rsidP="00FE64DF">
            <w:pPr>
              <w:pStyle w:val="ListParagraph"/>
              <w:tabs>
                <w:tab w:val="decimal" w:pos="742"/>
              </w:tabs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54" w:type="dxa"/>
          </w:tcPr>
          <w:p w14:paraId="26D9C33D" w14:textId="77777777" w:rsidR="00FE64DF" w:rsidRDefault="00FE64DF" w:rsidP="00FE64DF">
            <w:pPr>
              <w:pStyle w:val="ListParagraph"/>
              <w:tabs>
                <w:tab w:val="decimal" w:pos="1054"/>
              </w:tabs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$2,250</w:t>
            </w:r>
          </w:p>
        </w:tc>
      </w:tr>
      <w:tr w:rsidR="00FE64DF" w14:paraId="3DD8A963" w14:textId="77777777" w:rsidTr="00FE64DF">
        <w:tc>
          <w:tcPr>
            <w:tcW w:w="1654" w:type="dxa"/>
            <w:vAlign w:val="center"/>
          </w:tcPr>
          <w:p w14:paraId="77284442" w14:textId="77777777" w:rsidR="00FE64DF" w:rsidRDefault="00FE64DF" w:rsidP="00FE64DF">
            <w:pPr>
              <w:pStyle w:val="ListParagraph"/>
              <w:spacing w:before="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412540">
              <w:rPr>
                <w:rFonts w:cs="Arial"/>
                <w:sz w:val="18"/>
                <w:szCs w:val="18"/>
              </w:rPr>
              <w:t>Glamorgan/Spring Bay South</w:t>
            </w:r>
          </w:p>
        </w:tc>
        <w:tc>
          <w:tcPr>
            <w:tcW w:w="1654" w:type="dxa"/>
          </w:tcPr>
          <w:p w14:paraId="5ECF88BE" w14:textId="77777777" w:rsidR="00FE64DF" w:rsidRDefault="00FE64DF" w:rsidP="00FE64DF">
            <w:pPr>
              <w:pStyle w:val="ListParagraph"/>
              <w:tabs>
                <w:tab w:val="decimal" w:pos="742"/>
              </w:tabs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54" w:type="dxa"/>
          </w:tcPr>
          <w:p w14:paraId="5ABDC919" w14:textId="77777777" w:rsidR="00FE64DF" w:rsidRDefault="00FE64DF" w:rsidP="00FE64DF">
            <w:pPr>
              <w:pStyle w:val="ListParagraph"/>
              <w:tabs>
                <w:tab w:val="decimal" w:pos="1054"/>
              </w:tabs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$1,875</w:t>
            </w:r>
          </w:p>
        </w:tc>
      </w:tr>
      <w:tr w:rsidR="00FE64DF" w14:paraId="0F57E7D4" w14:textId="77777777" w:rsidTr="00FE64DF">
        <w:tc>
          <w:tcPr>
            <w:tcW w:w="1654" w:type="dxa"/>
            <w:vAlign w:val="center"/>
          </w:tcPr>
          <w:p w14:paraId="3BE7049F" w14:textId="77777777" w:rsidR="00FE64DF" w:rsidRDefault="00FE64DF" w:rsidP="00FE64DF">
            <w:pPr>
              <w:pStyle w:val="ListParagraph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412540">
              <w:rPr>
                <w:rFonts w:cs="Arial"/>
                <w:sz w:val="18"/>
                <w:szCs w:val="18"/>
              </w:rPr>
              <w:t>Bruny Island</w:t>
            </w:r>
          </w:p>
        </w:tc>
        <w:tc>
          <w:tcPr>
            <w:tcW w:w="1654" w:type="dxa"/>
          </w:tcPr>
          <w:p w14:paraId="28A91072" w14:textId="77777777" w:rsidR="00FE64DF" w:rsidRDefault="00FE64DF" w:rsidP="00FE64DF">
            <w:pPr>
              <w:pStyle w:val="ListParagraph"/>
              <w:tabs>
                <w:tab w:val="decimal" w:pos="742"/>
              </w:tabs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54" w:type="dxa"/>
          </w:tcPr>
          <w:p w14:paraId="78E8A03B" w14:textId="77777777" w:rsidR="00FE64DF" w:rsidRDefault="00FE64DF" w:rsidP="00FE64DF">
            <w:pPr>
              <w:pStyle w:val="ListParagraph"/>
              <w:tabs>
                <w:tab w:val="decimal" w:pos="1054"/>
              </w:tabs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$1,000</w:t>
            </w:r>
          </w:p>
        </w:tc>
      </w:tr>
      <w:tr w:rsidR="00FE64DF" w14:paraId="23168CEB" w14:textId="77777777" w:rsidTr="00FE64DF">
        <w:tc>
          <w:tcPr>
            <w:tcW w:w="1654" w:type="dxa"/>
            <w:vAlign w:val="center"/>
          </w:tcPr>
          <w:p w14:paraId="3A65752D" w14:textId="77777777" w:rsidR="00FE64DF" w:rsidRDefault="00FE64DF" w:rsidP="00FE64DF">
            <w:pPr>
              <w:pStyle w:val="ListParagraph"/>
              <w:ind w:left="33"/>
              <w:jc w:val="both"/>
              <w:rPr>
                <w:rFonts w:cs="Arial"/>
                <w:sz w:val="18"/>
                <w:szCs w:val="18"/>
              </w:rPr>
            </w:pPr>
            <w:r w:rsidRPr="00412540">
              <w:rPr>
                <w:rFonts w:cs="Arial"/>
                <w:sz w:val="18"/>
                <w:szCs w:val="18"/>
              </w:rPr>
              <w:t>Central Highlands</w:t>
            </w:r>
          </w:p>
        </w:tc>
        <w:tc>
          <w:tcPr>
            <w:tcW w:w="1654" w:type="dxa"/>
          </w:tcPr>
          <w:p w14:paraId="614D0BEC" w14:textId="77777777" w:rsidR="00FE64DF" w:rsidRDefault="00FE64DF" w:rsidP="00FE64DF">
            <w:pPr>
              <w:pStyle w:val="ListParagraph"/>
              <w:tabs>
                <w:tab w:val="decimal" w:pos="742"/>
              </w:tabs>
              <w:ind w:lef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54" w:type="dxa"/>
          </w:tcPr>
          <w:p w14:paraId="63CF4F00" w14:textId="77777777" w:rsidR="00FE64DF" w:rsidRDefault="00FE64DF" w:rsidP="00FE64DF">
            <w:pPr>
              <w:pStyle w:val="ListParagraph"/>
              <w:tabs>
                <w:tab w:val="decimal" w:pos="1054"/>
              </w:tabs>
              <w:ind w:lef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$1,000</w:t>
            </w:r>
          </w:p>
        </w:tc>
      </w:tr>
      <w:tr w:rsidR="00FE64DF" w14:paraId="0D68A299" w14:textId="77777777" w:rsidTr="00FE64DF">
        <w:tc>
          <w:tcPr>
            <w:tcW w:w="1654" w:type="dxa"/>
            <w:vAlign w:val="center"/>
          </w:tcPr>
          <w:p w14:paraId="3328C5A6" w14:textId="77777777" w:rsidR="00FE64DF" w:rsidRDefault="00FE64DF" w:rsidP="00FE64DF">
            <w:pPr>
              <w:pStyle w:val="ListParagraph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412540">
              <w:rPr>
                <w:rFonts w:cs="Arial"/>
                <w:sz w:val="18"/>
                <w:szCs w:val="18"/>
              </w:rPr>
              <w:t>Flinders Island</w:t>
            </w:r>
          </w:p>
        </w:tc>
        <w:tc>
          <w:tcPr>
            <w:tcW w:w="1654" w:type="dxa"/>
          </w:tcPr>
          <w:p w14:paraId="3E334693" w14:textId="77777777" w:rsidR="00FE64DF" w:rsidRDefault="00FE64DF" w:rsidP="00FE64DF">
            <w:pPr>
              <w:pStyle w:val="ListParagraph"/>
              <w:tabs>
                <w:tab w:val="decimal" w:pos="742"/>
              </w:tabs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54" w:type="dxa"/>
          </w:tcPr>
          <w:p w14:paraId="50274400" w14:textId="77777777" w:rsidR="00FE64DF" w:rsidRDefault="00FE64DF" w:rsidP="00FE64DF">
            <w:pPr>
              <w:pStyle w:val="ListParagraph"/>
              <w:tabs>
                <w:tab w:val="decimal" w:pos="1054"/>
              </w:tabs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$1,000</w:t>
            </w:r>
          </w:p>
        </w:tc>
      </w:tr>
      <w:tr w:rsidR="00FE64DF" w14:paraId="1E2ABC71" w14:textId="77777777" w:rsidTr="00FE64DF">
        <w:tc>
          <w:tcPr>
            <w:tcW w:w="1654" w:type="dxa"/>
            <w:vAlign w:val="center"/>
          </w:tcPr>
          <w:p w14:paraId="02327EF5" w14:textId="77777777" w:rsidR="00FE64DF" w:rsidRDefault="00FE64DF" w:rsidP="00FE64DF">
            <w:pPr>
              <w:pStyle w:val="ListParagraph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412540">
              <w:rPr>
                <w:rFonts w:cs="Arial"/>
                <w:sz w:val="18"/>
                <w:szCs w:val="18"/>
              </w:rPr>
              <w:t>King Island</w:t>
            </w:r>
          </w:p>
        </w:tc>
        <w:tc>
          <w:tcPr>
            <w:tcW w:w="1654" w:type="dxa"/>
          </w:tcPr>
          <w:p w14:paraId="663D3965" w14:textId="77777777" w:rsidR="00FE64DF" w:rsidRDefault="00FE64DF" w:rsidP="00FE64DF">
            <w:pPr>
              <w:pStyle w:val="ListParagraph"/>
              <w:tabs>
                <w:tab w:val="decimal" w:pos="742"/>
              </w:tabs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54" w:type="dxa"/>
          </w:tcPr>
          <w:p w14:paraId="55CFC0F8" w14:textId="77777777" w:rsidR="00FE64DF" w:rsidRDefault="00FE64DF" w:rsidP="00FE64DF">
            <w:pPr>
              <w:pStyle w:val="ListParagraph"/>
              <w:tabs>
                <w:tab w:val="decimal" w:pos="1054"/>
              </w:tabs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$1,000</w:t>
            </w:r>
          </w:p>
        </w:tc>
      </w:tr>
      <w:tr w:rsidR="00FE64DF" w14:paraId="3C9F4CEB" w14:textId="77777777" w:rsidTr="00FE64DF">
        <w:tc>
          <w:tcPr>
            <w:tcW w:w="1654" w:type="dxa"/>
            <w:vAlign w:val="center"/>
          </w:tcPr>
          <w:p w14:paraId="688C066D" w14:textId="77777777" w:rsidR="00FE64DF" w:rsidRDefault="00FE64DF" w:rsidP="00FE64DF">
            <w:pPr>
              <w:pStyle w:val="ListParagraph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412540">
              <w:rPr>
                <w:rFonts w:cs="Arial"/>
                <w:sz w:val="18"/>
                <w:szCs w:val="18"/>
              </w:rPr>
              <w:t>West Coast</w:t>
            </w:r>
          </w:p>
        </w:tc>
        <w:tc>
          <w:tcPr>
            <w:tcW w:w="1654" w:type="dxa"/>
          </w:tcPr>
          <w:p w14:paraId="5EDF7975" w14:textId="77777777" w:rsidR="00FE64DF" w:rsidRDefault="00FE64DF" w:rsidP="00FE64DF">
            <w:pPr>
              <w:pStyle w:val="ListParagraph"/>
              <w:tabs>
                <w:tab w:val="decimal" w:pos="742"/>
              </w:tabs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54" w:type="dxa"/>
          </w:tcPr>
          <w:p w14:paraId="3E4372FE" w14:textId="77777777" w:rsidR="00FE64DF" w:rsidRDefault="00FE64DF" w:rsidP="00FE64DF">
            <w:pPr>
              <w:pStyle w:val="ListParagraph"/>
              <w:tabs>
                <w:tab w:val="decimal" w:pos="1054"/>
              </w:tabs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$1,000</w:t>
            </w:r>
          </w:p>
        </w:tc>
      </w:tr>
    </w:tbl>
    <w:p w14:paraId="35F51011" w14:textId="77777777" w:rsidR="000A02E3" w:rsidRDefault="000A02E3" w:rsidP="00E16E16">
      <w:pPr>
        <w:tabs>
          <w:tab w:val="left" w:pos="1266"/>
        </w:tabs>
        <w:spacing w:before="200" w:after="120"/>
      </w:pPr>
    </w:p>
    <w:p w14:paraId="3CF99734" w14:textId="77777777" w:rsidR="000A02E3" w:rsidRDefault="000A02E3" w:rsidP="00E16E16">
      <w:pPr>
        <w:tabs>
          <w:tab w:val="left" w:pos="1266"/>
        </w:tabs>
        <w:spacing w:before="200" w:after="120"/>
        <w:sectPr w:rsidR="000A02E3" w:rsidSect="00023725">
          <w:type w:val="continuous"/>
          <w:pgSz w:w="11906" w:h="16838"/>
          <w:pgMar w:top="1418" w:right="707" w:bottom="1440" w:left="851" w:header="708" w:footer="708" w:gutter="0"/>
          <w:cols w:num="2" w:space="510"/>
          <w:docGrid w:linePitch="360"/>
        </w:sectPr>
      </w:pPr>
    </w:p>
    <w:p w14:paraId="16B0D642" w14:textId="763876AF" w:rsidR="002F15BD" w:rsidRPr="00FE64DF" w:rsidRDefault="00FE64DF" w:rsidP="00DC397F">
      <w:pPr>
        <w:spacing w:before="200" w:after="120"/>
      </w:pPr>
      <w:r>
        <w:t>To</w:t>
      </w:r>
      <w:r w:rsidR="007E7C57">
        <w:t xml:space="preserve"> obtain an information pack and application form to purchase an OOTL for a specific taxi area, please send an email to </w:t>
      </w:r>
      <w:hyperlink r:id="rId11" w:history="1">
        <w:r w:rsidR="007E7C57" w:rsidRPr="005C3BA1">
          <w:rPr>
            <w:rStyle w:val="Hyperlink"/>
          </w:rPr>
          <w:t>operator.accreditation@stategrowth.tas.gov.au</w:t>
        </w:r>
      </w:hyperlink>
      <w:r>
        <w:rPr>
          <w:rStyle w:val="Hyperlink"/>
        </w:rPr>
        <w:t xml:space="preserve">.  </w:t>
      </w:r>
      <w:r w:rsidRPr="00FE64DF">
        <w:t>You will receive a response early in 2020.</w:t>
      </w:r>
    </w:p>
    <w:p w14:paraId="677818B9" w14:textId="287316FD" w:rsidR="00D663FF" w:rsidRDefault="007E7C57" w:rsidP="00DC397F">
      <w:pPr>
        <w:keepNext/>
        <w:spacing w:before="360" w:after="120"/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</w:pPr>
      <w:r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>On</w:t>
      </w:r>
      <w:r w:rsidR="00415CCF"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>-</w:t>
      </w:r>
      <w:r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>line checks</w:t>
      </w:r>
    </w:p>
    <w:p w14:paraId="1F079B70" w14:textId="55741060" w:rsidR="008520B0" w:rsidRDefault="008520B0" w:rsidP="00DC397F">
      <w:pPr>
        <w:spacing w:before="200" w:after="120"/>
      </w:pPr>
      <w:r>
        <w:t>There are on-line tools to help accredited operators</w:t>
      </w:r>
      <w:r w:rsidR="00920E7C">
        <w:t xml:space="preserve"> check the </w:t>
      </w:r>
      <w:r w:rsidR="00F76D26">
        <w:t>status of their</w:t>
      </w:r>
      <w:r w:rsidR="00920E7C">
        <w:t xml:space="preserve"> vehicles</w:t>
      </w:r>
      <w:r w:rsidR="00F76D26">
        <w:t>’ registration</w:t>
      </w:r>
      <w:r w:rsidR="00920E7C">
        <w:t xml:space="preserve"> and the status of drivers’ ancillary certificates</w:t>
      </w:r>
      <w:r w:rsidR="004557B9">
        <w:t xml:space="preserve"> at any time</w:t>
      </w:r>
      <w:r w:rsidR="00920E7C">
        <w:t>.</w:t>
      </w:r>
    </w:p>
    <w:p w14:paraId="7B3EED1E" w14:textId="61C38E85" w:rsidR="008520B0" w:rsidRDefault="008520B0" w:rsidP="007E7C57">
      <w:pPr>
        <w:spacing w:before="200" w:after="120"/>
      </w:pPr>
      <w:r>
        <w:t>To check the status of:</w:t>
      </w:r>
    </w:p>
    <w:p w14:paraId="7BC1787E" w14:textId="409B4E5A" w:rsidR="00920E7C" w:rsidRPr="008520B0" w:rsidRDefault="00D73455" w:rsidP="008520B0">
      <w:pPr>
        <w:pStyle w:val="ListParagraph"/>
        <w:numPr>
          <w:ilvl w:val="0"/>
          <w:numId w:val="12"/>
        </w:numPr>
        <w:spacing w:before="200" w:after="120"/>
        <w:ind w:left="284" w:right="-284" w:hanging="284"/>
        <w:rPr>
          <w:rStyle w:val="Hyperlink"/>
          <w:color w:val="auto"/>
          <w:u w:val="none"/>
        </w:rPr>
      </w:pPr>
      <w:r>
        <w:t xml:space="preserve">a </w:t>
      </w:r>
      <w:r w:rsidR="008520B0">
        <w:t>vehicle registration go to -</w:t>
      </w:r>
      <w:hyperlink r:id="rId12" w:history="1">
        <w:r w:rsidR="008520B0" w:rsidRPr="006C0DDC">
          <w:rPr>
            <w:rStyle w:val="Hyperlink"/>
          </w:rPr>
          <w:t>https://www.transport.tas.gov.au/MRSWebInterface/public/regoLookup/registrationLookup.jsf</w:t>
        </w:r>
      </w:hyperlink>
    </w:p>
    <w:p w14:paraId="77F638A4" w14:textId="77777777" w:rsidR="008520B0" w:rsidRDefault="008520B0" w:rsidP="008520B0">
      <w:pPr>
        <w:pStyle w:val="ListParagraph"/>
        <w:spacing w:before="200" w:after="120"/>
        <w:ind w:left="284" w:right="-284"/>
      </w:pPr>
    </w:p>
    <w:p w14:paraId="22261C87" w14:textId="263F722A" w:rsidR="00920E7C" w:rsidRDefault="008520B0" w:rsidP="008520B0">
      <w:pPr>
        <w:pStyle w:val="ListParagraph"/>
        <w:numPr>
          <w:ilvl w:val="0"/>
          <w:numId w:val="12"/>
        </w:numPr>
        <w:spacing w:before="200" w:after="120"/>
        <w:ind w:left="284" w:hanging="284"/>
      </w:pPr>
      <w:r>
        <w:t xml:space="preserve">an ancillary certificate go to - </w:t>
      </w:r>
      <w:hyperlink r:id="rId13" w:history="1">
        <w:r w:rsidR="00920E7C" w:rsidRPr="005C3BA1">
          <w:rPr>
            <w:rStyle w:val="Hyperlink"/>
          </w:rPr>
          <w:t>https://www.transport.tas.gov.au/passenger/operators/ancillary_certificates</w:t>
        </w:r>
      </w:hyperlink>
      <w:r>
        <w:rPr>
          <w:rStyle w:val="Hyperlink"/>
        </w:rPr>
        <w:t xml:space="preserve"> </w:t>
      </w:r>
      <w:r w:rsidRPr="008520B0">
        <w:t>(the correct driver licence</w:t>
      </w:r>
      <w:r w:rsidR="00D73455">
        <w:t xml:space="preserve"> number</w:t>
      </w:r>
      <w:r w:rsidRPr="008520B0">
        <w:t xml:space="preserve"> and surname of the driver must be entered)</w:t>
      </w:r>
    </w:p>
    <w:p w14:paraId="0893C64C" w14:textId="5F655AF6" w:rsidR="00920E7C" w:rsidRDefault="008520B0" w:rsidP="007E7C57">
      <w:pPr>
        <w:spacing w:before="200" w:after="120"/>
      </w:pPr>
      <w:r>
        <w:lastRenderedPageBreak/>
        <w:t xml:space="preserve">To meet the accreditation laws a taxi must be registered and </w:t>
      </w:r>
      <w:r w:rsidR="00D73455">
        <w:t>the</w:t>
      </w:r>
      <w:r>
        <w:t xml:space="preserve"> driver licensed.  </w:t>
      </w:r>
      <w:r w:rsidR="00D73455">
        <w:t xml:space="preserve">It is an offence to provide a passenger transport service when the vehicle is not registered or the driver is not appropriately licenced. </w:t>
      </w:r>
      <w:r>
        <w:t>As well</w:t>
      </w:r>
      <w:r w:rsidR="00D73455">
        <w:t>,</w:t>
      </w:r>
      <w:r>
        <w:t xml:space="preserve"> </w:t>
      </w:r>
      <w:r w:rsidR="00D73455">
        <w:t>any</w:t>
      </w:r>
      <w:r>
        <w:t xml:space="preserve"> insur</w:t>
      </w:r>
      <w:r w:rsidR="00D73455">
        <w:t>ances you hold may be invalid</w:t>
      </w:r>
      <w:r>
        <w:t xml:space="preserve"> in an </w:t>
      </w:r>
      <w:r w:rsidR="00920E7C">
        <w:t xml:space="preserve">event of a </w:t>
      </w:r>
      <w:r>
        <w:t>crash</w:t>
      </w:r>
      <w:r w:rsidR="00920E7C">
        <w:t xml:space="preserve">.  </w:t>
      </w:r>
    </w:p>
    <w:p w14:paraId="1885DFD2" w14:textId="594FD9DB" w:rsidR="00221478" w:rsidRDefault="00221478" w:rsidP="00221478">
      <w:pPr>
        <w:spacing w:before="200" w:after="0"/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</w:pPr>
      <w:r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>New on</w:t>
      </w:r>
      <w:r w:rsidR="00F24A85"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>-</w:t>
      </w:r>
      <w:r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>line payment option for annual administration fee</w:t>
      </w:r>
    </w:p>
    <w:p w14:paraId="47CD855D" w14:textId="55E406C3" w:rsidR="008520B0" w:rsidRDefault="00D73455" w:rsidP="00FE64DF">
      <w:pPr>
        <w:spacing w:before="200" w:after="0"/>
        <w:ind w:right="142"/>
      </w:pPr>
      <w:r>
        <w:t>In</w:t>
      </w:r>
      <w:r w:rsidR="008520B0">
        <w:t xml:space="preserve"> 2020 you </w:t>
      </w:r>
      <w:r w:rsidR="00224D53">
        <w:t>can choose</w:t>
      </w:r>
      <w:r w:rsidR="008520B0">
        <w:t xml:space="preserve"> to pay your </w:t>
      </w:r>
      <w:r>
        <w:t xml:space="preserve">annual administration </w:t>
      </w:r>
      <w:r w:rsidR="008520B0">
        <w:t>fee on</w:t>
      </w:r>
      <w:r w:rsidR="002C3275">
        <w:t>-</w:t>
      </w:r>
      <w:r w:rsidR="008520B0">
        <w:t xml:space="preserve">line. </w:t>
      </w:r>
    </w:p>
    <w:p w14:paraId="72C55CCB" w14:textId="7B1C1EAC" w:rsidR="00221478" w:rsidRDefault="008520B0" w:rsidP="004557B9">
      <w:pPr>
        <w:spacing w:before="200" w:after="0"/>
      </w:pPr>
      <w:r>
        <w:t>Payment on</w:t>
      </w:r>
      <w:r w:rsidR="002C3275">
        <w:t>-</w:t>
      </w:r>
      <w:r>
        <w:t>line will make it easier for the fee to be paid without the need to go to a Service Tasmania shop.</w:t>
      </w:r>
      <w:r w:rsidR="00224D53">
        <w:t xml:space="preserve">  You can continue to pay at Service Tasmania</w:t>
      </w:r>
      <w:r w:rsidR="00D73455">
        <w:t xml:space="preserve"> if you choose</w:t>
      </w:r>
      <w:r w:rsidR="00224D53">
        <w:t>.</w:t>
      </w:r>
    </w:p>
    <w:p w14:paraId="7750895E" w14:textId="76849FF1" w:rsidR="00224D53" w:rsidRDefault="00224D53" w:rsidP="004557B9">
      <w:pPr>
        <w:spacing w:before="200" w:after="0"/>
      </w:pPr>
      <w:r>
        <w:t>The Regulations Team will write to you in February 2020</w:t>
      </w:r>
      <w:r w:rsidR="00D73455">
        <w:t xml:space="preserve"> about fees for the year </w:t>
      </w:r>
      <w:r w:rsidR="002C3275">
        <w:t>from</w:t>
      </w:r>
      <w:r>
        <w:t xml:space="preserve"> 1 April 2020 to 31 March 2021. We will tell you </w:t>
      </w:r>
      <w:r w:rsidR="00BD2D5F">
        <w:t>how to access and use the on-line payment.</w:t>
      </w:r>
    </w:p>
    <w:p w14:paraId="7D998D3F" w14:textId="34E52F0B" w:rsidR="00224D53" w:rsidRDefault="00224D53" w:rsidP="004557B9">
      <w:pPr>
        <w:spacing w:before="200" w:after="0"/>
      </w:pPr>
      <w:r>
        <w:t>You will need to pay your fee on</w:t>
      </w:r>
      <w:r w:rsidR="002C3275">
        <w:t>-</w:t>
      </w:r>
      <w:r>
        <w:t>line or at a Service Tasmania shop before 29 March 2020.</w:t>
      </w:r>
    </w:p>
    <w:p w14:paraId="2B040118" w14:textId="3372A600" w:rsidR="008520B0" w:rsidRDefault="00C6477C" w:rsidP="00F76D26">
      <w:pPr>
        <w:keepNext/>
        <w:spacing w:before="360" w:after="120"/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</w:pPr>
      <w:r w:rsidRPr="00C6477C"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>Taxi Ranks</w:t>
      </w:r>
      <w:r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 xml:space="preserve"> (Taxi Zones)</w:t>
      </w:r>
    </w:p>
    <w:p w14:paraId="1E07344F" w14:textId="5E09E6E9" w:rsidR="0038475D" w:rsidRDefault="0038475D" w:rsidP="00F76D26">
      <w:pPr>
        <w:keepNext/>
        <w:spacing w:before="360" w:after="120"/>
      </w:pPr>
      <w:r w:rsidRPr="00F76D26">
        <w:t xml:space="preserve">A taxi can only stand or park </w:t>
      </w:r>
      <w:r w:rsidRPr="0038475D">
        <w:t>on a taxi rank (taxi zone)</w:t>
      </w:r>
      <w:r w:rsidR="00BD14A2">
        <w:t xml:space="preserve"> when seeking passengers</w:t>
      </w:r>
      <w:r w:rsidRPr="0038475D">
        <w:t xml:space="preserve">.  </w:t>
      </w:r>
    </w:p>
    <w:p w14:paraId="5647B1C4" w14:textId="29E2DFA4" w:rsidR="00565838" w:rsidRDefault="0038475D" w:rsidP="00C6477C">
      <w:r>
        <w:t>This ensures that taxi</w:t>
      </w:r>
      <w:r w:rsidR="00BD14A2">
        <w:t>s</w:t>
      </w:r>
      <w:r>
        <w:t xml:space="preserve"> do not interfere with other traffic movement.  This is </w:t>
      </w:r>
      <w:r w:rsidR="00565838">
        <w:t xml:space="preserve">always </w:t>
      </w:r>
      <w:r>
        <w:t>important</w:t>
      </w:r>
      <w:r w:rsidR="00565838">
        <w:t xml:space="preserve"> but more so</w:t>
      </w:r>
      <w:r>
        <w:t xml:space="preserve"> in busy areas such as Northgate</w:t>
      </w:r>
      <w:r w:rsidR="00BD14A2">
        <w:t xml:space="preserve"> Shopping Centre in Glenorchy</w:t>
      </w:r>
      <w:r>
        <w:t xml:space="preserve"> and Salamanca</w:t>
      </w:r>
      <w:r w:rsidR="00BC29F0">
        <w:t xml:space="preserve"> Place</w:t>
      </w:r>
      <w:r w:rsidR="00BD14A2">
        <w:t xml:space="preserve"> in Hobart</w:t>
      </w:r>
      <w:r w:rsidR="00F76D26">
        <w:t>.  It is important</w:t>
      </w:r>
      <w:r w:rsidR="00565838">
        <w:t xml:space="preserve"> to</w:t>
      </w:r>
      <w:r w:rsidR="00BD2D5F">
        <w:t xml:space="preserve"> only park or stand in a taxi rank to</w:t>
      </w:r>
      <w:r w:rsidR="00565838">
        <w:t>:</w:t>
      </w:r>
    </w:p>
    <w:p w14:paraId="7EDF31C0" w14:textId="77777777" w:rsidR="00565838" w:rsidRDefault="00565838" w:rsidP="00565838">
      <w:pPr>
        <w:pStyle w:val="ListParagraph"/>
        <w:numPr>
          <w:ilvl w:val="0"/>
          <w:numId w:val="14"/>
        </w:numPr>
      </w:pPr>
      <w:r>
        <w:t>ensure the safety of pedestrians</w:t>
      </w:r>
    </w:p>
    <w:p w14:paraId="00B589A9" w14:textId="4EC52BDF" w:rsidR="00565838" w:rsidRDefault="00565838" w:rsidP="00565838">
      <w:pPr>
        <w:pStyle w:val="ListParagraph"/>
        <w:numPr>
          <w:ilvl w:val="0"/>
          <w:numId w:val="14"/>
        </w:numPr>
      </w:pPr>
      <w:r>
        <w:t>ensure access of other vehicles to parking spaces (in particular those designated for people with disability)</w:t>
      </w:r>
      <w:r w:rsidR="0038475D">
        <w:t xml:space="preserve"> </w:t>
      </w:r>
      <w:r>
        <w:t>and</w:t>
      </w:r>
    </w:p>
    <w:p w14:paraId="511C9917" w14:textId="0831DC51" w:rsidR="0038475D" w:rsidRDefault="00565838" w:rsidP="00565838">
      <w:pPr>
        <w:pStyle w:val="ListParagraph"/>
        <w:numPr>
          <w:ilvl w:val="0"/>
          <w:numId w:val="14"/>
        </w:numPr>
      </w:pPr>
      <w:r>
        <w:t xml:space="preserve">allow </w:t>
      </w:r>
      <w:r w:rsidR="0038475D">
        <w:t>access by police a</w:t>
      </w:r>
      <w:r>
        <w:t>nd other emergency vehicles</w:t>
      </w:r>
      <w:r w:rsidR="00BD2D5F">
        <w:t xml:space="preserve"> to the area</w:t>
      </w:r>
      <w:r>
        <w:t>.</w:t>
      </w:r>
    </w:p>
    <w:p w14:paraId="45C27FF0" w14:textId="6D78230A" w:rsidR="0038475D" w:rsidRDefault="0038475D" w:rsidP="00DC397F">
      <w:pPr>
        <w:ind w:right="-142"/>
      </w:pPr>
      <w:r w:rsidRPr="0038475D">
        <w:t>A taxi cannot stand or park in any other place unless the “not for hire” sign is displayed.</w:t>
      </w:r>
      <w:r>
        <w:t xml:space="preserve">  This includes not stand</w:t>
      </w:r>
      <w:r w:rsidR="00BC29F0">
        <w:t>ing</w:t>
      </w:r>
      <w:r w:rsidR="00DC397F">
        <w:t xml:space="preserve"> or park</w:t>
      </w:r>
      <w:r w:rsidR="00BC29F0">
        <w:t>ing behind a taxi rank</w:t>
      </w:r>
      <w:r>
        <w:t xml:space="preserve"> when the </w:t>
      </w:r>
      <w:r w:rsidR="00DC397F">
        <w:t>rank</w:t>
      </w:r>
      <w:r w:rsidR="00BD2D5F">
        <w:t xml:space="preserve"> is full,</w:t>
      </w:r>
      <w:r w:rsidR="00DC397F">
        <w:t xml:space="preserve"> or </w:t>
      </w:r>
      <w:r>
        <w:t>creat</w:t>
      </w:r>
      <w:r w:rsidR="00BC29F0">
        <w:t>ing</w:t>
      </w:r>
      <w:r>
        <w:t xml:space="preserve"> or join</w:t>
      </w:r>
      <w:r w:rsidR="00BC29F0">
        <w:t>ing</w:t>
      </w:r>
      <w:r>
        <w:t xml:space="preserve"> an ad hoc taxi rank.</w:t>
      </w:r>
    </w:p>
    <w:p w14:paraId="37A3519E" w14:textId="513E5E3F" w:rsidR="00F76D26" w:rsidRPr="00F76D26" w:rsidRDefault="00F76D26" w:rsidP="00F76D26">
      <w:pPr>
        <w:keepNext/>
        <w:spacing w:before="360" w:after="120"/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</w:pPr>
      <w:r w:rsidRPr="00F76D26"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>National Police Certificates</w:t>
      </w:r>
    </w:p>
    <w:p w14:paraId="0F7EF058" w14:textId="2C1A5F7F" w:rsidR="00F76D26" w:rsidRDefault="00BD2D5F" w:rsidP="004557B9">
      <w:pPr>
        <w:spacing w:before="200" w:after="0"/>
      </w:pPr>
      <w:r>
        <w:t>The accredited operator, or if applicable</w:t>
      </w:r>
      <w:r w:rsidR="00F76D26">
        <w:t xml:space="preserve"> the responsible person</w:t>
      </w:r>
      <w:r>
        <w:t>,</w:t>
      </w:r>
      <w:r w:rsidR="00F76D26">
        <w:t xml:space="preserve"> </w:t>
      </w:r>
      <w:r w:rsidR="00F76D26" w:rsidRPr="00DC397F">
        <w:rPr>
          <w:u w:val="single"/>
        </w:rPr>
        <w:t>must</w:t>
      </w:r>
      <w:r w:rsidR="00F76D26">
        <w:t xml:space="preserve"> provide their National Police Certificate </w:t>
      </w:r>
      <w:r w:rsidR="00FE64DF">
        <w:t>(NPC)</w:t>
      </w:r>
      <w:r w:rsidR="00F24A85">
        <w:t xml:space="preserve"> to the Transport Commission</w:t>
      </w:r>
      <w:r w:rsidR="00FE64DF">
        <w:t xml:space="preserve"> </w:t>
      </w:r>
      <w:r w:rsidR="00F76D26">
        <w:t>before the date it is due</w:t>
      </w:r>
      <w:r w:rsidR="00F24A85">
        <w:t xml:space="preserve"> (as shown in the conditions of accreditation)</w:t>
      </w:r>
      <w:r w:rsidR="00F76D26">
        <w:t xml:space="preserve">. </w:t>
      </w:r>
    </w:p>
    <w:p w14:paraId="55246A2B" w14:textId="0ACE480F" w:rsidR="00F76D26" w:rsidRDefault="00F76D26" w:rsidP="004557B9">
      <w:pPr>
        <w:spacing w:before="200" w:after="0"/>
      </w:pPr>
      <w:r>
        <w:t xml:space="preserve">An accredited operator, or if applicable the responsible person, must be a fit and proper person to hold that role.  The </w:t>
      </w:r>
      <w:r w:rsidR="00FE64DF">
        <w:t>NPC</w:t>
      </w:r>
      <w:r>
        <w:t xml:space="preserve"> </w:t>
      </w:r>
      <w:r w:rsidR="00FE64DF">
        <w:t xml:space="preserve">forms </w:t>
      </w:r>
      <w:r>
        <w:t xml:space="preserve">part of the information to determine </w:t>
      </w:r>
      <w:r w:rsidR="00DC397F">
        <w:t>whether the</w:t>
      </w:r>
      <w:r>
        <w:t xml:space="preserve"> accredited operator or responsible person is </w:t>
      </w:r>
      <w:r w:rsidR="00F24A85">
        <w:t xml:space="preserve">a </w:t>
      </w:r>
      <w:bookmarkStart w:id="0" w:name="_GoBack"/>
      <w:bookmarkEnd w:id="0"/>
      <w:r>
        <w:t xml:space="preserve">fit </w:t>
      </w:r>
      <w:r w:rsidR="00BD2D5F">
        <w:t>and proper person</w:t>
      </w:r>
      <w:r>
        <w:t>.</w:t>
      </w:r>
    </w:p>
    <w:p w14:paraId="5D42A291" w14:textId="435CFF86" w:rsidR="00DC397F" w:rsidRDefault="00DC397F" w:rsidP="00FE64DF">
      <w:pPr>
        <w:spacing w:before="200" w:after="0"/>
      </w:pPr>
      <w:r>
        <w:t xml:space="preserve">If the </w:t>
      </w:r>
      <w:r w:rsidR="00FE64DF">
        <w:t>NPC</w:t>
      </w:r>
      <w:r>
        <w:t xml:space="preserve"> is not provided before the due date, </w:t>
      </w:r>
      <w:r w:rsidR="00FE64DF">
        <w:t>th</w:t>
      </w:r>
      <w:r w:rsidR="00013212">
        <w:t>is</w:t>
      </w:r>
      <w:r w:rsidR="003B110C">
        <w:t xml:space="preserve"> </w:t>
      </w:r>
      <w:r w:rsidR="00013212">
        <w:t>is</w:t>
      </w:r>
      <w:r>
        <w:t xml:space="preserve"> a breach </w:t>
      </w:r>
      <w:r w:rsidR="00013212">
        <w:t xml:space="preserve">of </w:t>
      </w:r>
      <w:r>
        <w:t>the</w:t>
      </w:r>
      <w:r w:rsidR="00FE64DF">
        <w:t xml:space="preserve"> condition of the accreditation and</w:t>
      </w:r>
      <w:r>
        <w:t xml:space="preserve"> </w:t>
      </w:r>
      <w:r w:rsidR="00013212">
        <w:t xml:space="preserve">of </w:t>
      </w:r>
      <w:r>
        <w:t xml:space="preserve">accreditation laws. </w:t>
      </w:r>
      <w:r w:rsidR="00FE64DF">
        <w:t xml:space="preserve"> To avoid breaching a condition of the accreditation and accreditation laws, the </w:t>
      </w:r>
      <w:r>
        <w:t>operator</w:t>
      </w:r>
      <w:r w:rsidR="00BD2D5F">
        <w:t>,</w:t>
      </w:r>
      <w:r>
        <w:t xml:space="preserve"> or </w:t>
      </w:r>
      <w:r w:rsidR="00BD2D5F">
        <w:t xml:space="preserve">if applicable </w:t>
      </w:r>
      <w:r>
        <w:t>the responsible person</w:t>
      </w:r>
      <w:r w:rsidR="00BD2D5F">
        <w:t xml:space="preserve">, </w:t>
      </w:r>
      <w:r>
        <w:t>will need to apply for the variation of the condition</w:t>
      </w:r>
      <w:r w:rsidR="00013212">
        <w:t xml:space="preserve"> for additional time to submit the NPC</w:t>
      </w:r>
      <w:r>
        <w:t xml:space="preserve">.  </w:t>
      </w:r>
      <w:r w:rsidR="00FE64DF">
        <w:t xml:space="preserve">To apply for a variation of condition </w:t>
      </w:r>
      <w:r w:rsidR="00013212">
        <w:t xml:space="preserve">the operator </w:t>
      </w:r>
      <w:r w:rsidR="00FE64DF">
        <w:t>will need</w:t>
      </w:r>
      <w:r>
        <w:t xml:space="preserve"> to go to Service Tasmania, complete the </w:t>
      </w:r>
      <w:r w:rsidR="00013212">
        <w:t>A</w:t>
      </w:r>
      <w:r>
        <w:t>pplication</w:t>
      </w:r>
      <w:r w:rsidR="00FE64DF">
        <w:t xml:space="preserve"> </w:t>
      </w:r>
      <w:r>
        <w:t xml:space="preserve">to </w:t>
      </w:r>
      <w:r w:rsidR="00013212">
        <w:t>V</w:t>
      </w:r>
      <w:r>
        <w:t xml:space="preserve">ary </w:t>
      </w:r>
      <w:r w:rsidR="00013212">
        <w:t>C</w:t>
      </w:r>
      <w:r>
        <w:t>ondition</w:t>
      </w:r>
      <w:r w:rsidR="00013212">
        <w:t>s</w:t>
      </w:r>
      <w:r>
        <w:t xml:space="preserve"> of Accreditation </w:t>
      </w:r>
      <w:r w:rsidR="00013212">
        <w:t xml:space="preserve">form </w:t>
      </w:r>
      <w:r>
        <w:t>(a copy over page) and pay the fee of $81.00.</w:t>
      </w:r>
    </w:p>
    <w:p w14:paraId="4CC42980" w14:textId="6CEC9571" w:rsidR="00084ED9" w:rsidRDefault="00160AB6" w:rsidP="00DC397F">
      <w:pPr>
        <w:spacing w:before="200" w:after="0"/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</w:pPr>
      <w:r w:rsidRPr="00FF0AA5"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 xml:space="preserve">Regulations and Concessions Unit </w:t>
      </w:r>
      <w:r w:rsidR="00FE64DF"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 xml:space="preserve"> </w:t>
      </w:r>
    </w:p>
    <w:p w14:paraId="23AF93F9" w14:textId="7B45D385" w:rsidR="00C05112" w:rsidRDefault="00D0571C" w:rsidP="00B962B3">
      <w:pPr>
        <w:spacing w:before="200" w:after="120"/>
        <w:rPr>
          <w:rStyle w:val="Hyperlink"/>
          <w:rFonts w:eastAsia="Times New Roman" w:cs="Arial"/>
        </w:rPr>
      </w:pPr>
      <w:r>
        <w:rPr>
          <w:rFonts w:eastAsia="Times New Roman" w:cs="Arial"/>
          <w:color w:val="000000"/>
        </w:rPr>
        <w:t xml:space="preserve">If you need </w:t>
      </w:r>
      <w:r w:rsidR="002F476E">
        <w:rPr>
          <w:rFonts w:eastAsia="Times New Roman" w:cs="Arial"/>
          <w:color w:val="000000"/>
        </w:rPr>
        <w:t xml:space="preserve">help </w:t>
      </w:r>
      <w:r>
        <w:rPr>
          <w:rFonts w:eastAsia="Times New Roman" w:cs="Arial"/>
          <w:color w:val="000000"/>
        </w:rPr>
        <w:t>you can email</w:t>
      </w:r>
      <w:r w:rsidR="00160AB6" w:rsidRPr="00D65413">
        <w:rPr>
          <w:rFonts w:eastAsia="Times New Roman" w:cs="Arial"/>
          <w:color w:val="000000"/>
        </w:rPr>
        <w:t xml:space="preserve">: </w:t>
      </w:r>
      <w:r w:rsidR="00160AB6" w:rsidRPr="00D65413">
        <w:rPr>
          <w:rFonts w:eastAsia="Times New Roman" w:cs="Arial"/>
          <w:color w:val="000000"/>
        </w:rPr>
        <w:tab/>
      </w:r>
      <w:hyperlink r:id="rId14" w:history="1">
        <w:r w:rsidR="00160AB6" w:rsidRPr="00D65413">
          <w:rPr>
            <w:rStyle w:val="Hyperlink"/>
            <w:rFonts w:eastAsia="Times New Roman" w:cs="Arial"/>
          </w:rPr>
          <w:t>operator.accreditation@stategrowth.tas.gov.au</w:t>
        </w:r>
      </w:hyperlink>
      <w:r w:rsidR="00D65543" w:rsidRPr="00D65543">
        <w:t>.</w:t>
      </w:r>
    </w:p>
    <w:sectPr w:rsidR="00C05112" w:rsidSect="000A02E3">
      <w:type w:val="continuous"/>
      <w:pgSz w:w="11906" w:h="16838"/>
      <w:pgMar w:top="1418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D3D05" w14:textId="77777777" w:rsidR="0051049E" w:rsidRDefault="0051049E" w:rsidP="00884DC0">
      <w:pPr>
        <w:spacing w:after="0" w:line="240" w:lineRule="auto"/>
      </w:pPr>
      <w:r>
        <w:separator/>
      </w:r>
    </w:p>
  </w:endnote>
  <w:endnote w:type="continuationSeparator" w:id="0">
    <w:p w14:paraId="50835461" w14:textId="77777777" w:rsidR="0051049E" w:rsidRDefault="0051049E" w:rsidP="0088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Std Light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GillSansMTStd-Light">
    <w:altName w:val="Gill Sans MT 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4DF98" w14:textId="77777777" w:rsidR="0051049E" w:rsidRDefault="0051049E" w:rsidP="00884DC0">
      <w:pPr>
        <w:spacing w:after="0" w:line="240" w:lineRule="auto"/>
      </w:pPr>
      <w:r>
        <w:separator/>
      </w:r>
    </w:p>
  </w:footnote>
  <w:footnote w:type="continuationSeparator" w:id="0">
    <w:p w14:paraId="2BADC33D" w14:textId="77777777" w:rsidR="0051049E" w:rsidRDefault="0051049E" w:rsidP="00884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0685"/>
    <w:multiLevelType w:val="hybridMultilevel"/>
    <w:tmpl w:val="7B0CF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B65E2"/>
    <w:multiLevelType w:val="hybridMultilevel"/>
    <w:tmpl w:val="A2C035F4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11A51BFB"/>
    <w:multiLevelType w:val="hybridMultilevel"/>
    <w:tmpl w:val="6BD41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F3E4B"/>
    <w:multiLevelType w:val="hybridMultilevel"/>
    <w:tmpl w:val="97AE51E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3FD2579"/>
    <w:multiLevelType w:val="hybridMultilevel"/>
    <w:tmpl w:val="A0183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320CE"/>
    <w:multiLevelType w:val="hybridMultilevel"/>
    <w:tmpl w:val="615677C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78504A1"/>
    <w:multiLevelType w:val="hybridMultilevel"/>
    <w:tmpl w:val="8AF09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B0E85"/>
    <w:multiLevelType w:val="hybridMultilevel"/>
    <w:tmpl w:val="9208E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D744C"/>
    <w:multiLevelType w:val="hybridMultilevel"/>
    <w:tmpl w:val="CAE403FE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55CE0AC4"/>
    <w:multiLevelType w:val="hybridMultilevel"/>
    <w:tmpl w:val="53126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22593"/>
    <w:multiLevelType w:val="hybridMultilevel"/>
    <w:tmpl w:val="56463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7062"/>
    <w:multiLevelType w:val="hybridMultilevel"/>
    <w:tmpl w:val="78C0D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71233"/>
    <w:multiLevelType w:val="hybridMultilevel"/>
    <w:tmpl w:val="B080A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66773"/>
    <w:multiLevelType w:val="hybridMultilevel"/>
    <w:tmpl w:val="D02E25D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11"/>
  </w:num>
  <w:num w:numId="12">
    <w:abstractNumId w:val="3"/>
  </w:num>
  <w:num w:numId="13">
    <w:abstractNumId w:val="5"/>
  </w:num>
  <w:num w:numId="1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7B"/>
    <w:rsid w:val="00001528"/>
    <w:rsid w:val="00002EB4"/>
    <w:rsid w:val="000034D4"/>
    <w:rsid w:val="00007328"/>
    <w:rsid w:val="00007C31"/>
    <w:rsid w:val="00007EFC"/>
    <w:rsid w:val="00012C0A"/>
    <w:rsid w:val="00013212"/>
    <w:rsid w:val="0002260C"/>
    <w:rsid w:val="00023725"/>
    <w:rsid w:val="000257A5"/>
    <w:rsid w:val="000276C3"/>
    <w:rsid w:val="0003591A"/>
    <w:rsid w:val="00037DC4"/>
    <w:rsid w:val="000405FE"/>
    <w:rsid w:val="000416E8"/>
    <w:rsid w:val="00042178"/>
    <w:rsid w:val="000466FF"/>
    <w:rsid w:val="00050A69"/>
    <w:rsid w:val="00051111"/>
    <w:rsid w:val="00051B19"/>
    <w:rsid w:val="0005328B"/>
    <w:rsid w:val="00056798"/>
    <w:rsid w:val="00063880"/>
    <w:rsid w:val="00064F10"/>
    <w:rsid w:val="00067A29"/>
    <w:rsid w:val="00070267"/>
    <w:rsid w:val="0007082E"/>
    <w:rsid w:val="00073904"/>
    <w:rsid w:val="00084ED9"/>
    <w:rsid w:val="0008618D"/>
    <w:rsid w:val="00087AEC"/>
    <w:rsid w:val="00087F3A"/>
    <w:rsid w:val="000A02E3"/>
    <w:rsid w:val="000A1E3E"/>
    <w:rsid w:val="000A3A4C"/>
    <w:rsid w:val="000B3386"/>
    <w:rsid w:val="000B3B7F"/>
    <w:rsid w:val="000C11B4"/>
    <w:rsid w:val="000C259B"/>
    <w:rsid w:val="000D1AAD"/>
    <w:rsid w:val="000D3133"/>
    <w:rsid w:val="000D354B"/>
    <w:rsid w:val="000E278A"/>
    <w:rsid w:val="000E4FDD"/>
    <w:rsid w:val="000E6570"/>
    <w:rsid w:val="000F62BF"/>
    <w:rsid w:val="00100F25"/>
    <w:rsid w:val="001019ED"/>
    <w:rsid w:val="00104664"/>
    <w:rsid w:val="00107647"/>
    <w:rsid w:val="001111E8"/>
    <w:rsid w:val="00113380"/>
    <w:rsid w:val="00113AEE"/>
    <w:rsid w:val="00114188"/>
    <w:rsid w:val="00114C56"/>
    <w:rsid w:val="001238A1"/>
    <w:rsid w:val="00125ADD"/>
    <w:rsid w:val="00126A9B"/>
    <w:rsid w:val="00130998"/>
    <w:rsid w:val="001313D8"/>
    <w:rsid w:val="001315C6"/>
    <w:rsid w:val="001443B6"/>
    <w:rsid w:val="0015216A"/>
    <w:rsid w:val="00157D2E"/>
    <w:rsid w:val="00160AB6"/>
    <w:rsid w:val="00161FB9"/>
    <w:rsid w:val="001714B9"/>
    <w:rsid w:val="00185A80"/>
    <w:rsid w:val="00186CDC"/>
    <w:rsid w:val="0019020A"/>
    <w:rsid w:val="0019307A"/>
    <w:rsid w:val="00193A5C"/>
    <w:rsid w:val="00197EE7"/>
    <w:rsid w:val="001A1BAC"/>
    <w:rsid w:val="001A2734"/>
    <w:rsid w:val="001A4278"/>
    <w:rsid w:val="001A50E1"/>
    <w:rsid w:val="001A6A8B"/>
    <w:rsid w:val="001B2CC6"/>
    <w:rsid w:val="001C3333"/>
    <w:rsid w:val="001D207B"/>
    <w:rsid w:val="001D4EE4"/>
    <w:rsid w:val="001E0474"/>
    <w:rsid w:val="001E083C"/>
    <w:rsid w:val="001E31AE"/>
    <w:rsid w:val="001E3D25"/>
    <w:rsid w:val="001E7D51"/>
    <w:rsid w:val="001F39E3"/>
    <w:rsid w:val="001F3D31"/>
    <w:rsid w:val="00200110"/>
    <w:rsid w:val="00211421"/>
    <w:rsid w:val="00211531"/>
    <w:rsid w:val="002132C3"/>
    <w:rsid w:val="00215C17"/>
    <w:rsid w:val="00216A6F"/>
    <w:rsid w:val="00221478"/>
    <w:rsid w:val="00224D53"/>
    <w:rsid w:val="002277A0"/>
    <w:rsid w:val="002278DD"/>
    <w:rsid w:val="002338C6"/>
    <w:rsid w:val="0023441E"/>
    <w:rsid w:val="00241B9F"/>
    <w:rsid w:val="00241F47"/>
    <w:rsid w:val="00242997"/>
    <w:rsid w:val="00243AEC"/>
    <w:rsid w:val="002503DB"/>
    <w:rsid w:val="00251B54"/>
    <w:rsid w:val="00253A62"/>
    <w:rsid w:val="00260A39"/>
    <w:rsid w:val="00261894"/>
    <w:rsid w:val="002619A1"/>
    <w:rsid w:val="00267DD3"/>
    <w:rsid w:val="0027437B"/>
    <w:rsid w:val="002769B2"/>
    <w:rsid w:val="00297FAE"/>
    <w:rsid w:val="002A60AC"/>
    <w:rsid w:val="002A7D18"/>
    <w:rsid w:val="002B071F"/>
    <w:rsid w:val="002C08F6"/>
    <w:rsid w:val="002C2021"/>
    <w:rsid w:val="002C2D32"/>
    <w:rsid w:val="002C3275"/>
    <w:rsid w:val="002C52B5"/>
    <w:rsid w:val="002C54CF"/>
    <w:rsid w:val="002C5C39"/>
    <w:rsid w:val="002D26E0"/>
    <w:rsid w:val="002D494C"/>
    <w:rsid w:val="002D6E69"/>
    <w:rsid w:val="002E1C22"/>
    <w:rsid w:val="002E3BA1"/>
    <w:rsid w:val="002F074A"/>
    <w:rsid w:val="002F15BD"/>
    <w:rsid w:val="002F381F"/>
    <w:rsid w:val="002F476E"/>
    <w:rsid w:val="002F5DD5"/>
    <w:rsid w:val="002F7FEF"/>
    <w:rsid w:val="00311714"/>
    <w:rsid w:val="003142A9"/>
    <w:rsid w:val="00324A21"/>
    <w:rsid w:val="00332B45"/>
    <w:rsid w:val="003332F2"/>
    <w:rsid w:val="003356DD"/>
    <w:rsid w:val="00350E5B"/>
    <w:rsid w:val="00351E0B"/>
    <w:rsid w:val="00353A16"/>
    <w:rsid w:val="003612F4"/>
    <w:rsid w:val="0036418C"/>
    <w:rsid w:val="0036557D"/>
    <w:rsid w:val="00370DBE"/>
    <w:rsid w:val="00370EE3"/>
    <w:rsid w:val="00382E1A"/>
    <w:rsid w:val="003830B2"/>
    <w:rsid w:val="00383C30"/>
    <w:rsid w:val="00383CD8"/>
    <w:rsid w:val="0038475D"/>
    <w:rsid w:val="00384F5E"/>
    <w:rsid w:val="003945D7"/>
    <w:rsid w:val="00394D53"/>
    <w:rsid w:val="00397566"/>
    <w:rsid w:val="003A16DF"/>
    <w:rsid w:val="003A2D6E"/>
    <w:rsid w:val="003A3689"/>
    <w:rsid w:val="003A3FF1"/>
    <w:rsid w:val="003A5356"/>
    <w:rsid w:val="003A5ACC"/>
    <w:rsid w:val="003A60FD"/>
    <w:rsid w:val="003B110C"/>
    <w:rsid w:val="003B2DE8"/>
    <w:rsid w:val="003B4A1B"/>
    <w:rsid w:val="003B4A83"/>
    <w:rsid w:val="003B546D"/>
    <w:rsid w:val="003C1B09"/>
    <w:rsid w:val="003C2D64"/>
    <w:rsid w:val="003D1A3A"/>
    <w:rsid w:val="003D3A30"/>
    <w:rsid w:val="003D62EA"/>
    <w:rsid w:val="003E0838"/>
    <w:rsid w:val="003E4A0B"/>
    <w:rsid w:val="003E50CF"/>
    <w:rsid w:val="003F13F8"/>
    <w:rsid w:val="003F541F"/>
    <w:rsid w:val="00404A05"/>
    <w:rsid w:val="004125E8"/>
    <w:rsid w:val="00412BEC"/>
    <w:rsid w:val="00415CCF"/>
    <w:rsid w:val="00420F90"/>
    <w:rsid w:val="00432D8E"/>
    <w:rsid w:val="004337A5"/>
    <w:rsid w:val="004403F3"/>
    <w:rsid w:val="00442E84"/>
    <w:rsid w:val="00443F66"/>
    <w:rsid w:val="004475F8"/>
    <w:rsid w:val="004557B9"/>
    <w:rsid w:val="00460435"/>
    <w:rsid w:val="004720D4"/>
    <w:rsid w:val="0047507C"/>
    <w:rsid w:val="004874AD"/>
    <w:rsid w:val="00494844"/>
    <w:rsid w:val="004A0F9C"/>
    <w:rsid w:val="004A5B44"/>
    <w:rsid w:val="004A783F"/>
    <w:rsid w:val="004B3A71"/>
    <w:rsid w:val="004B4E46"/>
    <w:rsid w:val="004B62AF"/>
    <w:rsid w:val="004C1ED3"/>
    <w:rsid w:val="004D32B0"/>
    <w:rsid w:val="004D794E"/>
    <w:rsid w:val="004E0FCC"/>
    <w:rsid w:val="004E49C8"/>
    <w:rsid w:val="004E669E"/>
    <w:rsid w:val="004E6F7C"/>
    <w:rsid w:val="004F0AC0"/>
    <w:rsid w:val="004F0AE7"/>
    <w:rsid w:val="004F15BD"/>
    <w:rsid w:val="004F6DC0"/>
    <w:rsid w:val="00504966"/>
    <w:rsid w:val="00505765"/>
    <w:rsid w:val="00506F66"/>
    <w:rsid w:val="0051049E"/>
    <w:rsid w:val="00513E1F"/>
    <w:rsid w:val="00516CE9"/>
    <w:rsid w:val="00531475"/>
    <w:rsid w:val="0053183A"/>
    <w:rsid w:val="00532C71"/>
    <w:rsid w:val="005347FB"/>
    <w:rsid w:val="0053589C"/>
    <w:rsid w:val="00537A10"/>
    <w:rsid w:val="00544441"/>
    <w:rsid w:val="00556AFD"/>
    <w:rsid w:val="00557B12"/>
    <w:rsid w:val="00560A18"/>
    <w:rsid w:val="00565838"/>
    <w:rsid w:val="00573E2E"/>
    <w:rsid w:val="00577A67"/>
    <w:rsid w:val="00582AB0"/>
    <w:rsid w:val="00583157"/>
    <w:rsid w:val="005865F5"/>
    <w:rsid w:val="00590A61"/>
    <w:rsid w:val="00590CCD"/>
    <w:rsid w:val="0059106A"/>
    <w:rsid w:val="005920AB"/>
    <w:rsid w:val="00592AE0"/>
    <w:rsid w:val="00594F01"/>
    <w:rsid w:val="00595EC5"/>
    <w:rsid w:val="005965F4"/>
    <w:rsid w:val="005A04AD"/>
    <w:rsid w:val="005A4604"/>
    <w:rsid w:val="005A7D4C"/>
    <w:rsid w:val="005B2506"/>
    <w:rsid w:val="005B48D7"/>
    <w:rsid w:val="005B53DD"/>
    <w:rsid w:val="005B5619"/>
    <w:rsid w:val="005B62EC"/>
    <w:rsid w:val="005C07AE"/>
    <w:rsid w:val="005C1CF8"/>
    <w:rsid w:val="005C7AD5"/>
    <w:rsid w:val="005D00DF"/>
    <w:rsid w:val="005D0D7A"/>
    <w:rsid w:val="005D1DF7"/>
    <w:rsid w:val="005D2551"/>
    <w:rsid w:val="005D5E87"/>
    <w:rsid w:val="005D7312"/>
    <w:rsid w:val="005E5066"/>
    <w:rsid w:val="005E718B"/>
    <w:rsid w:val="005F5156"/>
    <w:rsid w:val="005F6926"/>
    <w:rsid w:val="005F79BB"/>
    <w:rsid w:val="005F7AC3"/>
    <w:rsid w:val="00601B60"/>
    <w:rsid w:val="00603208"/>
    <w:rsid w:val="006035AE"/>
    <w:rsid w:val="00614489"/>
    <w:rsid w:val="00615B49"/>
    <w:rsid w:val="00622AB2"/>
    <w:rsid w:val="00633325"/>
    <w:rsid w:val="00640AE7"/>
    <w:rsid w:val="006502AE"/>
    <w:rsid w:val="006515B1"/>
    <w:rsid w:val="00654B6B"/>
    <w:rsid w:val="0065644A"/>
    <w:rsid w:val="00662F89"/>
    <w:rsid w:val="00671582"/>
    <w:rsid w:val="00680ADA"/>
    <w:rsid w:val="00691ED0"/>
    <w:rsid w:val="00697B17"/>
    <w:rsid w:val="00697B90"/>
    <w:rsid w:val="006B23F6"/>
    <w:rsid w:val="006B25AD"/>
    <w:rsid w:val="006C2558"/>
    <w:rsid w:val="006C41E1"/>
    <w:rsid w:val="006D55DD"/>
    <w:rsid w:val="006E252F"/>
    <w:rsid w:val="006E7B26"/>
    <w:rsid w:val="006F2134"/>
    <w:rsid w:val="006F2AB4"/>
    <w:rsid w:val="006F642E"/>
    <w:rsid w:val="0070709F"/>
    <w:rsid w:val="00707412"/>
    <w:rsid w:val="007332EF"/>
    <w:rsid w:val="00741D70"/>
    <w:rsid w:val="0074316A"/>
    <w:rsid w:val="00743391"/>
    <w:rsid w:val="007471A5"/>
    <w:rsid w:val="007513B6"/>
    <w:rsid w:val="00751639"/>
    <w:rsid w:val="00752557"/>
    <w:rsid w:val="00756486"/>
    <w:rsid w:val="0076007A"/>
    <w:rsid w:val="00762A36"/>
    <w:rsid w:val="0079156A"/>
    <w:rsid w:val="00791579"/>
    <w:rsid w:val="00795A40"/>
    <w:rsid w:val="007A1A25"/>
    <w:rsid w:val="007A4372"/>
    <w:rsid w:val="007A60D1"/>
    <w:rsid w:val="007B05EA"/>
    <w:rsid w:val="007C5384"/>
    <w:rsid w:val="007C6312"/>
    <w:rsid w:val="007C7A53"/>
    <w:rsid w:val="007C7F80"/>
    <w:rsid w:val="007D127C"/>
    <w:rsid w:val="007E1FD3"/>
    <w:rsid w:val="007E2F9F"/>
    <w:rsid w:val="007E4AB8"/>
    <w:rsid w:val="007E4CAB"/>
    <w:rsid w:val="007E6792"/>
    <w:rsid w:val="007E6F14"/>
    <w:rsid w:val="007E6F23"/>
    <w:rsid w:val="007E7C57"/>
    <w:rsid w:val="007E7FF9"/>
    <w:rsid w:val="007F126E"/>
    <w:rsid w:val="007F2A35"/>
    <w:rsid w:val="007F2E35"/>
    <w:rsid w:val="007F71AA"/>
    <w:rsid w:val="00804733"/>
    <w:rsid w:val="00804C35"/>
    <w:rsid w:val="008068E1"/>
    <w:rsid w:val="00806B4B"/>
    <w:rsid w:val="00811F70"/>
    <w:rsid w:val="00814F86"/>
    <w:rsid w:val="00820F86"/>
    <w:rsid w:val="008258B7"/>
    <w:rsid w:val="00827045"/>
    <w:rsid w:val="00827921"/>
    <w:rsid w:val="00836F34"/>
    <w:rsid w:val="0084542F"/>
    <w:rsid w:val="008520B0"/>
    <w:rsid w:val="00855E7F"/>
    <w:rsid w:val="00855FCF"/>
    <w:rsid w:val="008564E4"/>
    <w:rsid w:val="008648B6"/>
    <w:rsid w:val="008741BB"/>
    <w:rsid w:val="00877D92"/>
    <w:rsid w:val="00884DC0"/>
    <w:rsid w:val="0089161B"/>
    <w:rsid w:val="0089234A"/>
    <w:rsid w:val="0089386B"/>
    <w:rsid w:val="008A28B5"/>
    <w:rsid w:val="008A33EC"/>
    <w:rsid w:val="008C0CAC"/>
    <w:rsid w:val="008C1EFF"/>
    <w:rsid w:val="008D0FED"/>
    <w:rsid w:val="008E03EB"/>
    <w:rsid w:val="008E0767"/>
    <w:rsid w:val="008E4EFA"/>
    <w:rsid w:val="008F046B"/>
    <w:rsid w:val="008F0E33"/>
    <w:rsid w:val="008F1D0D"/>
    <w:rsid w:val="008F25CB"/>
    <w:rsid w:val="008F4A58"/>
    <w:rsid w:val="009000FB"/>
    <w:rsid w:val="00902948"/>
    <w:rsid w:val="00905C4F"/>
    <w:rsid w:val="009106C5"/>
    <w:rsid w:val="009133D1"/>
    <w:rsid w:val="00917CD8"/>
    <w:rsid w:val="00920E7C"/>
    <w:rsid w:val="0092272F"/>
    <w:rsid w:val="00927A35"/>
    <w:rsid w:val="009323E9"/>
    <w:rsid w:val="0094074B"/>
    <w:rsid w:val="00951651"/>
    <w:rsid w:val="00952493"/>
    <w:rsid w:val="00954531"/>
    <w:rsid w:val="00954810"/>
    <w:rsid w:val="0095560D"/>
    <w:rsid w:val="00955D82"/>
    <w:rsid w:val="00956FCD"/>
    <w:rsid w:val="009635DE"/>
    <w:rsid w:val="00965562"/>
    <w:rsid w:val="00965A43"/>
    <w:rsid w:val="0096664F"/>
    <w:rsid w:val="00966E02"/>
    <w:rsid w:val="00967969"/>
    <w:rsid w:val="009715FA"/>
    <w:rsid w:val="0097469F"/>
    <w:rsid w:val="00974B10"/>
    <w:rsid w:val="0097525A"/>
    <w:rsid w:val="00983746"/>
    <w:rsid w:val="00984D44"/>
    <w:rsid w:val="00986EC7"/>
    <w:rsid w:val="0098726C"/>
    <w:rsid w:val="00990EE0"/>
    <w:rsid w:val="0099330D"/>
    <w:rsid w:val="0099379D"/>
    <w:rsid w:val="00993A1C"/>
    <w:rsid w:val="0099630E"/>
    <w:rsid w:val="009974E0"/>
    <w:rsid w:val="00997E04"/>
    <w:rsid w:val="009A5C8A"/>
    <w:rsid w:val="009B0465"/>
    <w:rsid w:val="009B0A25"/>
    <w:rsid w:val="009B1EC1"/>
    <w:rsid w:val="009B6216"/>
    <w:rsid w:val="009B7673"/>
    <w:rsid w:val="009B7D17"/>
    <w:rsid w:val="009C2526"/>
    <w:rsid w:val="009C4F0A"/>
    <w:rsid w:val="009C6195"/>
    <w:rsid w:val="009C74D5"/>
    <w:rsid w:val="009C7B67"/>
    <w:rsid w:val="009D6CE0"/>
    <w:rsid w:val="009E2099"/>
    <w:rsid w:val="009F5D34"/>
    <w:rsid w:val="00A00FEF"/>
    <w:rsid w:val="00A0129C"/>
    <w:rsid w:val="00A03FE8"/>
    <w:rsid w:val="00A04737"/>
    <w:rsid w:val="00A054F5"/>
    <w:rsid w:val="00A119FE"/>
    <w:rsid w:val="00A11B07"/>
    <w:rsid w:val="00A121B7"/>
    <w:rsid w:val="00A13ADB"/>
    <w:rsid w:val="00A47FCB"/>
    <w:rsid w:val="00A5790F"/>
    <w:rsid w:val="00A60C57"/>
    <w:rsid w:val="00A64982"/>
    <w:rsid w:val="00A64ECD"/>
    <w:rsid w:val="00A72394"/>
    <w:rsid w:val="00A73C2A"/>
    <w:rsid w:val="00A73FAA"/>
    <w:rsid w:val="00A756B5"/>
    <w:rsid w:val="00A805F6"/>
    <w:rsid w:val="00A815A7"/>
    <w:rsid w:val="00A82734"/>
    <w:rsid w:val="00A850E3"/>
    <w:rsid w:val="00A87589"/>
    <w:rsid w:val="00A92890"/>
    <w:rsid w:val="00A94C19"/>
    <w:rsid w:val="00A95CAF"/>
    <w:rsid w:val="00AA1E6B"/>
    <w:rsid w:val="00AB088E"/>
    <w:rsid w:val="00AB2435"/>
    <w:rsid w:val="00AB3192"/>
    <w:rsid w:val="00AB3EED"/>
    <w:rsid w:val="00AB7BB5"/>
    <w:rsid w:val="00AD0B72"/>
    <w:rsid w:val="00AD346E"/>
    <w:rsid w:val="00AD3FCE"/>
    <w:rsid w:val="00AD795C"/>
    <w:rsid w:val="00AE5659"/>
    <w:rsid w:val="00AF57A1"/>
    <w:rsid w:val="00B00F95"/>
    <w:rsid w:val="00B01F2C"/>
    <w:rsid w:val="00B04C6A"/>
    <w:rsid w:val="00B1469E"/>
    <w:rsid w:val="00B15B65"/>
    <w:rsid w:val="00B3056E"/>
    <w:rsid w:val="00B339AE"/>
    <w:rsid w:val="00B4584B"/>
    <w:rsid w:val="00B51604"/>
    <w:rsid w:val="00B54877"/>
    <w:rsid w:val="00B549DE"/>
    <w:rsid w:val="00B6079F"/>
    <w:rsid w:val="00B61B65"/>
    <w:rsid w:val="00B659DC"/>
    <w:rsid w:val="00B7688C"/>
    <w:rsid w:val="00B806C6"/>
    <w:rsid w:val="00B81135"/>
    <w:rsid w:val="00B84C54"/>
    <w:rsid w:val="00B919A8"/>
    <w:rsid w:val="00B95FA2"/>
    <w:rsid w:val="00B962B3"/>
    <w:rsid w:val="00BA2F10"/>
    <w:rsid w:val="00BA400F"/>
    <w:rsid w:val="00BA5DFD"/>
    <w:rsid w:val="00BB10A2"/>
    <w:rsid w:val="00BB11D3"/>
    <w:rsid w:val="00BC008A"/>
    <w:rsid w:val="00BC29F0"/>
    <w:rsid w:val="00BC5105"/>
    <w:rsid w:val="00BC7103"/>
    <w:rsid w:val="00BD05BE"/>
    <w:rsid w:val="00BD14A2"/>
    <w:rsid w:val="00BD2D5F"/>
    <w:rsid w:val="00BE05D7"/>
    <w:rsid w:val="00BE1B9D"/>
    <w:rsid w:val="00BE2420"/>
    <w:rsid w:val="00BE34F6"/>
    <w:rsid w:val="00BE7830"/>
    <w:rsid w:val="00BE7B52"/>
    <w:rsid w:val="00C05112"/>
    <w:rsid w:val="00C05CED"/>
    <w:rsid w:val="00C06B5B"/>
    <w:rsid w:val="00C12747"/>
    <w:rsid w:val="00C13523"/>
    <w:rsid w:val="00C1352B"/>
    <w:rsid w:val="00C136AF"/>
    <w:rsid w:val="00C15859"/>
    <w:rsid w:val="00C15D3A"/>
    <w:rsid w:val="00C20E61"/>
    <w:rsid w:val="00C2139E"/>
    <w:rsid w:val="00C315FF"/>
    <w:rsid w:val="00C32EA8"/>
    <w:rsid w:val="00C33CB8"/>
    <w:rsid w:val="00C35F11"/>
    <w:rsid w:val="00C37D6F"/>
    <w:rsid w:val="00C43C56"/>
    <w:rsid w:val="00C51D70"/>
    <w:rsid w:val="00C525A5"/>
    <w:rsid w:val="00C57E1D"/>
    <w:rsid w:val="00C57EFE"/>
    <w:rsid w:val="00C60973"/>
    <w:rsid w:val="00C6477C"/>
    <w:rsid w:val="00C67D67"/>
    <w:rsid w:val="00C71506"/>
    <w:rsid w:val="00C71515"/>
    <w:rsid w:val="00C72032"/>
    <w:rsid w:val="00C77AF4"/>
    <w:rsid w:val="00C94F95"/>
    <w:rsid w:val="00C9703D"/>
    <w:rsid w:val="00CC2B7A"/>
    <w:rsid w:val="00CC303C"/>
    <w:rsid w:val="00CD0994"/>
    <w:rsid w:val="00CD38BF"/>
    <w:rsid w:val="00CD54FE"/>
    <w:rsid w:val="00CD5C76"/>
    <w:rsid w:val="00CE0708"/>
    <w:rsid w:val="00CE1274"/>
    <w:rsid w:val="00CE1EE9"/>
    <w:rsid w:val="00CE21A1"/>
    <w:rsid w:val="00CE3D9C"/>
    <w:rsid w:val="00CE79B1"/>
    <w:rsid w:val="00CF10C3"/>
    <w:rsid w:val="00CF26E8"/>
    <w:rsid w:val="00CF3875"/>
    <w:rsid w:val="00CF5AB0"/>
    <w:rsid w:val="00D007E8"/>
    <w:rsid w:val="00D00E8F"/>
    <w:rsid w:val="00D01AD5"/>
    <w:rsid w:val="00D02F5A"/>
    <w:rsid w:val="00D038E0"/>
    <w:rsid w:val="00D0571C"/>
    <w:rsid w:val="00D11E0A"/>
    <w:rsid w:val="00D13D36"/>
    <w:rsid w:val="00D17240"/>
    <w:rsid w:val="00D400CE"/>
    <w:rsid w:val="00D41CCA"/>
    <w:rsid w:val="00D47661"/>
    <w:rsid w:val="00D50697"/>
    <w:rsid w:val="00D533ED"/>
    <w:rsid w:val="00D55BB8"/>
    <w:rsid w:val="00D56B05"/>
    <w:rsid w:val="00D617A9"/>
    <w:rsid w:val="00D61CE6"/>
    <w:rsid w:val="00D65413"/>
    <w:rsid w:val="00D65543"/>
    <w:rsid w:val="00D663FF"/>
    <w:rsid w:val="00D73455"/>
    <w:rsid w:val="00D77F94"/>
    <w:rsid w:val="00D802FF"/>
    <w:rsid w:val="00D8109D"/>
    <w:rsid w:val="00D8659B"/>
    <w:rsid w:val="00D9174F"/>
    <w:rsid w:val="00D925EF"/>
    <w:rsid w:val="00D96169"/>
    <w:rsid w:val="00DA1C56"/>
    <w:rsid w:val="00DA2B7A"/>
    <w:rsid w:val="00DA6B97"/>
    <w:rsid w:val="00DB09E6"/>
    <w:rsid w:val="00DB6764"/>
    <w:rsid w:val="00DB70DF"/>
    <w:rsid w:val="00DC397F"/>
    <w:rsid w:val="00DC679B"/>
    <w:rsid w:val="00DD1A50"/>
    <w:rsid w:val="00DD2112"/>
    <w:rsid w:val="00DD25E7"/>
    <w:rsid w:val="00E065A8"/>
    <w:rsid w:val="00E078F7"/>
    <w:rsid w:val="00E10892"/>
    <w:rsid w:val="00E11CBC"/>
    <w:rsid w:val="00E16E16"/>
    <w:rsid w:val="00E246CD"/>
    <w:rsid w:val="00E2660C"/>
    <w:rsid w:val="00E273F4"/>
    <w:rsid w:val="00E30E8D"/>
    <w:rsid w:val="00E3433F"/>
    <w:rsid w:val="00E35E89"/>
    <w:rsid w:val="00E4179F"/>
    <w:rsid w:val="00E41B73"/>
    <w:rsid w:val="00E4496F"/>
    <w:rsid w:val="00E46D83"/>
    <w:rsid w:val="00E50E87"/>
    <w:rsid w:val="00E515D9"/>
    <w:rsid w:val="00E52764"/>
    <w:rsid w:val="00E71D44"/>
    <w:rsid w:val="00E81E3F"/>
    <w:rsid w:val="00E822E8"/>
    <w:rsid w:val="00E8339F"/>
    <w:rsid w:val="00E87735"/>
    <w:rsid w:val="00EA4EBA"/>
    <w:rsid w:val="00EB0ABF"/>
    <w:rsid w:val="00EB42B7"/>
    <w:rsid w:val="00EB49ED"/>
    <w:rsid w:val="00EB4E27"/>
    <w:rsid w:val="00EC0467"/>
    <w:rsid w:val="00EC2430"/>
    <w:rsid w:val="00EC28FD"/>
    <w:rsid w:val="00EC63B9"/>
    <w:rsid w:val="00ED64DB"/>
    <w:rsid w:val="00ED7E0A"/>
    <w:rsid w:val="00EE2285"/>
    <w:rsid w:val="00EE4472"/>
    <w:rsid w:val="00EE5BF9"/>
    <w:rsid w:val="00EE5E41"/>
    <w:rsid w:val="00EF0346"/>
    <w:rsid w:val="00EF2959"/>
    <w:rsid w:val="00EF3092"/>
    <w:rsid w:val="00F01BA9"/>
    <w:rsid w:val="00F12B23"/>
    <w:rsid w:val="00F16A1F"/>
    <w:rsid w:val="00F2208D"/>
    <w:rsid w:val="00F23C07"/>
    <w:rsid w:val="00F24A85"/>
    <w:rsid w:val="00F307B1"/>
    <w:rsid w:val="00F35AF8"/>
    <w:rsid w:val="00F36F10"/>
    <w:rsid w:val="00F44930"/>
    <w:rsid w:val="00F5174E"/>
    <w:rsid w:val="00F526C0"/>
    <w:rsid w:val="00F5498A"/>
    <w:rsid w:val="00F63BC9"/>
    <w:rsid w:val="00F663B4"/>
    <w:rsid w:val="00F67C13"/>
    <w:rsid w:val="00F75986"/>
    <w:rsid w:val="00F76D26"/>
    <w:rsid w:val="00F83864"/>
    <w:rsid w:val="00F855C7"/>
    <w:rsid w:val="00F93F6D"/>
    <w:rsid w:val="00F943C0"/>
    <w:rsid w:val="00F97788"/>
    <w:rsid w:val="00FB36F0"/>
    <w:rsid w:val="00FB57FD"/>
    <w:rsid w:val="00FB72DE"/>
    <w:rsid w:val="00FB7A73"/>
    <w:rsid w:val="00FD1762"/>
    <w:rsid w:val="00FD1C05"/>
    <w:rsid w:val="00FD21DE"/>
    <w:rsid w:val="00FD580E"/>
    <w:rsid w:val="00FD5A3A"/>
    <w:rsid w:val="00FD6725"/>
    <w:rsid w:val="00FE2A1A"/>
    <w:rsid w:val="00FE3F82"/>
    <w:rsid w:val="00FE49BC"/>
    <w:rsid w:val="00FE4D86"/>
    <w:rsid w:val="00FE64DF"/>
    <w:rsid w:val="00FE6E87"/>
    <w:rsid w:val="00FF0AA5"/>
    <w:rsid w:val="00FF128E"/>
    <w:rsid w:val="00FF2905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A008A"/>
  <w15:chartTrackingRefBased/>
  <w15:docId w15:val="{241E8EDD-6D15-4B51-A2D1-38239E4F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46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E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07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37B"/>
    <w:rPr>
      <w:color w:val="0077CC"/>
      <w:u w:val="single"/>
    </w:rPr>
  </w:style>
  <w:style w:type="paragraph" w:styleId="ListParagraph">
    <w:name w:val="List Paragraph"/>
    <w:basedOn w:val="Normal"/>
    <w:uiPriority w:val="34"/>
    <w:qFormat/>
    <w:rsid w:val="001111E8"/>
    <w:pPr>
      <w:ind w:left="720"/>
      <w:contextualSpacing/>
    </w:pPr>
  </w:style>
  <w:style w:type="table" w:styleId="TableGrid">
    <w:name w:val="Table Grid"/>
    <w:basedOn w:val="TableNormal"/>
    <w:uiPriority w:val="59"/>
    <w:rsid w:val="00F7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B3E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502A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2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D64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D6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6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0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746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04737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04737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884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C0"/>
  </w:style>
  <w:style w:type="paragraph" w:styleId="Footer">
    <w:name w:val="footer"/>
    <w:basedOn w:val="Normal"/>
    <w:link w:val="FooterChar"/>
    <w:uiPriority w:val="99"/>
    <w:unhideWhenUsed/>
    <w:rsid w:val="00884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DC0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DC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C1ED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07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CF5AB0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9C7B67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9C7B67"/>
    <w:rPr>
      <w:rFonts w:ascii="Calibri" w:hAnsi="Calibri" w:cs="Times New Roman"/>
    </w:rPr>
  </w:style>
  <w:style w:type="paragraph" w:customStyle="1" w:styleId="DSGBodytext">
    <w:name w:val="DSG Body text"/>
    <w:qFormat/>
    <w:rsid w:val="00583157"/>
    <w:pPr>
      <w:suppressAutoHyphens/>
      <w:spacing w:before="240" w:after="200" w:line="280" w:lineRule="exact"/>
    </w:pPr>
    <w:rPr>
      <w:rFonts w:ascii="Gill Sans MT Std Light" w:eastAsiaTheme="minorEastAsia" w:hAnsi="Gill Sans MT Std Light" w:cs="GillSansMTStd-Light"/>
      <w:color w:val="000000"/>
      <w:lang w:val="en-GB"/>
    </w:rPr>
  </w:style>
  <w:style w:type="table" w:styleId="TableGridLight">
    <w:name w:val="Grid Table Light"/>
    <w:basedOn w:val="TableNormal"/>
    <w:uiPriority w:val="40"/>
    <w:rsid w:val="00215C17"/>
    <w:pPr>
      <w:spacing w:before="120" w:after="0" w:line="240" w:lineRule="auto"/>
    </w:pPr>
    <w:rPr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view-history-note1">
    <w:name w:val="view-history-note1"/>
    <w:basedOn w:val="DefaultParagraphFont"/>
    <w:rsid w:val="00C6477C"/>
    <w:rPr>
      <w:vanish/>
      <w:webHidden w:val="0"/>
      <w:color w:val="0026B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801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9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91721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10243">
                                      <w:blockQuote w:val="1"/>
                                      <w:marLeft w:val="72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924470">
                                      <w:blockQuote w:val="1"/>
                                      <w:marLeft w:val="72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ransport.tas.gov.au/passenger/operators/ancillary_certificat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ansport.tas.gov.au/MRSWebInterface/public/regoLookup/registrationLookup.js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erator.accreditation@stategrowth.tas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axireview@stategrowth.ta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egrowth.tas.gov.au/taxireview" TargetMode="External"/><Relationship Id="rId14" Type="http://schemas.openxmlformats.org/officeDocument/2006/relationships/hyperlink" Target="mailto:operator.accreditation@stategrowth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2648E-3131-41F9-9D03-B5808AFD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1077</Words>
  <Characters>6032</Characters>
  <Application>Microsoft Office Word</Application>
  <DocSecurity>0</DocSecurity>
  <Lines>754</Lines>
  <Paragraphs>296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Anne-Maree</dc:creator>
  <cp:keywords/>
  <dc:description/>
  <cp:lastModifiedBy>Moate, Babette</cp:lastModifiedBy>
  <cp:revision>13</cp:revision>
  <cp:lastPrinted>2017-09-25T01:43:00Z</cp:lastPrinted>
  <dcterms:created xsi:type="dcterms:W3CDTF">2019-10-28T00:30:00Z</dcterms:created>
  <dcterms:modified xsi:type="dcterms:W3CDTF">2019-12-12T22:24:00Z</dcterms:modified>
</cp:coreProperties>
</file>