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55B6" w14:textId="77777777" w:rsidR="00935DC6" w:rsidRDefault="00BE2F46" w:rsidP="00935DC6">
      <w:pPr>
        <w:pStyle w:val="Heading2SS"/>
        <w:tabs>
          <w:tab w:val="clear" w:pos="2268"/>
          <w:tab w:val="left" w:pos="2694"/>
        </w:tabs>
        <w:rPr>
          <w:rFonts w:ascii="Verdana" w:hAnsi="Verdana"/>
          <w:lang w:val="en-US"/>
        </w:rPr>
      </w:pPr>
      <w:r w:rsidRPr="00935DC6">
        <w:rPr>
          <w:rFonts w:ascii="Verdana" w:hAnsi="Verdana"/>
        </w:rPr>
        <w:t>SECTION 760</w:t>
      </w:r>
      <w:r w:rsidRPr="00935DC6">
        <w:rPr>
          <w:rFonts w:ascii="Verdana" w:hAnsi="Verdana"/>
        </w:rPr>
        <w:tab/>
        <w:t>-</w:t>
      </w:r>
      <w:r w:rsidRPr="00935DC6">
        <w:rPr>
          <w:rFonts w:ascii="Verdana" w:hAnsi="Verdana"/>
        </w:rPr>
        <w:tab/>
      </w:r>
      <w:r w:rsidRPr="00935DC6">
        <w:rPr>
          <w:rFonts w:ascii="Verdana" w:hAnsi="Verdana"/>
          <w:lang w:val="en-US"/>
        </w:rPr>
        <w:t xml:space="preserve">ERECTION OF SIGN </w:t>
      </w:r>
      <w:r w:rsidR="009917A5" w:rsidRPr="00935DC6">
        <w:rPr>
          <w:rFonts w:ascii="Verdana" w:hAnsi="Verdana"/>
          <w:lang w:val="en-US"/>
        </w:rPr>
        <w:t xml:space="preserve">GANTRIES </w:t>
      </w:r>
      <w:r w:rsidRPr="00935DC6">
        <w:rPr>
          <w:rFonts w:ascii="Verdana" w:hAnsi="Verdana"/>
          <w:lang w:val="en-US"/>
        </w:rPr>
        <w:t>AND</w:t>
      </w:r>
    </w:p>
    <w:p w14:paraId="2D18F059" w14:textId="6A5D2CE2" w:rsidR="00BE2F46" w:rsidRPr="00935DC6" w:rsidRDefault="00935DC6" w:rsidP="00935DC6">
      <w:pPr>
        <w:pStyle w:val="Heading2SS"/>
        <w:tabs>
          <w:tab w:val="clear" w:pos="2268"/>
          <w:tab w:val="left" w:pos="2694"/>
        </w:tabs>
        <w:rPr>
          <w:rFonts w:ascii="Verdana" w:hAnsi="Verdana"/>
        </w:rPr>
      </w:pPr>
      <w:r>
        <w:rPr>
          <w:rFonts w:ascii="Verdana" w:hAnsi="Verdana"/>
          <w:lang w:val="en-US"/>
        </w:rPr>
        <w:tab/>
      </w:r>
      <w:r>
        <w:rPr>
          <w:rFonts w:ascii="Verdana" w:hAnsi="Verdana"/>
          <w:lang w:val="en-US"/>
        </w:rPr>
        <w:tab/>
      </w:r>
      <w:r>
        <w:rPr>
          <w:rFonts w:ascii="Verdana" w:hAnsi="Verdana"/>
          <w:lang w:val="en-US"/>
        </w:rPr>
        <w:tab/>
      </w:r>
      <w:r w:rsidR="00BE2F46" w:rsidRPr="00935DC6">
        <w:rPr>
          <w:rFonts w:ascii="Verdana" w:hAnsi="Verdana"/>
          <w:lang w:val="en-US"/>
        </w:rPr>
        <w:t>HIGH</w:t>
      </w:r>
      <w:r w:rsidR="00BE2F46" w:rsidRPr="00935DC6">
        <w:rPr>
          <w:rFonts w:ascii="Verdana" w:hAnsi="Verdana"/>
          <w:lang w:val="en-US"/>
        </w:rPr>
        <w:noBreakHyphen/>
        <w:t>MAST LIGHT STRUCTURES</w:t>
      </w:r>
    </w:p>
    <w:p w14:paraId="30C949D8" w14:textId="77777777" w:rsidR="00BE2F46" w:rsidRPr="00935DC6" w:rsidRDefault="00BE2F46" w:rsidP="00F536D4">
      <w:pPr>
        <w:rPr>
          <w:rFonts w:ascii="Verdana" w:hAnsi="Verdana"/>
        </w:rPr>
      </w:pPr>
    </w:p>
    <w:p w14:paraId="3522B032" w14:textId="77777777" w:rsidR="00F536D4" w:rsidRPr="00935DC6" w:rsidRDefault="00F536D4" w:rsidP="00F536D4">
      <w:pPr>
        <w:rPr>
          <w:rFonts w:ascii="Verdana" w:hAnsi="Verdana"/>
        </w:rPr>
      </w:pPr>
    </w:p>
    <w:p w14:paraId="0ECE4802" w14:textId="77777777" w:rsidR="00BE2F46" w:rsidRPr="00935DC6" w:rsidRDefault="00BE2F46" w:rsidP="00BE2F46">
      <w:pPr>
        <w:rPr>
          <w:rFonts w:ascii="Verdana" w:hAnsi="Verdana"/>
        </w:rPr>
      </w:pPr>
      <w:r w:rsidRPr="00935DC6">
        <w:rPr>
          <w:rFonts w:ascii="Verdana" w:hAnsi="Verdana"/>
        </w:rPr>
        <w:t xml:space="preserve">##This section cross-references Sections 610, </w:t>
      </w:r>
      <w:r w:rsidR="003D294A" w:rsidRPr="00935DC6">
        <w:rPr>
          <w:rFonts w:ascii="Verdana" w:hAnsi="Verdana"/>
        </w:rPr>
        <w:t xml:space="preserve">611, </w:t>
      </w:r>
      <w:r w:rsidRPr="00935DC6">
        <w:rPr>
          <w:rFonts w:ascii="Verdana" w:hAnsi="Verdana"/>
        </w:rPr>
        <w:t>630 and 631.</w:t>
      </w:r>
    </w:p>
    <w:p w14:paraId="1AAD200A" w14:textId="77777777" w:rsidR="00BE2F46" w:rsidRPr="00935DC6" w:rsidRDefault="00BE2F46" w:rsidP="00BE2F46">
      <w:pPr>
        <w:rPr>
          <w:rFonts w:ascii="Verdana" w:hAnsi="Verdana"/>
        </w:rPr>
      </w:pPr>
      <w:r w:rsidRPr="00935DC6">
        <w:rPr>
          <w:rFonts w:ascii="Verdana" w:hAnsi="Verdana"/>
        </w:rPr>
        <w:t>If any of the above sections are relevant, they should be included in the specification.</w:t>
      </w:r>
    </w:p>
    <w:p w14:paraId="7EB2D2A8" w14:textId="77777777" w:rsidR="00BE2F46" w:rsidRPr="00935DC6" w:rsidRDefault="00BE2F46" w:rsidP="00BE2F46">
      <w:pPr>
        <w:rPr>
          <w:rFonts w:ascii="Verdana" w:hAnsi="Verdana"/>
          <w:lang w:val="en-AU"/>
        </w:rPr>
      </w:pPr>
      <w:r w:rsidRPr="00935DC6">
        <w:rPr>
          <w:rFonts w:ascii="Verdana" w:hAnsi="Verdana"/>
        </w:rPr>
        <w:t>If any of the above sections are not included in the specification, all references to those sections should be struck out, ensuring that the remaining text is still coherent:</w:t>
      </w:r>
    </w:p>
    <w:p w14:paraId="2D486B9F" w14:textId="77777777" w:rsidR="00BE2F46" w:rsidRPr="00935DC6" w:rsidRDefault="00BE2F46" w:rsidP="00BE2F46">
      <w:pPr>
        <w:rPr>
          <w:rFonts w:ascii="Verdana" w:hAnsi="Verdana"/>
          <w:lang w:val="en-AU"/>
        </w:rPr>
      </w:pPr>
    </w:p>
    <w:p w14:paraId="4E557E84" w14:textId="77777777" w:rsidR="00F536D4" w:rsidRPr="00935DC6" w:rsidRDefault="00F536D4" w:rsidP="00BE2F46">
      <w:pPr>
        <w:rPr>
          <w:rFonts w:ascii="Verdana" w:hAnsi="Verdana"/>
          <w:lang w:val="en-AU"/>
        </w:rPr>
      </w:pPr>
    </w:p>
    <w:p w14:paraId="40E359EE" w14:textId="77777777" w:rsidR="00BE2F46" w:rsidRPr="00935DC6" w:rsidRDefault="00BE2F46" w:rsidP="00BE2F46">
      <w:pPr>
        <w:rPr>
          <w:rFonts w:ascii="Verdana" w:hAnsi="Verdana"/>
          <w:lang w:val="en-AU"/>
        </w:rPr>
      </w:pPr>
    </w:p>
    <w:p w14:paraId="6CFDE057" w14:textId="77777777" w:rsidR="00BE2F46" w:rsidRPr="00935DC6" w:rsidRDefault="00BE2F46" w:rsidP="00BE2F46">
      <w:pPr>
        <w:pStyle w:val="Heading3SS"/>
        <w:rPr>
          <w:rFonts w:ascii="Verdana" w:hAnsi="Verdana"/>
        </w:rPr>
      </w:pPr>
      <w:r w:rsidRPr="00935DC6">
        <w:rPr>
          <w:rFonts w:ascii="Verdana" w:hAnsi="Verdana"/>
        </w:rPr>
        <w:t>76</w:t>
      </w:r>
      <w:bookmarkStart w:id="0" w:name="np760"/>
      <w:bookmarkEnd w:id="0"/>
      <w:r w:rsidRPr="00935DC6">
        <w:rPr>
          <w:rFonts w:ascii="Verdana" w:hAnsi="Verdana"/>
        </w:rPr>
        <w:t>0.01</w:t>
      </w:r>
      <w:r w:rsidRPr="00935DC6">
        <w:rPr>
          <w:rFonts w:ascii="Verdana" w:hAnsi="Verdana"/>
        </w:rPr>
        <w:tab/>
        <w:t>DESCRIPTION</w:t>
      </w:r>
    </w:p>
    <w:p w14:paraId="6294647C" w14:textId="77777777" w:rsidR="00BE2F46" w:rsidRPr="00935DC6" w:rsidRDefault="00BE2F46" w:rsidP="00BE2F46">
      <w:pPr>
        <w:rPr>
          <w:rFonts w:ascii="Verdana" w:hAnsi="Verdana"/>
          <w:lang w:val="en-AU"/>
        </w:rPr>
      </w:pPr>
    </w:p>
    <w:p w14:paraId="71DFE50D" w14:textId="77777777" w:rsidR="00BE2F46" w:rsidRPr="00935DC6" w:rsidRDefault="00BE2F46" w:rsidP="00BE2F46">
      <w:pPr>
        <w:rPr>
          <w:rFonts w:ascii="Verdana" w:hAnsi="Verdana"/>
          <w:lang w:val="en-AU"/>
        </w:rPr>
      </w:pPr>
      <w:r w:rsidRPr="00935DC6">
        <w:rPr>
          <w:rFonts w:ascii="Verdana" w:hAnsi="Verdana"/>
          <w:lang w:val="en-AU"/>
        </w:rPr>
        <w:t xml:space="preserve">This section covers the requirements for the assembly and erection of sign </w:t>
      </w:r>
      <w:r w:rsidR="009917A5" w:rsidRPr="00935DC6">
        <w:rPr>
          <w:rFonts w:ascii="Verdana" w:hAnsi="Verdana"/>
          <w:lang w:val="en-AU"/>
        </w:rPr>
        <w:t xml:space="preserve">gantries </w:t>
      </w:r>
      <w:r w:rsidRPr="00935DC6">
        <w:rPr>
          <w:rFonts w:ascii="Verdana" w:hAnsi="Verdana"/>
          <w:lang w:val="en-AU"/>
        </w:rPr>
        <w:t>and high</w:t>
      </w:r>
      <w:r w:rsidRPr="00935DC6">
        <w:rPr>
          <w:rFonts w:ascii="Verdana" w:hAnsi="Verdana"/>
          <w:lang w:val="en-AU"/>
        </w:rPr>
        <w:noBreakHyphen/>
        <w:t>mast light structures, which have been designed in accordance with Bridge Technical Note BTN</w:t>
      </w:r>
      <w:r w:rsidR="00A019DB" w:rsidRPr="00935DC6">
        <w:rPr>
          <w:rFonts w:ascii="Verdana" w:hAnsi="Verdana"/>
          <w:lang w:val="en-AU"/>
        </w:rPr>
        <w:t> 014</w:t>
      </w:r>
      <w:r w:rsidRPr="00935DC6">
        <w:rPr>
          <w:rFonts w:ascii="Verdana" w:hAnsi="Verdana"/>
          <w:lang w:val="en-AU"/>
        </w:rPr>
        <w:t xml:space="preserve"> Sign </w:t>
      </w:r>
      <w:r w:rsidR="00413008" w:rsidRPr="00935DC6">
        <w:rPr>
          <w:rFonts w:ascii="Verdana" w:hAnsi="Verdana"/>
          <w:lang w:val="en-AU"/>
        </w:rPr>
        <w:t>g</w:t>
      </w:r>
      <w:r w:rsidR="00A019DB" w:rsidRPr="00935DC6">
        <w:rPr>
          <w:rFonts w:ascii="Verdana" w:hAnsi="Verdana"/>
          <w:lang w:val="en-AU"/>
        </w:rPr>
        <w:t>antries</w:t>
      </w:r>
      <w:r w:rsidRPr="00935DC6">
        <w:rPr>
          <w:rFonts w:ascii="Verdana" w:hAnsi="Verdana"/>
          <w:lang w:val="en-AU"/>
        </w:rPr>
        <w:t xml:space="preserve"> and </w:t>
      </w:r>
      <w:r w:rsidR="00413008" w:rsidRPr="00935DC6">
        <w:rPr>
          <w:rFonts w:ascii="Verdana" w:hAnsi="Verdana"/>
          <w:lang w:val="en-AU"/>
        </w:rPr>
        <w:t>l</w:t>
      </w:r>
      <w:r w:rsidRPr="00935DC6">
        <w:rPr>
          <w:rFonts w:ascii="Verdana" w:hAnsi="Verdana"/>
          <w:lang w:val="en-AU"/>
        </w:rPr>
        <w:t>ight</w:t>
      </w:r>
      <w:r w:rsidR="00A019DB" w:rsidRPr="00935DC6">
        <w:rPr>
          <w:rFonts w:ascii="Verdana" w:hAnsi="Verdana"/>
          <w:lang w:val="en-AU"/>
        </w:rPr>
        <w:t xml:space="preserve">ing </w:t>
      </w:r>
      <w:r w:rsidR="00413008" w:rsidRPr="00935DC6">
        <w:rPr>
          <w:rFonts w:ascii="Verdana" w:hAnsi="Verdana"/>
          <w:lang w:val="en-AU"/>
        </w:rPr>
        <w:t>m</w:t>
      </w:r>
      <w:r w:rsidR="00A019DB" w:rsidRPr="00935DC6">
        <w:rPr>
          <w:rFonts w:ascii="Verdana" w:hAnsi="Verdana"/>
          <w:lang w:val="en-AU"/>
        </w:rPr>
        <w:t>asts</w:t>
      </w:r>
      <w:r w:rsidRPr="00935DC6">
        <w:rPr>
          <w:rFonts w:ascii="Verdana" w:hAnsi="Verdana"/>
          <w:lang w:val="en-AU"/>
        </w:rPr>
        <w:t>.</w:t>
      </w:r>
    </w:p>
    <w:p w14:paraId="3563152A" w14:textId="77777777" w:rsidR="00BE2F46" w:rsidRPr="00935DC6" w:rsidRDefault="00BE2F46" w:rsidP="00BE2F46">
      <w:pPr>
        <w:rPr>
          <w:rFonts w:ascii="Verdana" w:hAnsi="Verdana"/>
          <w:lang w:val="en-AU"/>
        </w:rPr>
      </w:pPr>
    </w:p>
    <w:p w14:paraId="352FC666" w14:textId="77777777" w:rsidR="00BE2F46" w:rsidRPr="00935DC6" w:rsidRDefault="00BE2F46" w:rsidP="00BE2F46">
      <w:pPr>
        <w:rPr>
          <w:rFonts w:ascii="Verdana" w:hAnsi="Verdana"/>
          <w:lang w:val="en-AU"/>
        </w:rPr>
      </w:pPr>
    </w:p>
    <w:p w14:paraId="04DAFE3E" w14:textId="77777777" w:rsidR="00BE2F46" w:rsidRPr="00935DC6" w:rsidRDefault="00BE2F46" w:rsidP="00BE2F46">
      <w:pPr>
        <w:pStyle w:val="Heading3SS"/>
        <w:rPr>
          <w:rFonts w:ascii="Verdana" w:hAnsi="Verdana"/>
        </w:rPr>
      </w:pPr>
      <w:r w:rsidRPr="00935DC6">
        <w:rPr>
          <w:rFonts w:ascii="Verdana" w:hAnsi="Verdana"/>
        </w:rPr>
        <w:t>760.02</w:t>
      </w:r>
      <w:r w:rsidRPr="00935DC6">
        <w:rPr>
          <w:rFonts w:ascii="Verdana" w:hAnsi="Verdana"/>
        </w:rPr>
        <w:tab/>
        <w:t>GENERAL</w:t>
      </w:r>
    </w:p>
    <w:p w14:paraId="60583310" w14:textId="77777777" w:rsidR="00BE2F46" w:rsidRPr="00935DC6" w:rsidRDefault="00BE2F46" w:rsidP="00BE2F46">
      <w:pPr>
        <w:rPr>
          <w:rFonts w:ascii="Verdana" w:hAnsi="Verdana"/>
          <w:lang w:val="en-AU"/>
        </w:rPr>
      </w:pPr>
    </w:p>
    <w:p w14:paraId="32ABE2E7" w14:textId="77777777" w:rsidR="00BE2F46" w:rsidRPr="00935DC6" w:rsidRDefault="00BE2F46" w:rsidP="00BE2F46">
      <w:pPr>
        <w:rPr>
          <w:rFonts w:ascii="Verdana" w:hAnsi="Verdana"/>
          <w:lang w:val="en-AU"/>
        </w:rPr>
      </w:pPr>
      <w:r w:rsidRPr="00935DC6">
        <w:rPr>
          <w:rFonts w:ascii="Verdana" w:hAnsi="Verdana"/>
          <w:lang w:val="en-AU"/>
        </w:rPr>
        <w:t>The term anchor shall be used to describe bolts, threaded rods and bars.</w:t>
      </w:r>
    </w:p>
    <w:p w14:paraId="072C7596" w14:textId="77777777" w:rsidR="00BE2F46" w:rsidRPr="00935DC6" w:rsidRDefault="00BE2F46" w:rsidP="00BE2F46">
      <w:pPr>
        <w:rPr>
          <w:rFonts w:ascii="Verdana" w:hAnsi="Verdana"/>
          <w:lang w:val="en-AU"/>
        </w:rPr>
      </w:pPr>
    </w:p>
    <w:p w14:paraId="4FA7C1C6" w14:textId="77777777" w:rsidR="00BE2F46" w:rsidRPr="00935DC6" w:rsidRDefault="00BE2F46" w:rsidP="00BE2F46">
      <w:pPr>
        <w:rPr>
          <w:rFonts w:ascii="Verdana" w:hAnsi="Verdana"/>
          <w:lang w:val="en-AU"/>
        </w:rPr>
      </w:pPr>
      <w:r w:rsidRPr="00935DC6">
        <w:rPr>
          <w:rFonts w:ascii="Verdana" w:hAnsi="Verdana"/>
          <w:lang w:val="en-AU"/>
        </w:rPr>
        <w:t>The term column shall be used to describe all vertical or near-vertical members.</w:t>
      </w:r>
    </w:p>
    <w:p w14:paraId="71C1B14D" w14:textId="77777777" w:rsidR="00BE2F46" w:rsidRPr="00935DC6" w:rsidRDefault="00BE2F46" w:rsidP="00BE2F46">
      <w:pPr>
        <w:rPr>
          <w:rFonts w:ascii="Verdana" w:hAnsi="Verdana"/>
          <w:lang w:val="en-AU"/>
        </w:rPr>
      </w:pPr>
    </w:p>
    <w:p w14:paraId="2EBBD827" w14:textId="77777777" w:rsidR="00BE2F46" w:rsidRPr="00935DC6" w:rsidRDefault="00BE2F46" w:rsidP="00BE2F46">
      <w:pPr>
        <w:rPr>
          <w:rFonts w:ascii="Verdana" w:hAnsi="Verdana"/>
          <w:lang w:val="en-AU"/>
        </w:rPr>
      </w:pPr>
      <w:r w:rsidRPr="00935DC6">
        <w:rPr>
          <w:rFonts w:ascii="Verdana" w:hAnsi="Verdana"/>
          <w:lang w:val="en-AU"/>
        </w:rPr>
        <w:t>Reinforced concrete foundations and pile-caps shall be constructed in accordance with the drawings and Section</w:t>
      </w:r>
      <w:r w:rsidR="000F6D5F" w:rsidRPr="00935DC6">
        <w:rPr>
          <w:rFonts w:ascii="Verdana" w:hAnsi="Verdana"/>
          <w:lang w:val="en-AU"/>
        </w:rPr>
        <w:t>s</w:t>
      </w:r>
      <w:r w:rsidRPr="00935DC6">
        <w:rPr>
          <w:rFonts w:ascii="Verdana" w:hAnsi="Verdana"/>
          <w:lang w:val="en-AU"/>
        </w:rPr>
        <w:t> 610</w:t>
      </w:r>
      <w:r w:rsidR="000F6D5F" w:rsidRPr="00935DC6">
        <w:rPr>
          <w:rFonts w:ascii="Verdana" w:hAnsi="Verdana"/>
          <w:lang w:val="en-AU"/>
        </w:rPr>
        <w:t xml:space="preserve"> and 611</w:t>
      </w:r>
      <w:r w:rsidRPr="00935DC6">
        <w:rPr>
          <w:rFonts w:ascii="Verdana" w:hAnsi="Verdana"/>
          <w:lang w:val="en-AU"/>
        </w:rPr>
        <w:t>.</w:t>
      </w:r>
    </w:p>
    <w:p w14:paraId="77600956" w14:textId="77777777" w:rsidR="00BE2F46" w:rsidRPr="00935DC6" w:rsidRDefault="00BE2F46" w:rsidP="00BE2F46">
      <w:pPr>
        <w:rPr>
          <w:rFonts w:ascii="Verdana" w:hAnsi="Verdana"/>
          <w:lang w:val="en-AU"/>
        </w:rPr>
      </w:pPr>
    </w:p>
    <w:p w14:paraId="3A5318C9" w14:textId="77777777" w:rsidR="00BE2F46" w:rsidRPr="00935DC6" w:rsidRDefault="00BE2F46" w:rsidP="00BE2F46">
      <w:pPr>
        <w:rPr>
          <w:rFonts w:ascii="Verdana" w:hAnsi="Verdana"/>
          <w:lang w:val="en-AU"/>
        </w:rPr>
      </w:pPr>
      <w:r w:rsidRPr="00935DC6">
        <w:rPr>
          <w:rFonts w:ascii="Verdana" w:hAnsi="Verdana"/>
          <w:lang w:val="en-AU"/>
        </w:rPr>
        <w:t>Structural steelwork shall be fabricated in accordance with the drawings and Section 630 and coated in accordance with the drawings and Section 631.</w:t>
      </w:r>
    </w:p>
    <w:p w14:paraId="20EAAA44" w14:textId="77777777" w:rsidR="00BE2F46" w:rsidRPr="00935DC6" w:rsidRDefault="00BE2F46" w:rsidP="00BE2F46">
      <w:pPr>
        <w:rPr>
          <w:rFonts w:ascii="Verdana" w:hAnsi="Verdana"/>
          <w:lang w:val="en-AU"/>
        </w:rPr>
      </w:pPr>
    </w:p>
    <w:p w14:paraId="6592C4F9" w14:textId="77777777" w:rsidR="00BE2F46" w:rsidRPr="00935DC6" w:rsidRDefault="00BE2F46" w:rsidP="00BE2F46">
      <w:pPr>
        <w:rPr>
          <w:rFonts w:ascii="Verdana" w:hAnsi="Verdana"/>
          <w:lang w:val="en-AU"/>
        </w:rPr>
      </w:pPr>
    </w:p>
    <w:p w14:paraId="4A9B6F3B" w14:textId="77777777" w:rsidR="00BE2F46" w:rsidRPr="00935DC6" w:rsidRDefault="00BE2F46" w:rsidP="00BE2F46">
      <w:pPr>
        <w:pStyle w:val="Heading3SS"/>
        <w:rPr>
          <w:rFonts w:ascii="Verdana" w:hAnsi="Verdana"/>
        </w:rPr>
      </w:pPr>
      <w:r w:rsidRPr="00935DC6">
        <w:rPr>
          <w:rFonts w:ascii="Verdana" w:hAnsi="Verdana"/>
        </w:rPr>
        <w:t>760.03</w:t>
      </w:r>
      <w:r w:rsidRPr="00935DC6">
        <w:rPr>
          <w:rFonts w:ascii="Verdana" w:hAnsi="Verdana"/>
        </w:rPr>
        <w:tab/>
        <w:t>INSTALLATION OF ANCHORS AND ERECTION OF COLUMNS</w:t>
      </w:r>
    </w:p>
    <w:p w14:paraId="4806FE0E" w14:textId="77777777" w:rsidR="00BE2F46" w:rsidRPr="00935DC6" w:rsidRDefault="00BE2F46" w:rsidP="00BE2F46">
      <w:pPr>
        <w:rPr>
          <w:rFonts w:ascii="Verdana" w:hAnsi="Verdana"/>
          <w:lang w:val="en-AU"/>
        </w:rPr>
      </w:pPr>
    </w:p>
    <w:p w14:paraId="4F4D2DD6" w14:textId="77777777" w:rsidR="00BE2F46" w:rsidRPr="00935DC6" w:rsidRDefault="00BE2F46" w:rsidP="00BE2F46">
      <w:pPr>
        <w:pStyle w:val="Heading5SS"/>
        <w:rPr>
          <w:rFonts w:ascii="Verdana" w:hAnsi="Verdana"/>
        </w:rPr>
      </w:pPr>
      <w:r w:rsidRPr="00935DC6">
        <w:rPr>
          <w:rFonts w:ascii="Verdana" w:hAnsi="Verdana"/>
        </w:rPr>
        <w:t>(a)</w:t>
      </w:r>
      <w:r w:rsidRPr="00935DC6">
        <w:rPr>
          <w:rFonts w:ascii="Verdana" w:hAnsi="Verdana"/>
        </w:rPr>
        <w:tab/>
        <w:t>Anchors</w:t>
      </w:r>
    </w:p>
    <w:p w14:paraId="5EE440E8"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Bolts shall have a maximum grade of 4.6 or equivalent if other types of anchor are used.</w:t>
      </w:r>
    </w:p>
    <w:p w14:paraId="759B0023"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A minimum of eight anchors shall be used in each column base-plate.</w:t>
      </w:r>
    </w:p>
    <w:p w14:paraId="56612238"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 xml:space="preserve">Anchors for </w:t>
      </w:r>
      <w:r w:rsidR="009451F5" w:rsidRPr="00935DC6">
        <w:rPr>
          <w:rFonts w:ascii="Verdana" w:hAnsi="Verdana"/>
          <w:lang w:val="en-AU"/>
        </w:rPr>
        <w:t xml:space="preserve">gantry and light mast </w:t>
      </w:r>
      <w:r w:rsidRPr="00935DC6">
        <w:rPr>
          <w:rFonts w:ascii="Verdana" w:hAnsi="Verdana"/>
          <w:lang w:val="en-AU"/>
        </w:rPr>
        <w:t>structures shall be cast into the foundation pile cap.  Retro-fitted expanding or bonded anchors in drilled or cored holes shall not be used.</w:t>
      </w:r>
    </w:p>
    <w:p w14:paraId="676AA093"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 xml:space="preserve">A cast-in double anchor cradle shall be used to achieve correct relative positioning and alignment of cast-in anchors and holes in base-plates.  Anchor cradles shall connect </w:t>
      </w:r>
      <w:proofErr w:type="gramStart"/>
      <w:r w:rsidRPr="00935DC6">
        <w:rPr>
          <w:rFonts w:ascii="Verdana" w:hAnsi="Verdana"/>
          <w:lang w:val="en-AU"/>
        </w:rPr>
        <w:t>all of</w:t>
      </w:r>
      <w:proofErr w:type="gramEnd"/>
      <w:r w:rsidRPr="00935DC6">
        <w:rPr>
          <w:rFonts w:ascii="Verdana" w:hAnsi="Verdana"/>
          <w:lang w:val="en-AU"/>
        </w:rPr>
        <w:t xml:space="preserve"> the anchors into a rigid arrangement and shall be made of weldable steel plates with a minimum width of 3 x anchor diameter and a minimum thickness of 5 mm, fabricated in accordance with Section 630.  Double anchor cradles shall comprise two identical frames, one at the lower end of the anchors, and another removable frame at the upper end, which is to be removed when the foundation or pile-cap has gained sufficient strength and prior to erection of the column.</w:t>
      </w:r>
    </w:p>
    <w:p w14:paraId="009F0644"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On completion of casting of the foundation, all projecting anchors shall be vertical or as shown on the drawings, be mutually parallel, and it shall be possible to place the base-plate into its final position on the projecting anchors without any adjustment of the anchors.</w:t>
      </w:r>
    </w:p>
    <w:p w14:paraId="6FC01087" w14:textId="77777777" w:rsidR="00BE2F46" w:rsidRPr="00935DC6" w:rsidRDefault="00BE2F46" w:rsidP="000F3314">
      <w:pPr>
        <w:tabs>
          <w:tab w:val="left" w:pos="454"/>
        </w:tabs>
        <w:spacing w:before="160"/>
        <w:ind w:left="454" w:hanging="454"/>
        <w:rPr>
          <w:rFonts w:ascii="Verdana" w:hAnsi="Verdana"/>
          <w:lang w:val="en-AU"/>
        </w:rPr>
      </w:pPr>
      <w:r w:rsidRPr="00935DC6">
        <w:rPr>
          <w:rFonts w:ascii="Verdana" w:hAnsi="Verdana"/>
          <w:lang w:val="en-AU"/>
        </w:rPr>
        <w:tab/>
        <w:t>The projecting length of the anchors shall be sufficient to achieve the requirements of Bridge Technical Note BTN</w:t>
      </w:r>
      <w:r w:rsidR="00A962D8" w:rsidRPr="00935DC6">
        <w:rPr>
          <w:rFonts w:ascii="Verdana" w:hAnsi="Verdana"/>
          <w:lang w:val="en-AU"/>
        </w:rPr>
        <w:t> 014</w:t>
      </w:r>
      <w:r w:rsidRPr="00935DC6">
        <w:rPr>
          <w:rFonts w:ascii="Verdana" w:hAnsi="Verdana"/>
          <w:lang w:val="en-AU"/>
        </w:rPr>
        <w:t xml:space="preserve"> in respect of the depth of the void under the </w:t>
      </w:r>
      <w:proofErr w:type="gramStart"/>
      <w:r w:rsidRPr="00935DC6">
        <w:rPr>
          <w:rFonts w:ascii="Verdana" w:hAnsi="Verdana"/>
          <w:lang w:val="en-AU"/>
        </w:rPr>
        <w:t>base-plate</w:t>
      </w:r>
      <w:proofErr w:type="gramEnd"/>
      <w:r w:rsidRPr="00935DC6">
        <w:rPr>
          <w:rFonts w:ascii="Verdana" w:hAnsi="Verdana"/>
          <w:lang w:val="en-AU"/>
        </w:rPr>
        <w:t xml:space="preserve"> and the limits on the projecting length of the anchor.</w:t>
      </w:r>
    </w:p>
    <w:p w14:paraId="3647033B" w14:textId="77777777" w:rsidR="000F3314" w:rsidRPr="00935DC6" w:rsidRDefault="000F3314" w:rsidP="000F3314">
      <w:pPr>
        <w:tabs>
          <w:tab w:val="left" w:pos="454"/>
        </w:tabs>
        <w:spacing w:before="160"/>
        <w:ind w:left="454" w:hanging="454"/>
        <w:rPr>
          <w:rFonts w:ascii="Verdana" w:hAnsi="Verdana"/>
          <w:lang w:val="en-AU"/>
        </w:rPr>
      </w:pPr>
      <w:r w:rsidRPr="00935DC6">
        <w:rPr>
          <w:rFonts w:ascii="Verdana" w:hAnsi="Verdana"/>
          <w:lang w:val="en-AU"/>
        </w:rPr>
        <w:tab/>
        <w:t>Anchors that are misaligned, in the wrong position, of insufficient projecting length, or have damaged threads, shall be rejected.</w:t>
      </w:r>
    </w:p>
    <w:p w14:paraId="5D53BAEF" w14:textId="77777777" w:rsidR="000F3314" w:rsidRPr="00935DC6" w:rsidRDefault="000F3314" w:rsidP="000F3314">
      <w:pPr>
        <w:tabs>
          <w:tab w:val="left" w:pos="454"/>
        </w:tabs>
        <w:spacing w:before="160"/>
        <w:ind w:left="454" w:hanging="1021"/>
        <w:rPr>
          <w:rFonts w:ascii="Verdana" w:hAnsi="Verdana"/>
          <w:b/>
          <w:lang w:val="en-AU"/>
        </w:rPr>
      </w:pPr>
      <w:r w:rsidRPr="00935DC6">
        <w:rPr>
          <w:rFonts w:ascii="Verdana" w:hAnsi="Verdana"/>
          <w:b/>
          <w:lang w:val="en-AU"/>
        </w:rPr>
        <w:lastRenderedPageBreak/>
        <w:t>HP</w:t>
      </w:r>
      <w:r w:rsidRPr="00935DC6">
        <w:rPr>
          <w:rFonts w:ascii="Verdana" w:hAnsi="Verdana"/>
          <w:b/>
          <w:lang w:val="en-AU"/>
        </w:rPr>
        <w:tab/>
        <w:t>If cast-in anchors do not comply, the Contractor must submit proposals for rectification to the Superintendent.  The use of force to correct errors in alignment or position of cast</w:t>
      </w:r>
      <w:r w:rsidRPr="00935DC6">
        <w:rPr>
          <w:rFonts w:ascii="Verdana" w:hAnsi="Verdana"/>
          <w:b/>
          <w:lang w:val="en-AU"/>
        </w:rPr>
        <w:noBreakHyphen/>
        <w:t>in anchors is not permitted.</w:t>
      </w:r>
    </w:p>
    <w:p w14:paraId="70374E1E" w14:textId="117C8E24" w:rsidR="00BE2F46" w:rsidRPr="00935DC6" w:rsidRDefault="00BE2F46" w:rsidP="001D3317">
      <w:pPr>
        <w:rPr>
          <w:rFonts w:ascii="Verdana" w:hAnsi="Verdana"/>
          <w:lang w:val="en-AU"/>
        </w:rPr>
      </w:pPr>
    </w:p>
    <w:p w14:paraId="14BCD94D" w14:textId="77777777" w:rsidR="00BE2F46" w:rsidRPr="00935DC6" w:rsidRDefault="00BE2F46" w:rsidP="00BE2F46">
      <w:pPr>
        <w:pStyle w:val="Heading5SS"/>
        <w:rPr>
          <w:rFonts w:ascii="Verdana" w:hAnsi="Verdana"/>
        </w:rPr>
      </w:pPr>
      <w:r w:rsidRPr="00935DC6">
        <w:rPr>
          <w:rFonts w:ascii="Verdana" w:hAnsi="Verdana"/>
        </w:rPr>
        <w:t>(b)</w:t>
      </w:r>
      <w:r w:rsidRPr="00935DC6">
        <w:rPr>
          <w:rFonts w:ascii="Verdana" w:hAnsi="Verdana"/>
        </w:rPr>
        <w:tab/>
        <w:t>Erection of Columns</w:t>
      </w:r>
    </w:p>
    <w:p w14:paraId="2BE910F4"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 xml:space="preserve">Columns shall be erected in accordance with the vertical alignment requirements of and tolerances stated </w:t>
      </w:r>
      <w:r w:rsidR="009451F5" w:rsidRPr="00935DC6">
        <w:rPr>
          <w:rFonts w:ascii="Verdana" w:hAnsi="Verdana"/>
          <w:lang w:val="en-AU"/>
        </w:rPr>
        <w:t>in AS</w:t>
      </w:r>
      <w:r w:rsidR="00C308C3" w:rsidRPr="00935DC6">
        <w:rPr>
          <w:rFonts w:ascii="Verdana" w:hAnsi="Verdana"/>
          <w:lang w:val="en-AU"/>
        </w:rPr>
        <w:t>/NZS</w:t>
      </w:r>
      <w:r w:rsidR="009451F5" w:rsidRPr="00935DC6">
        <w:rPr>
          <w:rFonts w:ascii="Verdana" w:hAnsi="Verdana"/>
          <w:lang w:val="en-AU"/>
        </w:rPr>
        <w:t> 5131 – Structural steelwork – Fabrication and erection</w:t>
      </w:r>
      <w:r w:rsidRPr="00935DC6">
        <w:rPr>
          <w:rFonts w:ascii="Verdana" w:hAnsi="Verdana"/>
          <w:lang w:val="en-AU"/>
        </w:rPr>
        <w:t>.</w:t>
      </w:r>
    </w:p>
    <w:p w14:paraId="273C1A0A"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Columns shall be supported during erection using appropriate temporary structures until all permanent connections have been made, grout has achieved its design strength and the structure is stable and capable of resisting all working loads.</w:t>
      </w:r>
    </w:p>
    <w:p w14:paraId="47BFAA5A" w14:textId="77777777" w:rsidR="00BE2F46" w:rsidRPr="00935DC6" w:rsidRDefault="00BE2F46" w:rsidP="00BE2F46">
      <w:pPr>
        <w:rPr>
          <w:rFonts w:ascii="Verdana" w:hAnsi="Verdana"/>
        </w:rPr>
      </w:pPr>
    </w:p>
    <w:p w14:paraId="1EF72BCB" w14:textId="77777777" w:rsidR="00BE2F46" w:rsidRPr="00935DC6" w:rsidRDefault="00BE2F46" w:rsidP="00BE2F46">
      <w:pPr>
        <w:pStyle w:val="Heading5SS"/>
        <w:rPr>
          <w:rFonts w:ascii="Verdana" w:hAnsi="Verdana"/>
        </w:rPr>
      </w:pPr>
      <w:r w:rsidRPr="00935DC6">
        <w:rPr>
          <w:rFonts w:ascii="Verdana" w:hAnsi="Verdana"/>
        </w:rPr>
        <w:t>(c)</w:t>
      </w:r>
      <w:r w:rsidRPr="00935DC6">
        <w:rPr>
          <w:rFonts w:ascii="Verdana" w:hAnsi="Verdana"/>
        </w:rPr>
        <w:tab/>
        <w:t>Levelling Nuts</w:t>
      </w:r>
    </w:p>
    <w:p w14:paraId="0B57D035"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Levelling nuts shall be placed on the projecting cast-in anchors and, following erection of the column or pole to the required alignment, nuts above and the levelling nuts below the base-plate shall be tensioned to snug-tight against the base-plate.</w:t>
      </w:r>
    </w:p>
    <w:p w14:paraId="42DB4357"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Top-nuts shall then be tensioned by the part-turn method as follows:</w:t>
      </w:r>
    </w:p>
    <w:p w14:paraId="70B34262" w14:textId="77777777" w:rsidR="00BE2F46" w:rsidRPr="00935DC6" w:rsidRDefault="00BE2F46" w:rsidP="009157E0">
      <w:pPr>
        <w:tabs>
          <w:tab w:val="left" w:pos="3119"/>
          <w:tab w:val="left" w:pos="4395"/>
        </w:tabs>
        <w:spacing w:before="120"/>
        <w:ind w:left="993"/>
        <w:rPr>
          <w:rFonts w:ascii="Verdana" w:hAnsi="Verdana"/>
        </w:rPr>
      </w:pPr>
      <w:r w:rsidRPr="00935DC6">
        <w:rPr>
          <w:rFonts w:ascii="Verdana" w:hAnsi="Verdana"/>
        </w:rPr>
        <w:t>Anchor-bolt diameter</w:t>
      </w:r>
      <w:r w:rsidRPr="00935DC6">
        <w:rPr>
          <w:rFonts w:ascii="Verdana" w:hAnsi="Verdana"/>
        </w:rPr>
        <w:tab/>
      </w:r>
      <w:r w:rsidR="009157E0" w:rsidRPr="00935DC6">
        <w:rPr>
          <w:rFonts w:ascii="Verdana" w:hAnsi="Verdana" w:cs="Arial"/>
        </w:rPr>
        <w:t>≤</w:t>
      </w:r>
      <w:r w:rsidR="009157E0" w:rsidRPr="00935DC6">
        <w:rPr>
          <w:rFonts w:ascii="Verdana" w:hAnsi="Verdana"/>
        </w:rPr>
        <w:t xml:space="preserve"> </w:t>
      </w:r>
      <w:r w:rsidRPr="00935DC6">
        <w:rPr>
          <w:rFonts w:ascii="Verdana" w:hAnsi="Verdana"/>
        </w:rPr>
        <w:t>37.5 mm</w:t>
      </w:r>
      <w:r w:rsidRPr="00935DC6">
        <w:rPr>
          <w:rFonts w:ascii="Verdana" w:hAnsi="Verdana"/>
        </w:rPr>
        <w:tab/>
        <w:t>1/6 turn beyond snug tight</w:t>
      </w:r>
    </w:p>
    <w:p w14:paraId="2806AB61" w14:textId="77777777" w:rsidR="00BE2F46" w:rsidRPr="00935DC6" w:rsidRDefault="00BE2F46" w:rsidP="009157E0">
      <w:pPr>
        <w:tabs>
          <w:tab w:val="left" w:pos="3119"/>
          <w:tab w:val="left" w:pos="4395"/>
        </w:tabs>
        <w:spacing w:before="120"/>
        <w:ind w:left="993"/>
        <w:rPr>
          <w:rFonts w:ascii="Verdana" w:hAnsi="Verdana"/>
        </w:rPr>
      </w:pPr>
      <w:r w:rsidRPr="00935DC6">
        <w:rPr>
          <w:rFonts w:ascii="Verdana" w:hAnsi="Verdana"/>
        </w:rPr>
        <w:t>Anchor-bolt diameter</w:t>
      </w:r>
      <w:r w:rsidRPr="00935DC6">
        <w:rPr>
          <w:rFonts w:ascii="Verdana" w:hAnsi="Verdana"/>
        </w:rPr>
        <w:tab/>
        <w:t>&gt;</w:t>
      </w:r>
      <w:r w:rsidR="009157E0" w:rsidRPr="00935DC6">
        <w:rPr>
          <w:rFonts w:ascii="Verdana" w:hAnsi="Verdana"/>
        </w:rPr>
        <w:t xml:space="preserve"> </w:t>
      </w:r>
      <w:r w:rsidRPr="00935DC6">
        <w:rPr>
          <w:rFonts w:ascii="Verdana" w:hAnsi="Verdana"/>
        </w:rPr>
        <w:t>37.5 mm</w:t>
      </w:r>
      <w:r w:rsidRPr="00935DC6">
        <w:rPr>
          <w:rFonts w:ascii="Verdana" w:hAnsi="Verdana"/>
        </w:rPr>
        <w:tab/>
        <w:t>1/12 turn beyond snug tight</w:t>
      </w:r>
    </w:p>
    <w:p w14:paraId="22E972CB" w14:textId="77777777" w:rsidR="00BE2F46" w:rsidRPr="00935DC6" w:rsidRDefault="00BE2F46" w:rsidP="00BE2F46">
      <w:pPr>
        <w:rPr>
          <w:rFonts w:ascii="Verdana" w:hAnsi="Verdana"/>
          <w:lang w:val="en-AU"/>
        </w:rPr>
      </w:pPr>
    </w:p>
    <w:p w14:paraId="70E5A551" w14:textId="77777777" w:rsidR="00BE2F46" w:rsidRPr="00935DC6" w:rsidRDefault="00BE2F46" w:rsidP="00BE2F46">
      <w:pPr>
        <w:pStyle w:val="Heading5SS"/>
        <w:rPr>
          <w:rFonts w:ascii="Verdana" w:hAnsi="Verdana"/>
        </w:rPr>
      </w:pPr>
      <w:r w:rsidRPr="00935DC6">
        <w:rPr>
          <w:rFonts w:ascii="Verdana" w:hAnsi="Verdana"/>
        </w:rPr>
        <w:t>(d)</w:t>
      </w:r>
      <w:r w:rsidRPr="00935DC6">
        <w:rPr>
          <w:rFonts w:ascii="Verdana" w:hAnsi="Verdana"/>
        </w:rPr>
        <w:tab/>
        <w:t>Grouting of Voids Under Base-plates</w:t>
      </w:r>
    </w:p>
    <w:p w14:paraId="350410E2"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 xml:space="preserve">If the drawings require the use of grout to fill the void under the base-plate, it shall be a high early strength (minimum nominal strength of 50 MPa), free-flowing, non-shrink proprietary material.  The use of </w:t>
      </w:r>
      <w:proofErr w:type="spellStart"/>
      <w:r w:rsidRPr="00935DC6">
        <w:rPr>
          <w:rFonts w:ascii="Verdana" w:hAnsi="Verdana"/>
          <w:lang w:val="en-AU"/>
        </w:rPr>
        <w:t>sand:cement</w:t>
      </w:r>
      <w:proofErr w:type="spellEnd"/>
      <w:r w:rsidRPr="00935DC6">
        <w:rPr>
          <w:rFonts w:ascii="Verdana" w:hAnsi="Verdana"/>
          <w:lang w:val="en-AU"/>
        </w:rPr>
        <w:t xml:space="preserve"> mortar or cement grout to fill the void is not permitted.  The void under the base-plate must be filled to a level 10 mm above the underside of the base-plate.</w:t>
      </w:r>
    </w:p>
    <w:p w14:paraId="78087CB3"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 xml:space="preserve">Grout must be mixed in accordance with the manufacturer’s recommendations using a mechanical mixer which has sufficient volume to mix the grout required for one </w:t>
      </w:r>
      <w:proofErr w:type="gramStart"/>
      <w:r w:rsidRPr="00935DC6">
        <w:rPr>
          <w:rFonts w:ascii="Verdana" w:hAnsi="Verdana"/>
          <w:lang w:val="en-AU"/>
        </w:rPr>
        <w:t>base-plate</w:t>
      </w:r>
      <w:proofErr w:type="gramEnd"/>
      <w:r w:rsidRPr="00935DC6">
        <w:rPr>
          <w:rFonts w:ascii="Verdana" w:hAnsi="Verdana"/>
          <w:lang w:val="en-AU"/>
        </w:rPr>
        <w:t xml:space="preserve"> in a single mix.</w:t>
      </w:r>
    </w:p>
    <w:p w14:paraId="78A4CD9E"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Grout must be placed in its final position within the maximum time limit recommended by the manufacturer.</w:t>
      </w:r>
    </w:p>
    <w:p w14:paraId="65712A7F" w14:textId="77777777" w:rsidR="00BE2F46" w:rsidRPr="00935DC6" w:rsidRDefault="00BE2F46" w:rsidP="00BE2F46">
      <w:pPr>
        <w:rPr>
          <w:rFonts w:ascii="Verdana" w:hAnsi="Verdana"/>
          <w:lang w:val="en-AU"/>
        </w:rPr>
      </w:pPr>
    </w:p>
    <w:p w14:paraId="41782CF8" w14:textId="77777777" w:rsidR="00BE2F46" w:rsidRPr="00935DC6" w:rsidRDefault="00BE2F46" w:rsidP="00BE2F46">
      <w:pPr>
        <w:pStyle w:val="Heading5SS"/>
        <w:rPr>
          <w:rFonts w:ascii="Verdana" w:hAnsi="Verdana"/>
        </w:rPr>
      </w:pPr>
      <w:r w:rsidRPr="00935DC6">
        <w:rPr>
          <w:rFonts w:ascii="Verdana" w:hAnsi="Verdana"/>
        </w:rPr>
        <w:t>(e)</w:t>
      </w:r>
      <w:r w:rsidRPr="00935DC6">
        <w:rPr>
          <w:rFonts w:ascii="Verdana" w:hAnsi="Verdana"/>
        </w:rPr>
        <w:tab/>
        <w:t>Formwork</w:t>
      </w:r>
    </w:p>
    <w:p w14:paraId="3A61EFF9"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Formwork for grout must be sealed to prevent leakage.</w:t>
      </w:r>
    </w:p>
    <w:p w14:paraId="5A40010B"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Formwork must be provided on all sides or around the full perimeter of the base-plate.</w:t>
      </w:r>
    </w:p>
    <w:p w14:paraId="6474D7D0" w14:textId="77777777" w:rsidR="00BE2F46" w:rsidRPr="00935DC6" w:rsidRDefault="00BE2F46" w:rsidP="00BE2F46">
      <w:pPr>
        <w:rPr>
          <w:rFonts w:ascii="Verdana" w:hAnsi="Verdana"/>
          <w:lang w:val="en-AU"/>
        </w:rPr>
      </w:pPr>
    </w:p>
    <w:p w14:paraId="71883813" w14:textId="77777777" w:rsidR="00BE2F46" w:rsidRPr="00935DC6" w:rsidRDefault="00BE2F46" w:rsidP="00BE2F46">
      <w:pPr>
        <w:pStyle w:val="Heading5SS"/>
        <w:rPr>
          <w:rFonts w:ascii="Verdana" w:hAnsi="Verdana"/>
        </w:rPr>
      </w:pPr>
      <w:r w:rsidRPr="00935DC6">
        <w:rPr>
          <w:rFonts w:ascii="Verdana" w:hAnsi="Verdana"/>
        </w:rPr>
        <w:t>(f)</w:t>
      </w:r>
      <w:r w:rsidRPr="00935DC6">
        <w:rPr>
          <w:rFonts w:ascii="Verdana" w:hAnsi="Verdana"/>
        </w:rPr>
        <w:tab/>
        <w:t>Grouting</w:t>
      </w:r>
    </w:p>
    <w:p w14:paraId="11DC383A" w14:textId="77777777" w:rsidR="00BE2F46" w:rsidRPr="00935DC6" w:rsidRDefault="00BE2F46" w:rsidP="0072664A">
      <w:pPr>
        <w:tabs>
          <w:tab w:val="left" w:pos="454"/>
        </w:tabs>
        <w:spacing w:before="160"/>
        <w:ind w:left="454" w:hanging="454"/>
        <w:rPr>
          <w:rFonts w:ascii="Verdana" w:hAnsi="Verdana"/>
          <w:lang w:val="en-AU"/>
        </w:rPr>
      </w:pPr>
      <w:r w:rsidRPr="00935DC6">
        <w:rPr>
          <w:rFonts w:ascii="Verdana" w:hAnsi="Verdana"/>
          <w:lang w:val="en-AU"/>
        </w:rPr>
        <w:tab/>
        <w:t>Grout must be poured in a single continuous operation to the required level.</w:t>
      </w:r>
    </w:p>
    <w:p w14:paraId="4865BE58"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Neither the formwork, base-plate or fluid grout shall be vibrated or tapped.</w:t>
      </w:r>
    </w:p>
    <w:p w14:paraId="0244156E" w14:textId="77777777" w:rsidR="00BE2F46" w:rsidRPr="00935DC6" w:rsidRDefault="00BE2F46" w:rsidP="00BE2F46">
      <w:pPr>
        <w:tabs>
          <w:tab w:val="left" w:pos="454"/>
        </w:tabs>
        <w:spacing w:before="160"/>
        <w:ind w:left="454" w:hanging="454"/>
        <w:rPr>
          <w:rFonts w:ascii="Verdana" w:hAnsi="Verdana"/>
          <w:lang w:val="en-AU"/>
        </w:rPr>
      </w:pPr>
      <w:r w:rsidRPr="00935DC6">
        <w:rPr>
          <w:rFonts w:ascii="Verdana" w:hAnsi="Verdana"/>
          <w:lang w:val="en-AU"/>
        </w:rPr>
        <w:tab/>
        <w:t>Grout must then be cured in accordance with the manufacturer’s instructions.</w:t>
      </w:r>
    </w:p>
    <w:p w14:paraId="08F6E02D" w14:textId="77777777" w:rsidR="00BE2F46" w:rsidRPr="00935DC6" w:rsidRDefault="00BE2F46" w:rsidP="00BE2F46">
      <w:pPr>
        <w:rPr>
          <w:rFonts w:ascii="Verdana" w:hAnsi="Verdana"/>
          <w:lang w:val="en-AU"/>
        </w:rPr>
      </w:pPr>
    </w:p>
    <w:p w14:paraId="0202CF35" w14:textId="77777777" w:rsidR="0072664A" w:rsidRPr="00935DC6" w:rsidRDefault="0072664A" w:rsidP="0072664A">
      <w:pPr>
        <w:pStyle w:val="Heading5SS"/>
        <w:rPr>
          <w:rFonts w:ascii="Verdana" w:hAnsi="Verdana"/>
        </w:rPr>
      </w:pPr>
      <w:r w:rsidRPr="00935DC6">
        <w:rPr>
          <w:rFonts w:ascii="Verdana" w:hAnsi="Verdana"/>
        </w:rPr>
        <w:t>(g)</w:t>
      </w:r>
      <w:r w:rsidRPr="00935DC6">
        <w:rPr>
          <w:rFonts w:ascii="Verdana" w:hAnsi="Verdana"/>
        </w:rPr>
        <w:tab/>
        <w:t>Grout-testing</w:t>
      </w:r>
    </w:p>
    <w:p w14:paraId="40D3D8D8" w14:textId="77777777" w:rsidR="0072664A" w:rsidRPr="00935DC6" w:rsidRDefault="0072664A" w:rsidP="0072664A">
      <w:pPr>
        <w:tabs>
          <w:tab w:val="left" w:pos="454"/>
        </w:tabs>
        <w:spacing w:before="160"/>
        <w:ind w:left="454" w:hanging="454"/>
        <w:rPr>
          <w:rFonts w:ascii="Verdana" w:hAnsi="Verdana"/>
          <w:lang w:val="en-AU"/>
        </w:rPr>
      </w:pPr>
      <w:r w:rsidRPr="00935DC6">
        <w:rPr>
          <w:rFonts w:ascii="Verdana" w:hAnsi="Verdana"/>
          <w:lang w:val="en-AU"/>
        </w:rPr>
        <w:tab/>
        <w:t>Cube tests shall be taken at a minimum rate of one set of four per day.  The set of cubes shall represent the whole of the day’s production of grout.  Two cubes shall be tested at 7 and 28 days respectively.  The results of the cube tests shall be reported to the Superintendent within 7 days of testing.</w:t>
      </w:r>
    </w:p>
    <w:p w14:paraId="1A32B4B0" w14:textId="77777777" w:rsidR="0072664A" w:rsidRPr="00935DC6" w:rsidRDefault="0072664A" w:rsidP="0072664A">
      <w:pPr>
        <w:tabs>
          <w:tab w:val="left" w:pos="454"/>
        </w:tabs>
        <w:spacing w:before="160"/>
        <w:ind w:left="454" w:hanging="454"/>
        <w:rPr>
          <w:rFonts w:ascii="Verdana" w:hAnsi="Verdana"/>
          <w:b/>
          <w:lang w:val="en-AU"/>
        </w:rPr>
      </w:pPr>
      <w:r w:rsidRPr="00935DC6">
        <w:rPr>
          <w:rFonts w:ascii="Verdana" w:hAnsi="Verdana"/>
          <w:lang w:val="en-AU"/>
        </w:rPr>
        <w:tab/>
      </w:r>
      <w:r w:rsidRPr="00935DC6">
        <w:rPr>
          <w:rFonts w:ascii="Verdana" w:hAnsi="Verdana"/>
          <w:b/>
          <w:lang w:val="en-AU"/>
        </w:rPr>
        <w:t>If the grout does not achieve the required 28</w:t>
      </w:r>
      <w:r w:rsidRPr="00935DC6">
        <w:rPr>
          <w:rFonts w:ascii="Verdana" w:hAnsi="Verdana"/>
          <w:b/>
          <w:lang w:val="en-AU"/>
        </w:rPr>
        <w:noBreakHyphen/>
        <w:t>day strength, the Contractor shall submit proposals for rectification to the Superintendent.</w:t>
      </w:r>
    </w:p>
    <w:p w14:paraId="264A7BD6" w14:textId="77777777" w:rsidR="00BE2F46" w:rsidRPr="00935DC6" w:rsidRDefault="00BE2F46" w:rsidP="00BE2F46">
      <w:pPr>
        <w:tabs>
          <w:tab w:val="left" w:pos="426"/>
        </w:tabs>
        <w:ind w:left="425" w:hanging="425"/>
        <w:rPr>
          <w:rFonts w:ascii="Verdana" w:hAnsi="Verdana"/>
          <w:lang w:val="en-AU"/>
        </w:rPr>
      </w:pPr>
    </w:p>
    <w:p w14:paraId="127D878D" w14:textId="167620C2" w:rsidR="00BE2F46" w:rsidRPr="00935DC6" w:rsidRDefault="00BE2F46" w:rsidP="00431FF0">
      <w:pPr>
        <w:rPr>
          <w:rFonts w:ascii="Verdana" w:hAnsi="Verdana"/>
        </w:rPr>
      </w:pPr>
      <w:r w:rsidRPr="00935DC6">
        <w:rPr>
          <w:rFonts w:ascii="Verdana" w:hAnsi="Verdana"/>
        </w:rPr>
        <w:br w:type="page"/>
      </w:r>
    </w:p>
    <w:p w14:paraId="74C5F8A6" w14:textId="77777777" w:rsidR="00BE2F46" w:rsidRPr="00935DC6" w:rsidRDefault="00BE2F46" w:rsidP="00BE2F46">
      <w:pPr>
        <w:pStyle w:val="Heading3SS"/>
        <w:rPr>
          <w:rFonts w:ascii="Verdana" w:hAnsi="Verdana"/>
        </w:rPr>
      </w:pPr>
      <w:r w:rsidRPr="00935DC6">
        <w:rPr>
          <w:rFonts w:ascii="Verdana" w:hAnsi="Verdana"/>
        </w:rPr>
        <w:t>760.04</w:t>
      </w:r>
      <w:r w:rsidRPr="00935DC6">
        <w:rPr>
          <w:rFonts w:ascii="Verdana" w:hAnsi="Verdana"/>
        </w:rPr>
        <w:tab/>
      </w:r>
      <w:r w:rsidRPr="00935DC6">
        <w:rPr>
          <w:rFonts w:ascii="Verdana" w:hAnsi="Verdana"/>
          <w:lang w:val="en-US"/>
        </w:rPr>
        <w:t>ADDITIONAL REQUIREMENTS FOR CANTILEVER SIGN STRUCTURES WITH CANTILEVER ARMS OF HORIZONTAL LENGTH GREATER THAN 9 M</w:t>
      </w:r>
    </w:p>
    <w:p w14:paraId="69E0DCA2" w14:textId="77777777" w:rsidR="00BE2F46" w:rsidRPr="00935DC6" w:rsidRDefault="00BE2F46" w:rsidP="00BE2F46">
      <w:pPr>
        <w:rPr>
          <w:rFonts w:ascii="Verdana" w:hAnsi="Verdana"/>
          <w:lang w:val="en-AU"/>
        </w:rPr>
      </w:pPr>
    </w:p>
    <w:p w14:paraId="727D1514" w14:textId="77777777" w:rsidR="00BE2F46" w:rsidRPr="00935DC6" w:rsidRDefault="00BE2F46" w:rsidP="00BE2F46">
      <w:pPr>
        <w:rPr>
          <w:rFonts w:ascii="Verdana" w:hAnsi="Verdana"/>
          <w:lang w:val="en-AU"/>
        </w:rPr>
      </w:pPr>
      <w:r w:rsidRPr="00935DC6">
        <w:rPr>
          <w:rFonts w:ascii="Verdana" w:hAnsi="Verdana"/>
          <w:lang w:val="en-AU"/>
        </w:rPr>
        <w:t>In the case of design and construct contracts, if the design requires a cantilever arm more than 9 m in length, the Contractor shall provide and install vibration monitoring equipment and monitor vibrations in the structure for a period of 12 months immediately following completion of the structure.</w:t>
      </w:r>
    </w:p>
    <w:p w14:paraId="439EA57D" w14:textId="77777777" w:rsidR="00BE2F46" w:rsidRPr="00935DC6" w:rsidRDefault="00BE2F46" w:rsidP="00BE2F46">
      <w:pPr>
        <w:rPr>
          <w:rFonts w:ascii="Verdana" w:hAnsi="Verdana"/>
          <w:lang w:val="en-AU"/>
        </w:rPr>
      </w:pPr>
    </w:p>
    <w:p w14:paraId="383F84C0" w14:textId="77777777" w:rsidR="00BE2F46" w:rsidRPr="00935DC6" w:rsidRDefault="00BE2F46" w:rsidP="00BE2F46">
      <w:pPr>
        <w:rPr>
          <w:rFonts w:ascii="Verdana" w:hAnsi="Verdana"/>
          <w:lang w:val="en-AU"/>
        </w:rPr>
      </w:pPr>
      <w:r w:rsidRPr="00935DC6">
        <w:rPr>
          <w:rFonts w:ascii="Verdana" w:hAnsi="Verdana"/>
          <w:lang w:val="en-AU"/>
        </w:rPr>
        <w:t>Vibration monitoring shall be achieved by measuring variations in strain at the base-plate weld to establish that the strain range is less than the relevant constant-amplitude fatigue limit.</w:t>
      </w:r>
    </w:p>
    <w:p w14:paraId="77D49981" w14:textId="77777777" w:rsidR="00BE2F46" w:rsidRPr="00935DC6" w:rsidRDefault="00BE2F46" w:rsidP="00BE2F46">
      <w:pPr>
        <w:rPr>
          <w:rFonts w:ascii="Verdana" w:hAnsi="Verdana"/>
          <w:lang w:val="en-AU"/>
        </w:rPr>
      </w:pPr>
    </w:p>
    <w:p w14:paraId="3211EF50" w14:textId="77777777" w:rsidR="00BE2F46" w:rsidRPr="00935DC6" w:rsidRDefault="00BE2F46" w:rsidP="00BE2F46">
      <w:pPr>
        <w:rPr>
          <w:rFonts w:ascii="Verdana" w:hAnsi="Verdana"/>
          <w:lang w:val="en-AU"/>
        </w:rPr>
      </w:pPr>
      <w:r w:rsidRPr="00935DC6">
        <w:rPr>
          <w:rFonts w:ascii="Verdana" w:hAnsi="Verdana"/>
          <w:lang w:val="en-AU"/>
        </w:rPr>
        <w:t>The Contractor shall collect and interpret the vibration data and prepare a report on the performance of the structure which shall include an assessment of its fatigue life. The  Contractor shall employ suitably experienced professionals to provide advice on vibration monitoring and to prepare the assessment of fatigue life.</w:t>
      </w:r>
    </w:p>
    <w:p w14:paraId="751696DE" w14:textId="77777777" w:rsidR="00BE2F46" w:rsidRPr="00935DC6" w:rsidRDefault="00BE2F46" w:rsidP="00BE2F46">
      <w:pPr>
        <w:rPr>
          <w:rFonts w:ascii="Verdana" w:hAnsi="Verdana"/>
          <w:lang w:val="en-AU"/>
        </w:rPr>
      </w:pPr>
    </w:p>
    <w:p w14:paraId="7EA6B56F" w14:textId="77777777" w:rsidR="00BE2F46" w:rsidRPr="00935DC6" w:rsidRDefault="00BE2F46" w:rsidP="00BE2F46">
      <w:pPr>
        <w:rPr>
          <w:rFonts w:ascii="Verdana" w:hAnsi="Verdana"/>
          <w:lang w:val="en-AU"/>
        </w:rPr>
      </w:pPr>
      <w:r w:rsidRPr="00935DC6">
        <w:rPr>
          <w:rFonts w:ascii="Verdana" w:hAnsi="Verdana"/>
          <w:lang w:val="en-AU"/>
        </w:rPr>
        <w:t>Proposals for vibration monitoring together with the collection and interpretation of data shall be subjected to proof-engineering by a prequalified consultant.</w:t>
      </w:r>
    </w:p>
    <w:p w14:paraId="5C8B6E04" w14:textId="77777777" w:rsidR="00BE2F46" w:rsidRPr="00935DC6" w:rsidRDefault="00BE2F46" w:rsidP="00BE2F46">
      <w:pPr>
        <w:rPr>
          <w:rFonts w:ascii="Verdana" w:hAnsi="Verdana"/>
          <w:lang w:val="en-AU"/>
        </w:rPr>
      </w:pPr>
    </w:p>
    <w:p w14:paraId="6C0871AF" w14:textId="77777777" w:rsidR="00BE2F46" w:rsidRPr="00935DC6" w:rsidRDefault="00BE2F46" w:rsidP="00471E4A">
      <w:pPr>
        <w:tabs>
          <w:tab w:val="left" w:pos="0"/>
        </w:tabs>
        <w:ind w:hanging="567"/>
        <w:rPr>
          <w:rFonts w:ascii="Verdana" w:hAnsi="Verdana"/>
          <w:b/>
          <w:lang w:val="en-AU"/>
        </w:rPr>
      </w:pPr>
      <w:r w:rsidRPr="00935DC6">
        <w:rPr>
          <w:rFonts w:ascii="Verdana" w:hAnsi="Verdana"/>
          <w:b/>
          <w:lang w:val="en-AU"/>
        </w:rPr>
        <w:t>HP</w:t>
      </w:r>
      <w:r w:rsidRPr="00935DC6">
        <w:rPr>
          <w:rFonts w:ascii="Verdana" w:hAnsi="Verdana"/>
          <w:b/>
          <w:lang w:val="en-AU"/>
        </w:rPr>
        <w:tab/>
        <w:t>The Contractor shall submit its finalised proposals for vibration monitoring and reporting to the Superintendent for review not later than four weeks prior to the commencement of vibration monitoring.</w:t>
      </w:r>
    </w:p>
    <w:p w14:paraId="1AFE2570" w14:textId="77777777" w:rsidR="00BE2F46" w:rsidRPr="00935DC6" w:rsidRDefault="00BE2F46" w:rsidP="00BE2F46">
      <w:pPr>
        <w:rPr>
          <w:rFonts w:ascii="Verdana" w:hAnsi="Verdana"/>
          <w:b/>
          <w:lang w:val="en-AU"/>
        </w:rPr>
      </w:pPr>
    </w:p>
    <w:p w14:paraId="22EEEBAB" w14:textId="77777777" w:rsidR="00BE2F46" w:rsidRPr="00935DC6" w:rsidRDefault="00BE2F46" w:rsidP="00BE2F46">
      <w:pPr>
        <w:rPr>
          <w:rFonts w:ascii="Verdana" w:hAnsi="Verdana"/>
          <w:b/>
          <w:lang w:val="en-AU"/>
        </w:rPr>
      </w:pPr>
      <w:r w:rsidRPr="00935DC6">
        <w:rPr>
          <w:rFonts w:ascii="Verdana" w:hAnsi="Verdana"/>
          <w:b/>
          <w:lang w:val="en-AU"/>
        </w:rPr>
        <w:t>The Contractor shall submit the final report on vibration monitoring including the assessment of fatigue life to the Superintendent within eight weeks of the completion of vibration monitoring.</w:t>
      </w:r>
    </w:p>
    <w:p w14:paraId="42D3B884" w14:textId="7265A57C" w:rsidR="00BE2F46" w:rsidRPr="00935DC6" w:rsidRDefault="00BE2F46" w:rsidP="00BE2F46">
      <w:pPr>
        <w:rPr>
          <w:rFonts w:ascii="Verdana" w:hAnsi="Verdana"/>
          <w:lang w:val="en-AU"/>
        </w:rPr>
      </w:pPr>
    </w:p>
    <w:sectPr w:rsidR="00BE2F46" w:rsidRPr="00935DC6" w:rsidSect="001A45D1">
      <w:headerReference w:type="default" r:id="rId6"/>
      <w:footerReference w:type="default" r:id="rId7"/>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784B3" w14:textId="77777777" w:rsidR="00425D37" w:rsidRDefault="00425D37">
      <w:r>
        <w:separator/>
      </w:r>
    </w:p>
  </w:endnote>
  <w:endnote w:type="continuationSeparator" w:id="0">
    <w:p w14:paraId="522AA238" w14:textId="77777777" w:rsidR="00425D37" w:rsidRDefault="0042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F0FE" w14:textId="77777777" w:rsidR="00935DC6" w:rsidRPr="002F5C86" w:rsidRDefault="00935DC6" w:rsidP="00935DC6">
    <w:pPr>
      <w:pBdr>
        <w:top w:val="single" w:sz="6" w:space="1" w:color="000000"/>
      </w:pBdr>
      <w:jc w:val="right"/>
      <w:rPr>
        <w:rFonts w:ascii="Verdana" w:hAnsi="Verdana"/>
      </w:rPr>
    </w:pPr>
    <w:r w:rsidRPr="002F5C86">
      <w:rPr>
        <w:rFonts w:ascii="Verdana" w:hAnsi="Verdana"/>
      </w:rPr>
      <w:t>Department of State Growth – July 2021</w:t>
    </w:r>
  </w:p>
  <w:p w14:paraId="436A226E" w14:textId="6FBDE01C" w:rsidR="00935DC6" w:rsidRPr="002F5C86" w:rsidRDefault="00935DC6" w:rsidP="00935DC6">
    <w:pPr>
      <w:pStyle w:val="Footer"/>
      <w:jc w:val="right"/>
      <w:rPr>
        <w:rFonts w:ascii="Verdana" w:hAnsi="Verdana"/>
      </w:rPr>
    </w:pPr>
    <w:r w:rsidRPr="002F5C86">
      <w:rPr>
        <w:rFonts w:ascii="Verdana" w:hAnsi="Verdana"/>
      </w:rPr>
      <w:t xml:space="preserve">Section 760 Page </w:t>
    </w:r>
    <w:r w:rsidRPr="002F5C86">
      <w:rPr>
        <w:rFonts w:ascii="Verdana" w:hAnsi="Verdana"/>
        <w:bCs/>
        <w:sz w:val="24"/>
        <w:szCs w:val="24"/>
      </w:rPr>
      <w:fldChar w:fldCharType="begin"/>
    </w:r>
    <w:r w:rsidRPr="002F5C86">
      <w:rPr>
        <w:rFonts w:ascii="Verdana" w:hAnsi="Verdana"/>
        <w:bCs/>
      </w:rPr>
      <w:instrText xml:space="preserve"> PAGE </w:instrText>
    </w:r>
    <w:r w:rsidRPr="002F5C86">
      <w:rPr>
        <w:rFonts w:ascii="Verdana" w:hAnsi="Verdana"/>
        <w:bCs/>
        <w:sz w:val="24"/>
        <w:szCs w:val="24"/>
      </w:rPr>
      <w:fldChar w:fldCharType="separate"/>
    </w:r>
    <w:r w:rsidRPr="002F5C86">
      <w:rPr>
        <w:rFonts w:ascii="Verdana" w:hAnsi="Verdana"/>
        <w:bCs/>
        <w:sz w:val="24"/>
        <w:szCs w:val="24"/>
      </w:rPr>
      <w:t>1</w:t>
    </w:r>
    <w:r w:rsidRPr="002F5C86">
      <w:rPr>
        <w:rFonts w:ascii="Verdana" w:hAnsi="Verdana"/>
        <w:bCs/>
        <w:sz w:val="24"/>
        <w:szCs w:val="24"/>
      </w:rPr>
      <w:fldChar w:fldCharType="end"/>
    </w:r>
    <w:r w:rsidRPr="002F5C86">
      <w:rPr>
        <w:rFonts w:ascii="Verdana" w:hAnsi="Verdana"/>
      </w:rPr>
      <w:t xml:space="preserve"> of </w:t>
    </w:r>
    <w:r w:rsidRPr="002F5C86">
      <w:rPr>
        <w:rFonts w:ascii="Verdana" w:hAnsi="Verdana"/>
        <w:bCs/>
        <w:sz w:val="24"/>
        <w:szCs w:val="24"/>
      </w:rPr>
      <w:fldChar w:fldCharType="begin"/>
    </w:r>
    <w:r w:rsidRPr="002F5C86">
      <w:rPr>
        <w:rFonts w:ascii="Verdana" w:hAnsi="Verdana"/>
        <w:bCs/>
      </w:rPr>
      <w:instrText xml:space="preserve"> NUMPAGES  </w:instrText>
    </w:r>
    <w:r w:rsidRPr="002F5C86">
      <w:rPr>
        <w:rFonts w:ascii="Verdana" w:hAnsi="Verdana"/>
        <w:bCs/>
        <w:sz w:val="24"/>
        <w:szCs w:val="24"/>
      </w:rPr>
      <w:fldChar w:fldCharType="separate"/>
    </w:r>
    <w:r w:rsidRPr="002F5C86">
      <w:rPr>
        <w:rFonts w:ascii="Verdana" w:hAnsi="Verdana"/>
        <w:bCs/>
        <w:sz w:val="24"/>
        <w:szCs w:val="24"/>
      </w:rPr>
      <w:t>10</w:t>
    </w:r>
    <w:r w:rsidRPr="002F5C86">
      <w:rPr>
        <w:rFonts w:ascii="Verdana" w:hAnsi="Verdana"/>
        <w:bCs/>
        <w:sz w:val="24"/>
        <w:szCs w:val="24"/>
      </w:rPr>
      <w:fldChar w:fldCharType="end"/>
    </w:r>
  </w:p>
  <w:p w14:paraId="3C033BD9" w14:textId="77777777" w:rsidR="00935DC6" w:rsidRPr="002F5C86" w:rsidRDefault="00935DC6">
    <w:pPr>
      <w:pStyle w:val="Foo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00B93" w14:textId="77777777" w:rsidR="00425D37" w:rsidRDefault="00425D37">
      <w:r>
        <w:separator/>
      </w:r>
    </w:p>
  </w:footnote>
  <w:footnote w:type="continuationSeparator" w:id="0">
    <w:p w14:paraId="32DC815F" w14:textId="77777777" w:rsidR="00425D37" w:rsidRDefault="00425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6E4C0" w14:textId="6D8D43DF" w:rsidR="003D294A" w:rsidRPr="00935DC6" w:rsidRDefault="00831357">
    <w:pPr>
      <w:jc w:val="right"/>
      <w:rPr>
        <w:rFonts w:ascii="Verdana" w:hAnsi="Verdana"/>
        <w:lang w:val="en-AU"/>
      </w:rPr>
    </w:pPr>
    <w:r w:rsidRPr="00935DC6">
      <w:rPr>
        <w:rFonts w:ascii="Verdana" w:hAnsi="Verdana"/>
        <w:lang w:val="en-AU"/>
      </w:rPr>
      <w:t xml:space="preserve">Department of </w:t>
    </w:r>
    <w:r w:rsidR="00935DC6">
      <w:rPr>
        <w:rFonts w:ascii="Verdana" w:hAnsi="Verdana"/>
        <w:lang w:val="en-AU"/>
      </w:rPr>
      <w:t>State Growth</w:t>
    </w:r>
  </w:p>
  <w:p w14:paraId="59124788" w14:textId="752AD2F9" w:rsidR="003D294A" w:rsidRDefault="003D294A">
    <w:pPr>
      <w:pBdr>
        <w:top w:val="single" w:sz="8" w:space="1" w:color="auto"/>
      </w:pBdr>
      <w:spacing w:line="240" w:lineRule="exact"/>
      <w:rPr>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F46"/>
    <w:rsid w:val="00007B50"/>
    <w:rsid w:val="000213FC"/>
    <w:rsid w:val="000F3314"/>
    <w:rsid w:val="000F48E0"/>
    <w:rsid w:val="000F6435"/>
    <w:rsid w:val="000F6D5F"/>
    <w:rsid w:val="00173696"/>
    <w:rsid w:val="001A45D1"/>
    <w:rsid w:val="001C5FF7"/>
    <w:rsid w:val="001D3317"/>
    <w:rsid w:val="002267C1"/>
    <w:rsid w:val="00264D17"/>
    <w:rsid w:val="0028272F"/>
    <w:rsid w:val="002C65BE"/>
    <w:rsid w:val="002D256A"/>
    <w:rsid w:val="002F5C86"/>
    <w:rsid w:val="00314F62"/>
    <w:rsid w:val="003C0576"/>
    <w:rsid w:val="003D294A"/>
    <w:rsid w:val="00403264"/>
    <w:rsid w:val="00413008"/>
    <w:rsid w:val="00425D37"/>
    <w:rsid w:val="00431FF0"/>
    <w:rsid w:val="00463C03"/>
    <w:rsid w:val="00471E4A"/>
    <w:rsid w:val="00494618"/>
    <w:rsid w:val="004C6CDC"/>
    <w:rsid w:val="005340BB"/>
    <w:rsid w:val="005C380E"/>
    <w:rsid w:val="005D12E3"/>
    <w:rsid w:val="005D6AC0"/>
    <w:rsid w:val="00653649"/>
    <w:rsid w:val="00656EA5"/>
    <w:rsid w:val="006577C4"/>
    <w:rsid w:val="0072664A"/>
    <w:rsid w:val="007E7AFB"/>
    <w:rsid w:val="00831357"/>
    <w:rsid w:val="00896D32"/>
    <w:rsid w:val="008D4A8C"/>
    <w:rsid w:val="009157E0"/>
    <w:rsid w:val="00935DC6"/>
    <w:rsid w:val="00942706"/>
    <w:rsid w:val="009451F5"/>
    <w:rsid w:val="009917A5"/>
    <w:rsid w:val="00A019DB"/>
    <w:rsid w:val="00A55077"/>
    <w:rsid w:val="00A86C4B"/>
    <w:rsid w:val="00A962D8"/>
    <w:rsid w:val="00B04DEF"/>
    <w:rsid w:val="00B21992"/>
    <w:rsid w:val="00BE2F46"/>
    <w:rsid w:val="00C23FFB"/>
    <w:rsid w:val="00C308C3"/>
    <w:rsid w:val="00D00F3F"/>
    <w:rsid w:val="00D214B3"/>
    <w:rsid w:val="00D24C56"/>
    <w:rsid w:val="00DC6634"/>
    <w:rsid w:val="00EB560E"/>
    <w:rsid w:val="00F536D4"/>
    <w:rsid w:val="00FA4FCC"/>
    <w:rsid w:val="00FC7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C4061"/>
  <w15:chartTrackingRefBased/>
  <w15:docId w15:val="{34145529-1845-4467-9974-4936DB39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D17"/>
    <w:pPr>
      <w:widowControl w:val="0"/>
    </w:pPr>
    <w:rPr>
      <w:rFonts w:ascii="Arial" w:hAnsi="Arial"/>
      <w:snapToGrid w:val="0"/>
      <w:lang w:val="en-US" w:eastAsia="en-US"/>
    </w:rPr>
  </w:style>
  <w:style w:type="paragraph" w:styleId="Heading1">
    <w:name w:val="heading 1"/>
    <w:basedOn w:val="Normal"/>
    <w:next w:val="Normal"/>
    <w:link w:val="Heading1Char"/>
    <w:qFormat/>
    <w:rsid w:val="00264D17"/>
    <w:pPr>
      <w:keepNext/>
      <w:spacing w:before="240" w:after="60"/>
      <w:outlineLvl w:val="0"/>
    </w:pPr>
    <w:rPr>
      <w:b/>
      <w:bCs/>
      <w:kern w:val="32"/>
      <w:sz w:val="32"/>
      <w:szCs w:val="32"/>
    </w:rPr>
  </w:style>
  <w:style w:type="paragraph" w:styleId="Heading2">
    <w:name w:val="heading 2"/>
    <w:basedOn w:val="Normal"/>
    <w:next w:val="Normal"/>
    <w:qFormat/>
    <w:rsid w:val="00264D17"/>
    <w:pPr>
      <w:keepNext/>
      <w:spacing w:before="240" w:after="60"/>
      <w:outlineLvl w:val="1"/>
    </w:pPr>
    <w:rPr>
      <w:rFonts w:cs="Arial"/>
      <w:b/>
      <w:bCs/>
      <w:iCs/>
      <w:sz w:val="28"/>
      <w:szCs w:val="28"/>
    </w:rPr>
  </w:style>
  <w:style w:type="paragraph" w:styleId="Heading3">
    <w:name w:val="heading 3"/>
    <w:basedOn w:val="Normal"/>
    <w:next w:val="Normal"/>
    <w:qFormat/>
    <w:rsid w:val="00BE2F46"/>
    <w:pPr>
      <w:keepNext/>
      <w:spacing w:before="240" w:after="60"/>
      <w:outlineLvl w:val="2"/>
    </w:pPr>
    <w:rPr>
      <w:rFonts w:cs="Arial"/>
      <w:b/>
      <w:bCs/>
      <w:sz w:val="26"/>
      <w:szCs w:val="26"/>
    </w:rPr>
  </w:style>
  <w:style w:type="paragraph" w:styleId="Heading5">
    <w:name w:val="heading 5"/>
    <w:basedOn w:val="Normal"/>
    <w:next w:val="Normal"/>
    <w:qFormat/>
    <w:rsid w:val="00BE2F4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SS">
    <w:name w:val="Heading 2 + SS"/>
    <w:basedOn w:val="Heading2"/>
    <w:rsid w:val="00264D17"/>
    <w:pPr>
      <w:keepNext w:val="0"/>
      <w:widowControl/>
      <w:tabs>
        <w:tab w:val="left" w:pos="1985"/>
        <w:tab w:val="left" w:pos="2268"/>
      </w:tabs>
      <w:spacing w:before="0" w:after="0"/>
      <w:ind w:left="2268" w:hanging="2268"/>
    </w:pPr>
    <w:rPr>
      <w:snapToGrid/>
      <w:color w:val="000000"/>
      <w:lang w:val="en-AU"/>
    </w:rPr>
  </w:style>
  <w:style w:type="paragraph" w:customStyle="1" w:styleId="Heading3SS">
    <w:name w:val="Heading 3 + SS"/>
    <w:basedOn w:val="Heading3"/>
    <w:rsid w:val="00264D17"/>
    <w:pPr>
      <w:keepNext w:val="0"/>
      <w:widowControl/>
      <w:tabs>
        <w:tab w:val="left" w:pos="851"/>
      </w:tabs>
      <w:spacing w:before="0" w:after="0"/>
      <w:ind w:left="851" w:hanging="851"/>
    </w:pPr>
    <w:rPr>
      <w:snapToGrid/>
      <w:sz w:val="20"/>
      <w:lang w:val="en-AU"/>
    </w:rPr>
  </w:style>
  <w:style w:type="paragraph" w:customStyle="1" w:styleId="Heading5SS">
    <w:name w:val="Heading 5 +SS"/>
    <w:basedOn w:val="Heading5"/>
    <w:rsid w:val="00403264"/>
    <w:pPr>
      <w:widowControl/>
      <w:tabs>
        <w:tab w:val="left" w:pos="454"/>
      </w:tabs>
      <w:spacing w:before="0" w:after="0"/>
      <w:ind w:left="454" w:hanging="454"/>
      <w:outlineLvl w:val="9"/>
    </w:pPr>
    <w:rPr>
      <w:b w:val="0"/>
      <w:bCs w:val="0"/>
      <w:i w:val="0"/>
      <w:iCs w:val="0"/>
      <w:snapToGrid/>
      <w:sz w:val="20"/>
      <w:szCs w:val="22"/>
      <w:lang w:val="en-AU"/>
    </w:rPr>
  </w:style>
  <w:style w:type="character" w:customStyle="1" w:styleId="Heading1Char">
    <w:name w:val="Heading 1 Char"/>
    <w:link w:val="Heading1"/>
    <w:rsid w:val="00264D17"/>
    <w:rPr>
      <w:rFonts w:ascii="Arial" w:eastAsia="Times New Roman" w:hAnsi="Arial" w:cs="Times New Roman"/>
      <w:b/>
      <w:bCs/>
      <w:snapToGrid w:val="0"/>
      <w:kern w:val="32"/>
      <w:sz w:val="32"/>
      <w:szCs w:val="32"/>
      <w:lang w:val="en-US" w:eastAsia="en-US"/>
    </w:rPr>
  </w:style>
  <w:style w:type="paragraph" w:styleId="DocumentMap">
    <w:name w:val="Document Map"/>
    <w:basedOn w:val="Normal"/>
    <w:link w:val="DocumentMapChar"/>
    <w:rsid w:val="00403264"/>
    <w:rPr>
      <w:rFonts w:ascii="Tahoma" w:hAnsi="Tahoma" w:cs="Tahoma"/>
      <w:sz w:val="16"/>
      <w:szCs w:val="16"/>
    </w:rPr>
  </w:style>
  <w:style w:type="character" w:customStyle="1" w:styleId="DocumentMapChar">
    <w:name w:val="Document Map Char"/>
    <w:link w:val="DocumentMap"/>
    <w:rsid w:val="00403264"/>
    <w:rPr>
      <w:rFonts w:ascii="Tahoma" w:hAnsi="Tahoma" w:cs="Tahoma"/>
      <w:snapToGrid w:val="0"/>
      <w:sz w:val="16"/>
      <w:szCs w:val="16"/>
      <w:lang w:val="en-US" w:eastAsia="en-US"/>
    </w:rPr>
  </w:style>
  <w:style w:type="paragraph" w:styleId="Header">
    <w:name w:val="header"/>
    <w:basedOn w:val="Normal"/>
    <w:link w:val="HeaderChar"/>
    <w:rsid w:val="00831357"/>
    <w:pPr>
      <w:tabs>
        <w:tab w:val="center" w:pos="4513"/>
        <w:tab w:val="right" w:pos="9026"/>
      </w:tabs>
    </w:pPr>
  </w:style>
  <w:style w:type="character" w:customStyle="1" w:styleId="HeaderChar">
    <w:name w:val="Header Char"/>
    <w:link w:val="Header"/>
    <w:rsid w:val="00831357"/>
    <w:rPr>
      <w:rFonts w:ascii="Arial" w:hAnsi="Arial"/>
      <w:snapToGrid w:val="0"/>
      <w:lang w:val="en-US" w:eastAsia="en-US"/>
    </w:rPr>
  </w:style>
  <w:style w:type="paragraph" w:styleId="Footer">
    <w:name w:val="footer"/>
    <w:basedOn w:val="Normal"/>
    <w:link w:val="FooterChar"/>
    <w:uiPriority w:val="99"/>
    <w:rsid w:val="00831357"/>
    <w:pPr>
      <w:tabs>
        <w:tab w:val="center" w:pos="4513"/>
        <w:tab w:val="right" w:pos="9026"/>
      </w:tabs>
    </w:pPr>
  </w:style>
  <w:style w:type="character" w:customStyle="1" w:styleId="FooterChar">
    <w:name w:val="Footer Char"/>
    <w:link w:val="Footer"/>
    <w:uiPriority w:val="99"/>
    <w:rsid w:val="00831357"/>
    <w:rPr>
      <w:rFonts w:ascii="Arial" w:hAnsi="Arial"/>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760</vt:lpstr>
    </vt:vector>
  </TitlesOfParts>
  <Company>VicRoads</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760</dc:title>
  <dc:subject>Erection of Cantilever Sign and High-Mast Light Structures</dc:subject>
  <dc:creator>VicRoads</dc:creator>
  <cp:keywords/>
  <dc:description/>
  <cp:lastModifiedBy>Tang, Vincent</cp:lastModifiedBy>
  <cp:revision>5</cp:revision>
  <dcterms:created xsi:type="dcterms:W3CDTF">2021-07-15T02:04:00Z</dcterms:created>
  <dcterms:modified xsi:type="dcterms:W3CDTF">2021-07-16T00:44:00Z</dcterms:modified>
</cp:coreProperties>
</file>